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交银施罗德裕祥纯债债券型证券投资基金（A类份额）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交银裕祥纯债债券A</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006367</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江苏银行股份有限公司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2018-09-26</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债券型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张顺晨</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2024-02-08</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2016-07-01</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苏建文</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2025-07-03</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2019-07-01</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虞汉阳</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2026-02-07</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2018-07-01</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二十个工作日基金份额持有人数量不满200人或者基金资产净值低于5000万元的，基金管理人应当在定期报告中予以披露。连续六十个工作日出现基金份额持有人数量不满200人或者基金资产净值低于5000万元情形的，基金管理人可向中国证监会报告并提前终止基金合同，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本基金在严格控制风险和保持资产流动性的基础上，通过积极主动的投资管理，力争持续稳定地实现超越业绩比较基准的投资回报。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国债、金融债、央行票据、地方政府债、政府支持机构债、企业债、公司债、中小企业私募债、中期票据、短期融资券、超级短期融资券、资产支持证券、次级债、可分离交易可转债的纯债部分、债券回购、同业存单、银行存款、货币市场工具以及法律法规或中国证监会允许基金投资的其他金融工具(但须符合中国证监会相关规定)。本基金不投资于股票、权证等权益类资产，也不投资于可转换债券(可分离交易可转债的纯债部分除外)、可交换债券。</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本基金投资于债券资产的比例不低于基金资产的80%；每个交易日日终，现金或到期日在一年以内的政府债券的投资比例合计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对宏观经济运行趋势、财政以及货币政策变化趋势作出分析和判断，对未来市场利率趋势及市场信用环境变化作出预测，确定本基金债券组合久期、期限结构、债券类别配置策略，在严谨深入的分析和严格的风险控制基础上，综合考虑经济变量的变动对不同券种收益率、信用趋势和风险的潜在影响，深入挖掘价值被低估的标的券种。</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1、久期管理策略；2、期限结构配置策略；3、债券的类别配置策略；4、骑乘策略；5、杠杆放大策略；6、信用债券投资策略；7、资产支持证券投资策略；8、中小企业私募债券投资策略。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中债综合全价指数收益率</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本基金是一只债券型基金，其预期风险与预期收益高于货币市场基金，低于混合型基金和股票型基金。</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详见《交银施罗德裕祥纯债债券型证券投资基金招募说明书》“基金的投资”。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2、本基金合同于2018年9月26日生效，合同生效当年净值增长率按实际存续期计算；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M＜50万元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50万元≤M＜100万元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0.3%</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0.1%</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30天≤N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0.30%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50000.00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0.41%</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（1）政策风险、（2）经济周期风险、（3）利率风险、（4）信用风险、（5）购买力风险、（6）债券收益率曲线变动风险、（7）再投资风险、（8）经营风险、（9）上市公司经营风险、（10）债券回购风险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4、交易对手违约风险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（1）本基金为债券型基金，投资于债券资产的比例不低于基金资产的80%，因投资债券资产而面临债券资产市场的系统性风险和个券风险；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对宏观经济趋势、政策以及债券市场基本面研究是否准确、深入，以及对企业债券的优选和判断是否科学、准确将影响本基金的收益。基本面研究及企业债券分析的错误均可能导致所选择的证券不能完全符合本基金的预期目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（3）基金合同提前终止风险。连续六十个工作日出现基金份额持有人数量不满200人或者基金资产净值低于5000万元情形的，基金管理人可向中国证监会报告并提前终止基金合同，不需召开基金份额持有人大会。</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6、投资中小企业私募债的特定风险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中小企业私募债，中小企业私募债是根据相关法律法规由非上市中小企业采用非公开方式发行的债券。由于不能公开交易，一般情况下，交易不活跃，潜在较大流动性风险。当发债主体信用质量恶化时，受市场流动性所限，本基金可能无法卖出所持有的中小企业私募债，由此可能给基金净值带来更大的负面影响和损失。</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因基金合同而产生的或与基金合同有关的一切争议，如经友好协商未能解决的，任何一方均有权将争议提交上海国际经济贸易仲裁委员会，按其届时有效的仲裁规则进行仲裁。仲裁地点为上海市。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●《交银施罗德裕祥纯债债券型证券投资基金基金合同》、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《交银施罗德裕祥纯债债券型证券投资基金托管协议》、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《交银施罗德裕祥纯债债券型证券投资基金招募说明书》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