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rFonts w:ascii="黑体" w:hAnsi="黑体" w:eastAsia="黑体"/>
          <w:b/>
          <w:sz w:val="36"/>
        </w:rPr>
      </w:pPr>
      <w:r>
        <w:rPr>
          <w:rFonts w:hint="eastAsia" w:ascii="黑体" w:hAnsi="黑体" w:eastAsia="黑体"/>
          <w:b/>
          <w:sz w:val="36"/>
        </w:rPr>
        <w:t>交银施罗德稳安30天滚动持有债券型证券投资基金（C类份额）</w:t>
      </w:r>
    </w:p>
    <w:p>
      <w:pPr>
        <w:spacing w:after="0"/>
        <w:jc w:val="center"/>
        <w:rPr>
          <w:rFonts w:ascii="黑体" w:hAnsi="黑体" w:eastAsia="黑体"/>
          <w:b/>
          <w:sz w:val="36"/>
        </w:rPr>
      </w:pPr>
      <w:r>
        <w:rPr>
          <w:rFonts w:hint="eastAsia" w:ascii="黑体" w:hAnsi="黑体" w:eastAsia="黑体"/>
          <w:b/>
          <w:sz w:val="36"/>
        </w:rPr>
        <w:t>基金产品资料概要更新</w:t>
      </w:r>
    </w:p>
    <w:p>
      <w:pPr>
        <w:spacing w:after="0"/>
        <w:jc w:val="right"/>
        <w:rPr>
          <w:rFonts w:hint="eastAsia" w:ascii="仿宋_GB2312" w:eastAsia="仿宋_GB2312"/>
          <w:kern w:val="0"/>
          <w:sz w:val="21"/>
          <w:szCs w:val="21"/>
        </w:rPr>
      </w:pPr>
      <w:r>
        <w:rPr>
          <w:rFonts w:hint="eastAsia" w:ascii="仿宋_GB2312" w:eastAsia="仿宋_GB2312"/>
          <w:sz w:val="21"/>
        </w:rPr>
        <w:t>编制日期：</w:t>
      </w:r>
      <w:r>
        <w:rPr>
          <w:rFonts w:hint="eastAsia" w:ascii="Times New Roman" w:hAnsi="Times New Roman" w:eastAsia="Times New Roman" w:cs="Times New Roman"/>
          <w:kern w:val="0"/>
          <w:sz w:val="21"/>
          <w:szCs w:val="21"/>
        </w:rPr>
        <w:t>2026-09-02</w:t>
      </w:r>
    </w:p>
    <w:p>
      <w:pPr>
        <w:spacing w:after="0" w:line="380" w:lineRule="exact"/>
        <w:jc w:val="center"/>
        <w:rPr>
          <w:rFonts w:hint="eastAsia" w:ascii="仿宋_GB2312" w:eastAsia="仿宋_GB2312"/>
          <w:b/>
          <w:iCs/>
          <w:sz w:val="21"/>
          <w:szCs w:val="21"/>
        </w:rPr>
      </w:pPr>
      <w:r>
        <w:rPr>
          <w:rFonts w:hint="eastAsia" w:ascii="仿宋_GB2312" w:eastAsia="仿宋_GB2312"/>
          <w:sz w:val="21"/>
        </w:rPr>
        <w:t>送出日期：</w:t>
      </w:r>
      <w:r>
        <w:rPr>
          <w:rFonts w:hint="eastAsia" w:ascii="Times New Roman" w:hAnsi="Times New Roman" w:eastAsia="Times New Roman" w:cs="Times New Roman"/>
          <w:kern w:val="0"/>
          <w:sz w:val="21"/>
          <w:szCs w:val="21"/>
        </w:rPr>
        <w:t>2026-10-09</w:t>
      </w:r>
      <w:r>
        <w:rPr>
          <w:rFonts w:hint="eastAsia" w:ascii="仿宋" w:hAnsi="仿宋" w:cs="仿宋"/>
          <w:b/>
          <w:iCs/>
          <w:sz w:val="21"/>
          <w:szCs w:val="21"/>
        </w:rPr>
        <w:t xml:space="preserve"> </w:t>
      </w:r>
    </w:p>
    <w:p>
      <w:pPr>
        <w:autoSpaceDE w:val="0"/>
        <w:autoSpaceDN w:val="0"/>
        <w:adjustRightInd w:val="0"/>
        <w:spacing w:after="0"/>
        <w:jc w:val="center"/>
        <w:rPr>
          <w:rFonts w:ascii="黑体" w:hAnsi="黑体" w:eastAsia="黑体" w:cs="FZHTJW--GB1-0"/>
          <w:kern w:val="0"/>
          <w:sz w:val="30"/>
          <w:szCs w:val="30"/>
        </w:rPr>
      </w:pPr>
      <w:r>
        <w:rPr>
          <w:rFonts w:hint="eastAsia" w:ascii="黑体" w:hAnsi="黑体" w:eastAsia="黑体" w:cs="宋体"/>
          <w:kern w:val="0"/>
          <w:sz w:val="30"/>
          <w:szCs w:val="30"/>
        </w:rPr>
        <w:t>本概要提供本基金的重要信息，是招募说明书的一部分。</w:t>
      </w:r>
    </w:p>
    <w:p>
      <w:pPr>
        <w:spacing w:after="0"/>
        <w:jc w:val="center"/>
        <w:rPr>
          <w:rFonts w:ascii="黑体" w:hAnsi="黑体" w:eastAsia="黑体" w:cs="宋体"/>
          <w:kern w:val="0"/>
          <w:sz w:val="30"/>
          <w:szCs w:val="30"/>
        </w:rPr>
      </w:pPr>
      <w:r>
        <w:rPr>
          <w:rFonts w:hint="eastAsia" w:ascii="黑体" w:hAnsi="黑体" w:eastAsia="黑体" w:cs="宋体"/>
          <w:kern w:val="0"/>
          <w:sz w:val="30"/>
          <w:szCs w:val="30"/>
        </w:rPr>
        <w:t>作出投资决定前，请阅读完整的招募说明书等销售文件。</w:t>
      </w:r>
    </w:p>
    <w:p>
      <w:pPr>
        <w:spacing w:after="0"/>
        <w:jc w:val="left"/>
        <w:rPr>
          <w:rFonts w:ascii="仿宋_GB2312" w:hAnsi="宋体" w:eastAsia="仿宋_GB2312" w:cs="宋体"/>
          <w:b/>
          <w:kern w:val="0"/>
          <w:sz w:val="21"/>
          <w:szCs w:val="21"/>
        </w:rPr>
      </w:pPr>
      <w:r>
        <w:rPr>
          <w:rFonts w:hint="eastAsia" w:ascii="仿宋_GB2312" w:hAnsi="宋体" w:eastAsia="仿宋_GB2312" w:cs="宋体"/>
          <w:b/>
          <w:kern w:val="0"/>
          <w:sz w:val="21"/>
          <w:szCs w:val="21"/>
        </w:rPr>
        <w:t>一、产品概况</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307"/>
        <w:gridCol w:w="1563"/>
        <w:gridCol w:w="3285"/>
        <w:gridCol w:w="1917"/>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widowControl/>
              <w:spacing w:after="0" w:line="240" w:lineRule="auto"/>
              <w:jc w:val="left"/>
              <w:rPr>
                <w:rFonts w:ascii="仿宋_GB2312" w:eastAsia="仿宋_GB2312"/>
                <w:sz w:val="21"/>
                <w:szCs w:val="21"/>
              </w:rPr>
            </w:pPr>
            <w:r>
              <w:rPr>
                <w:rFonts w:hint="eastAsia" w:ascii="仿宋_GB2312" w:eastAsia="仿宋_GB2312"/>
                <w:sz w:val="21"/>
                <w:szCs w:val="21"/>
              </w:rPr>
              <w:t>基金简称</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交银稳安30天滚动持有债券C</w:t>
            </w:r>
          </w:p>
        </w:tc>
        <w:tc>
          <w:tcPr>
            <w:tcW w:w="3649" w:type="dxa"/>
            <w:vAlign w:val="center"/>
          </w:tcPr>
          <w:p>
            <w:pPr>
              <w:spacing w:after="0" w:line="240" w:lineRule="auto"/>
              <w:rPr>
                <w:rFonts w:ascii="仿宋_GB2312" w:eastAsia="仿宋_GB2312"/>
                <w:sz w:val="21"/>
                <w:szCs w:val="21"/>
              </w:rPr>
            </w:pPr>
            <w:r>
              <w:rPr>
                <w:rFonts w:hint="eastAsia" w:ascii="仿宋_GB2312" w:eastAsia="仿宋_GB2312"/>
                <w:sz w:val="21"/>
                <w:szCs w:val="21"/>
              </w:rPr>
              <w:t>基金代码</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016876</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基金管理人</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交银施罗德基金管理有限公司</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基金托管人</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招商银行股份有限公司</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gridAfter w:val="2"/>
          <w:wAfter w:w="4924" w:type="dxa"/>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基金合同生效日</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2022-11-24</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基金类型</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债券型</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交易币种</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人民币</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运作方式</w:t>
            </w:r>
          </w:p>
        </w:tc>
        <w:tc>
          <w:tcPr>
            <w:tcW w:w="1601"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其他开放式</w:t>
            </w:r>
          </w:p>
        </w:tc>
        <w:tc>
          <w:tcPr>
            <w:tcW w:w="3649"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开放频率</w:t>
            </w:r>
          </w:p>
        </w:tc>
        <w:tc>
          <w:tcPr>
            <w:tcW w:w="1275"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每个开放日开放申购，对于每份基金份额设置30天滚动运作期，每个运作期到期日前不可赎回</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基金经理</w:t>
            </w:r>
          </w:p>
        </w:tc>
        <w:tc>
          <w:tcPr>
            <w:tcW w:w="1601" w:type="dxa"/>
            <w:vMerge w:val="restart"/>
          </w:tcPr>
          <w:p>
            <w:pPr>
              <w:spacing w:after="0" w:line="240" w:lineRule="auto"/>
              <w:jc w:val="left"/>
              <w:rPr>
                <w:rFonts w:hint="eastAsia" w:ascii="仿宋_GB2312" w:eastAsia="仿宋_GB2312"/>
                <w:sz w:val="21"/>
                <w:szCs w:val="21"/>
              </w:rPr>
            </w:pPr>
            <w:r>
              <w:rPr>
                <w:rFonts w:hint="eastAsia" w:ascii="仿宋_GB2312" w:eastAsia="仿宋_GB2312"/>
                <w:sz w:val="21"/>
                <w:szCs w:val="21"/>
              </w:rPr>
              <w:t>季参平</w:t>
            </w:r>
          </w:p>
        </w:tc>
        <w:tc>
          <w:tcPr>
            <w:tcW w:w="3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开始担任本基金基金经理的日期</w:t>
            </w:r>
          </w:p>
        </w:tc>
        <w:tc>
          <w:tcPr>
            <w:tcW w:w="2000"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2024-11-23</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Merge w:val="continue"/>
          </w:tcPr>
          <w:p>
            <w:pPr>
              <w:spacing w:after="0" w:line="240" w:lineRule="auto"/>
              <w:jc w:val="left"/>
              <w:rPr>
                <w:rFonts w:hint="eastAsia" w:ascii="仿宋_GB2312" w:eastAsia="仿宋_GB2312"/>
                <w:sz w:val="21"/>
                <w:szCs w:val="21"/>
              </w:rPr>
            </w:pPr>
          </w:p>
        </w:tc>
        <w:tc>
          <w:tcPr>
            <w:tcW w:w="1601" w:type="dxa"/>
            <w:vMerge w:val="continue"/>
          </w:tcPr>
          <w:p>
            <w:pPr>
              <w:spacing w:after="0" w:line="240" w:lineRule="auto"/>
              <w:jc w:val="left"/>
              <w:rPr>
                <w:rFonts w:hint="eastAsia" w:ascii="仿宋_GB2312" w:eastAsia="仿宋_GB2312"/>
                <w:sz w:val="21"/>
                <w:szCs w:val="21"/>
              </w:rPr>
            </w:pPr>
          </w:p>
        </w:tc>
        <w:tc>
          <w:tcPr>
            <w:tcW w:w="3649"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证券从业日期</w:t>
            </w:r>
          </w:p>
        </w:tc>
        <w:tc>
          <w:tcPr>
            <w:tcW w:w="1275"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2012-03-19</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其他</w:t>
            </w:r>
          </w:p>
        </w:tc>
        <w:tc>
          <w:tcPr>
            <w:tcW w:w="6525" w:type="dxa"/>
            <w:gridSpan w:val="3"/>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pPr>
        <w:spacing w:after="0"/>
        <w:jc w:val="left"/>
        <w:rPr>
          <w:rFonts w:ascii="仿宋_GB2312" w:hAnsi="宋体" w:eastAsia="仿宋_GB2312" w:cs="宋体"/>
          <w:b/>
          <w:kern w:val="0"/>
          <w:sz w:val="21"/>
          <w:szCs w:val="21"/>
        </w:rPr>
      </w:pPr>
      <w:r>
        <w:rPr>
          <w:rFonts w:hint="eastAsia" w:ascii="仿宋_GB2312" w:hAnsi="宋体" w:eastAsia="仿宋_GB2312" w:cs="宋体"/>
          <w:b/>
          <w:kern w:val="0"/>
          <w:sz w:val="21"/>
          <w:szCs w:val="21"/>
        </w:rPr>
        <w:t>二、基金投资与净值表现</w:t>
      </w:r>
    </w:p>
    <w:p>
      <w:pPr>
        <w:spacing w:after="0"/>
        <w:jc w:val="left"/>
        <w:rPr>
          <w:rFonts w:ascii="仿宋_GB2312" w:eastAsia="仿宋_GB2312"/>
          <w:b/>
          <w:sz w:val="21"/>
          <w:szCs w:val="21"/>
        </w:rPr>
      </w:pPr>
      <w:r>
        <w:rPr>
          <w:rFonts w:hint="eastAsia" w:ascii="仿宋_GB2312" w:eastAsia="仿宋_GB2312"/>
          <w:b/>
          <w:sz w:val="21"/>
          <w:szCs w:val="21"/>
        </w:rPr>
        <w:t>（一）投资目标与投资策略</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547"/>
        <w:gridCol w:w="6525"/>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widowControl/>
              <w:spacing w:after="0" w:line="240" w:lineRule="auto"/>
              <w:jc w:val="left"/>
              <w:rPr>
                <w:rFonts w:hint="eastAsia" w:ascii="仿宋_GB2312" w:eastAsia="仿宋_GB2312"/>
                <w:sz w:val="21"/>
                <w:szCs w:val="21"/>
              </w:rPr>
            </w:pPr>
            <w:r>
              <w:rPr>
                <w:rFonts w:hint="eastAsia" w:ascii="仿宋_GB2312" w:eastAsia="仿宋_GB2312"/>
                <w:sz w:val="21"/>
                <w:szCs w:val="21"/>
              </w:rPr>
              <w:t>投资目标</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在严格控制风险和保持较高流动性的前提下，力求获得高于业绩比较基准的投资收益。</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投资范围</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的投资范围为具有良好流动性的金融工具，包括债券（含国债、金融债、央行票据、地方政府债、政府支持债、政府支持机构债、企业债、公司债、可分离交易可转债的纯债部分、公开发行的次级债、短期融资券、超短期融资券、中期票据）、资产支持证券、债券回购、银行存款（包括定期存款、协议存款、通知存款等）、同业存单、货币市场工具、国债期货以及法律法规或中国证监会允许基金投资的其他金融工具（但须符合中国证监会相关规定）。本基金不投资于股票等权益类资产，也不投资于可转换债券（可分离交易可转债的纯债部分除外）、可交换债券。</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如法律法规或监管机构以后允许基金投资其他品种，基金管理人在履行适当程序后，可以将其纳入投资范围。</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的投资组合比例为：本基金投资于债券资产的比例不低于基金资产的80%。每个交易日日终在扣除国债期货合约需缴纳的交易保证金后，本基金持有的现金或到期日在一年以内的政府债券的比例合计不低于基金资产净值的5%，其中现金不包括结算备付金、存出保证金、应收申购款等。</w:t>
            </w:r>
          </w:p>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如果法律法规或中国证监会变更投资品种的投资比例限制，基金管理人在履行适当程序后，可以调整上述投资品种的投资比例。</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主要投资策略</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充分发挥基金管理人的研究优势，融合规范化的基本面研究和严谨的信用分析，在分析和判断宏观经济运行状况和金融市场运行趋势的基础上，动态调整大类金融资产比例，自上而下决定类属资产配置和债券组合久期、期限结构；在严谨深入的信用分析基础上，综合考量信用债券的信用评级，以及各类债券的流动性、供求关系和收益率水平等，自下而上精选投资标的。本基金采用的主要策略包括：1、久期调整策略；2、债券的类属配置策略；3、期限结构配置策略；4、回购策略；5、信用债券（含资产支持证券）投资策略；6、国债期货投资策略。</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业绩比较基准</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中债-综合全价（1年以下）指数收益率×95%+活期存款基准利率×5%</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547"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风险收益特征</w:t>
            </w:r>
          </w:p>
        </w:tc>
        <w:tc>
          <w:tcPr>
            <w:tcW w:w="6525" w:type="dxa"/>
            <w:vAlign w:val="center"/>
          </w:tcPr>
          <w:p>
            <w:pPr>
              <w:spacing w:after="0" w:line="240" w:lineRule="auto"/>
              <w:ind w:firstLine="420"/>
              <w:jc w:val="left"/>
              <w:rPr>
                <w:rFonts w:hint="eastAsia" w:ascii="仿宋_GB2312" w:eastAsia="仿宋_GB2312"/>
                <w:sz w:val="21"/>
                <w:szCs w:val="21"/>
              </w:rPr>
            </w:pPr>
            <w:r>
              <w:rPr>
                <w:rFonts w:hint="eastAsia" w:ascii="仿宋_GB2312" w:eastAsia="仿宋_GB2312"/>
                <w:sz w:val="21"/>
                <w:szCs w:val="21"/>
              </w:rPr>
              <w:t>本基金是一只债券型基金，其预期风险与预期收益理论上高于货币市场基金，低于混合型基金和股票型基金。</w:t>
            </w:r>
          </w:p>
        </w:tc>
      </w:tr>
    </w:tbl>
    <w:p>
      <w:pPr>
        <w:spacing w:after="0"/>
        <w:jc w:val="left"/>
        <w:rPr>
          <w:rFonts w:hint="eastAsia" w:ascii="仿宋_GB2312" w:eastAsia="仿宋_GB2312"/>
          <w:sz w:val="21"/>
          <w:szCs w:val="21"/>
        </w:rPr>
      </w:pPr>
      <w:r>
        <w:rPr>
          <w:rFonts w:hint="eastAsia" w:ascii="仿宋_GB2312" w:eastAsia="仿宋_GB2312"/>
          <w:sz w:val="21"/>
          <w:szCs w:val="21"/>
        </w:rPr>
        <w:t>注：详见《交银施罗德稳安30天滚动持有债券型证券投资基金招募说明书》“基金的投资”。</w:t>
      </w:r>
    </w:p>
    <w:p>
      <w:pPr>
        <w:spacing w:after="0"/>
        <w:jc w:val="left"/>
        <w:rPr>
          <w:rFonts w:hint="eastAsia" w:ascii="仿宋_GB2312" w:eastAsia="仿宋_GB2312"/>
          <w:b/>
          <w:sz w:val="21"/>
          <w:szCs w:val="21"/>
        </w:rPr>
      </w:pPr>
      <w:r>
        <w:rPr>
          <w:rFonts w:hint="eastAsia" w:ascii="仿宋_GB2312" w:eastAsia="仿宋_GB2312"/>
          <w:b/>
          <w:sz w:val="21"/>
          <w:szCs w:val="21"/>
        </w:rPr>
        <w:t>（二）投资组合资产配置图表/区域配置图表</w:t>
      </w:r>
    </w:p>
    <w:p>
      <w:pPr>
        <w:spacing w:after="0"/>
        <w:jc w:val="center"/>
        <w:rPr>
          <w:rFonts w:ascii="仿宋_GB2312" w:eastAsia="仿宋_GB2312"/>
          <w:b/>
          <w:sz w:val="21"/>
          <w:szCs w:val="21"/>
        </w:rPr>
      </w:pPr>
      <w:r>
        <w:rPr>
          <w:rFonts w:ascii="仿宋_GB2312" w:hAnsi="仿宋_GB2312"/>
          <w:kern w:val="0"/>
          <w:sz w:val="21"/>
        </w:rPr>
        <w:pict>
          <v:shape id="_x0000_i1025" o:spt="75" type="#_x0000_t75" style="height:250pt;width:454pt;" filled="f" o:preferrelative="t" stroked="f" coordsize="21600,21600">
            <v:path/>
            <v:fill on="f" focussize="0,0"/>
            <v:stroke on="f" joinstyle="miter"/>
            <v:imagedata r:id="rId4" o:title="1521256610242020828"/>
            <o:lock v:ext="edit" aspectratio="t"/>
            <w10:wrap type="none"/>
            <w10:anchorlock/>
          </v:shape>
        </w:pict>
      </w:r>
    </w:p>
    <w:p>
      <w:pPr>
        <w:spacing w:after="0"/>
        <w:ind w:firstLine="420"/>
        <w:jc w:val="left"/>
        <w:rPr>
          <w:rFonts w:hint="eastAsia" w:ascii="仿宋_GB2312" w:eastAsia="仿宋_GB2312"/>
          <w:sz w:val="21"/>
          <w:szCs w:val="21"/>
        </w:rPr>
      </w:pPr>
      <w:r>
        <w:rPr>
          <w:rFonts w:hint="eastAsia" w:ascii="仿宋_GB2312" w:eastAsia="仿宋_GB2312"/>
          <w:sz w:val="21"/>
          <w:szCs w:val="21"/>
        </w:rPr>
        <w:t>注：由于四舍五入的原因，分项之和与合计项之间可能存在尾差。</w:t>
      </w:r>
    </w:p>
    <w:p>
      <w:pPr>
        <w:spacing w:after="0"/>
        <w:jc w:val="left"/>
        <w:rPr>
          <w:rFonts w:hint="eastAsia" w:ascii="仿宋_GB2312" w:hAnsi="仿宋_GB2312" w:eastAsia="仿宋_GB2312" w:cs="仿宋_GB2312"/>
          <w:b/>
          <w:sz w:val="21"/>
          <w:szCs w:val="21"/>
        </w:rPr>
      </w:pPr>
      <w:r>
        <w:rPr>
          <w:rFonts w:hint="eastAsia" w:ascii="仿宋_GB2312" w:eastAsia="仿宋_GB2312"/>
          <w:b/>
          <w:sz w:val="21"/>
          <w:szCs w:val="21"/>
        </w:rPr>
        <w:t>（三）自基金合同生效以来/最近十年（孰短）基金每年的净值增长率及与同期业绩比较基准的比较图</w:t>
      </w:r>
    </w:p>
    <w:p>
      <w:pPr>
        <w:spacing w:after="0"/>
        <w:jc w:val="center"/>
        <w:rPr>
          <w:rFonts w:ascii="仿宋_GB2312" w:eastAsia="仿宋_GB2312"/>
          <w:b/>
          <w:sz w:val="21"/>
          <w:szCs w:val="21"/>
        </w:rPr>
      </w:pPr>
      <w:r>
        <w:rPr>
          <w:rFonts w:ascii="仿宋_GB2312" w:hAnsi="仿宋_GB2312"/>
          <w:kern w:val="0"/>
          <w:sz w:val="21"/>
        </w:rPr>
        <w:pict>
          <v:shape id="_x0000_i1026" o:spt="75" type="#_x0000_t75" style="height:160pt;width:500pt;" filled="f" o:preferrelative="t" stroked="f" coordsize="21600,21600">
            <v:path/>
            <v:fill on="f" focussize="0,0"/>
            <v:stroke on="f" joinstyle="miter"/>
            <v:imagedata r:id="rId5" o:title="1521256610242020828"/>
            <o:lock v:ext="edit" aspectratio="t"/>
            <w10:wrap type="none"/>
            <w10:anchorlock/>
          </v:shape>
        </w:pict>
      </w:r>
    </w:p>
    <w:p>
      <w:pPr>
        <w:spacing w:after="0"/>
        <w:ind w:firstLine="420"/>
        <w:jc w:val="left"/>
        <w:rPr>
          <w:rFonts w:hint="eastAsia" w:ascii="仿宋_GB2312" w:eastAsia="仿宋_GB2312"/>
          <w:sz w:val="21"/>
          <w:szCs w:val="21"/>
        </w:rPr>
      </w:pPr>
      <w:r>
        <w:rPr>
          <w:rFonts w:hint="eastAsia" w:ascii="仿宋_GB2312" w:eastAsia="仿宋_GB2312"/>
          <w:sz w:val="21"/>
          <w:szCs w:val="21"/>
        </w:rPr>
        <w:t>注：1、净值表现数据的截止日为2025年12月31日；</w:t>
      </w:r>
    </w:p>
    <w:p>
      <w:pPr>
        <w:spacing w:after="0"/>
        <w:ind w:left="420" w:firstLine="420" w:firstLineChars="200"/>
        <w:jc w:val="left"/>
        <w:rPr>
          <w:rFonts w:hint="eastAsia" w:ascii="仿宋_GB2312" w:eastAsia="仿宋_GB2312"/>
          <w:sz w:val="21"/>
          <w:szCs w:val="21"/>
        </w:rPr>
      </w:pPr>
      <w:r>
        <w:rPr>
          <w:rFonts w:hint="eastAsia" w:ascii="仿宋_GB2312" w:eastAsia="仿宋_GB2312"/>
          <w:sz w:val="21"/>
          <w:szCs w:val="21"/>
        </w:rPr>
        <w:t>2、本基金合同于2022年11月24日生效，合同生效当年净值增长率按实际存续期计算；</w:t>
      </w:r>
    </w:p>
    <w:p>
      <w:pPr>
        <w:spacing w:after="0"/>
        <w:ind w:left="420" w:firstLine="420" w:firstLineChars="200"/>
        <w:jc w:val="left"/>
        <w:rPr>
          <w:rFonts w:hint="eastAsia" w:ascii="仿宋_GB2312" w:eastAsia="仿宋_GB2312"/>
          <w:sz w:val="21"/>
          <w:szCs w:val="21"/>
        </w:rPr>
      </w:pPr>
      <w:r>
        <w:rPr>
          <w:rFonts w:hint="eastAsia" w:ascii="仿宋_GB2312" w:eastAsia="仿宋_GB2312"/>
          <w:sz w:val="21"/>
          <w:szCs w:val="21"/>
        </w:rPr>
        <w:t>3、基金的过往业绩不代表未来表现。</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三、投资本基金涉及的费用</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（一）基金销售相关费用</w:t>
      </w:r>
    </w:p>
    <w:p>
      <w:pPr>
        <w:spacing w:after="0"/>
        <w:jc w:val="left"/>
        <w:rPr>
          <w:rFonts w:hint="eastAsia" w:ascii="仿宋_GB2312" w:hAnsi="仿宋_GB2312" w:eastAsia="仿宋_GB2312" w:cs="仿宋_GB2312"/>
          <w:sz w:val="21"/>
          <w:szCs w:val="21"/>
        </w:rPr>
      </w:pPr>
      <w:bookmarkStart w:id="0" w:name="_GoBack"/>
      <w:bookmarkEnd w:id="0"/>
      <w:r>
        <w:rPr>
          <w:rFonts w:hint="eastAsia" w:ascii="仿宋_GB2312" w:hAnsi="仿宋_GB2312" w:eastAsia="仿宋_GB2312" w:cs="仿宋_GB2312"/>
          <w:sz w:val="21"/>
          <w:szCs w:val="21"/>
        </w:rPr>
        <w:t>本基金对于每份基金份额设置30天的滚动运作期。每个运作期到期日，基金份额持有人可提出赎回申请。基金份额持有人在每个运作期到期日申请赎回C类基金份额不收取赎回费。</w:t>
      </w:r>
    </w:p>
    <w:p>
      <w:pPr>
        <w:spacing w:after="0"/>
        <w:jc w:val="left"/>
        <w:rPr>
          <w:rFonts w:hint="eastAsia" w:ascii="仿宋_GB2312" w:hAnsi="仿宋_GB2312" w:eastAsia="仿宋_GB2312" w:cs="仿宋_GB2312"/>
          <w:b/>
          <w:sz w:val="21"/>
          <w:szCs w:val="21"/>
        </w:rPr>
      </w:pPr>
      <w:r>
        <w:rPr>
          <w:rFonts w:hint="eastAsia" w:ascii="仿宋_GB2312" w:eastAsia="仿宋_GB2312"/>
          <w:b/>
          <w:sz w:val="21"/>
          <w:szCs w:val="21"/>
        </w:rPr>
        <w:t>（二）基金运作相关费用</w:t>
      </w:r>
    </w:p>
    <w:p>
      <w:pPr>
        <w:spacing w:after="0"/>
        <w:jc w:val="left"/>
        <w:rPr>
          <w:rFonts w:hint="eastAsia" w:ascii="仿宋_GB2312" w:eastAsia="仿宋_GB2312"/>
          <w:b/>
          <w:sz w:val="21"/>
          <w:szCs w:val="21"/>
        </w:rPr>
      </w:pPr>
      <w:r>
        <w:rPr>
          <w:rFonts w:hint="eastAsia" w:ascii="仿宋_GB2312" w:eastAsia="仿宋_GB2312"/>
          <w:sz w:val="21"/>
          <w:szCs w:val="21"/>
        </w:rPr>
        <w:t>以下费用将从基金资产中扣除：</w:t>
      </w:r>
    </w:p>
    <w:tbl>
      <w:tblPr>
        <w:tblStyle w:val="8"/>
        <w:tblW w:w="8505"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809"/>
        <w:gridCol w:w="2886"/>
        <w:gridCol w:w="2810"/>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ascii="仿宋_GB2312" w:eastAsia="仿宋_GB2312"/>
                <w:b/>
                <w:sz w:val="21"/>
                <w:szCs w:val="21"/>
              </w:rPr>
            </w:pPr>
            <w:r>
              <w:rPr>
                <w:rFonts w:ascii="仿宋_GB2312" w:eastAsia="仿宋_GB2312"/>
                <w:b/>
                <w:sz w:val="21"/>
                <w:szCs w:val="21"/>
              </w:rPr>
              <w:t>费用类别</w:t>
            </w:r>
          </w:p>
        </w:tc>
        <w:tc>
          <w:tcPr>
            <w:tcW w:w="3080" w:type="dxa"/>
            <w:vAlign w:val="center"/>
          </w:tcPr>
          <w:p>
            <w:pPr>
              <w:spacing w:after="0" w:line="240" w:lineRule="auto"/>
              <w:rPr>
                <w:rFonts w:ascii="仿宋_GB2312" w:eastAsia="仿宋_GB2312"/>
                <w:b/>
                <w:sz w:val="21"/>
                <w:szCs w:val="21"/>
              </w:rPr>
            </w:pPr>
            <w:r>
              <w:rPr>
                <w:rFonts w:ascii="仿宋_GB2312" w:eastAsia="仿宋_GB2312"/>
                <w:b/>
                <w:sz w:val="21"/>
                <w:szCs w:val="21"/>
              </w:rPr>
              <w:t>收费方式/年费率或金额</w:t>
            </w:r>
          </w:p>
        </w:tc>
        <w:tc>
          <w:tcPr>
            <w:tcW w:w="2542" w:type="dxa"/>
          </w:tcPr>
          <w:p>
            <w:pPr>
              <w:spacing w:after="0" w:line="240" w:lineRule="auto"/>
              <w:rPr>
                <w:rFonts w:ascii="仿宋_GB2312" w:eastAsia="仿宋_GB2312"/>
                <w:b/>
                <w:sz w:val="21"/>
                <w:szCs w:val="21"/>
              </w:rPr>
            </w:pPr>
            <w:r>
              <w:rPr>
                <w:rFonts w:ascii="仿宋_GB2312" w:eastAsia="仿宋_GB2312"/>
                <w:b/>
                <w:sz w:val="21"/>
                <w:szCs w:val="21"/>
              </w:rPr>
              <w:t>收取方</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管理费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0.20%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基金管理人和销售机构</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托管费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0.05%</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基金托管人</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销售服务费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0.15%</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销售机构</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审计费用</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40000.00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会计师事务所</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信息披露费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120000.00</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规定披露报刊</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jc w:val="left"/>
              <w:rPr>
                <w:rFonts w:hint="eastAsia" w:ascii="仿宋_GB2312" w:eastAsia="仿宋_GB2312"/>
                <w:sz w:val="21"/>
                <w:szCs w:val="21"/>
              </w:rPr>
            </w:pPr>
            <w:r>
              <w:rPr>
                <w:rFonts w:hint="eastAsia" w:ascii="仿宋_GB2312" w:eastAsia="仿宋_GB2312"/>
                <w:sz w:val="21"/>
                <w:szCs w:val="21"/>
              </w:rPr>
              <w:t>指数许可使用费</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w:t>
            </w:r>
          </w:p>
        </w:tc>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指数编制公司</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r>
              <w:rPr>
                <w:rFonts w:hint="eastAsia" w:ascii="仿宋_GB2312" w:eastAsia="仿宋_GB2312"/>
                <w:sz w:val="21"/>
                <w:szCs w:val="21"/>
              </w:rPr>
              <w:t>其他费用</w:t>
            </w: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详见本基金招募说明书“基金的费用与税收”部分</w:t>
            </w:r>
          </w:p>
        </w:tc>
        <w:tc>
          <w:tcPr>
            <w:tcW w:w="3078" w:type="dxa"/>
          </w:tcPr>
          <w:p>
            <w:pPr>
              <w:spacing w:after="0" w:line="240" w:lineRule="auto"/>
              <w:rPr>
                <w:rFonts w:hint="eastAsia" w:ascii="仿宋_GB2312" w:eastAsia="仿宋_GB2312"/>
                <w:sz w:val="21"/>
                <w:szCs w:val="21"/>
              </w:rPr>
            </w:pPr>
          </w:p>
        </w:tc>
      </w:tr>
    </w:tbl>
    <w:p>
      <w:pPr>
        <w:spacing w:after="0"/>
        <w:jc w:val="left"/>
        <w:rPr>
          <w:rFonts w:hint="eastAsia" w:ascii="仿宋_GB2312" w:eastAsia="仿宋_GB2312"/>
          <w:sz w:val="21"/>
          <w:szCs w:val="21"/>
        </w:rPr>
      </w:pPr>
      <w:r>
        <w:rPr>
          <w:rFonts w:hint="eastAsia" w:ascii="仿宋_GB2312" w:eastAsia="仿宋_GB2312"/>
          <w:sz w:val="21"/>
          <w:szCs w:val="21"/>
        </w:rPr>
        <w:t>注：本基金交易证券、基金等产生的费用和税负，按实际发生额从基金资产扣除。上表中披露的年费用金额为基金整体承担费用，非单个份额类别费用，且年金额为预估值，最终实际金额以基金定期报告披露为准。</w:t>
      </w:r>
    </w:p>
    <w:p>
      <w:pPr>
        <w:spacing w:after="0"/>
        <w:jc w:val="left"/>
        <w:rPr>
          <w:rFonts w:hint="eastAsia" w:ascii="仿宋_GB2312" w:eastAsia="仿宋_GB2312"/>
          <w:b/>
          <w:sz w:val="21"/>
          <w:szCs w:val="21"/>
        </w:rPr>
      </w:pPr>
      <w:r>
        <w:rPr>
          <w:rFonts w:hint="eastAsia" w:ascii="仿宋_GB2312" w:eastAsia="仿宋_GB2312"/>
          <w:b/>
          <w:sz w:val="21"/>
          <w:szCs w:val="21"/>
        </w:rPr>
        <w:t>（三）基金运作综合费用测算</w:t>
      </w:r>
    </w:p>
    <w:p>
      <w:pPr>
        <w:spacing w:after="0"/>
        <w:jc w:val="left"/>
        <w:rPr>
          <w:rFonts w:hint="eastAsia" w:ascii="仿宋_GB2312" w:eastAsia="仿宋_GB2312"/>
          <w:b/>
          <w:sz w:val="21"/>
          <w:szCs w:val="21"/>
        </w:rPr>
      </w:pPr>
      <w:r>
        <w:rPr>
          <w:rFonts w:hint="eastAsia" w:ascii="仿宋_GB2312" w:eastAsia="仿宋_GB2312"/>
          <w:sz w:val="21"/>
          <w:szCs w:val="21"/>
        </w:rPr>
        <w:t>若投资者认购/申购本基金份额，在持有期间，投资者需支出的运作费率如下表：</w:t>
      </w:r>
    </w:p>
    <w:tbl>
      <w:tblPr>
        <w:tblStyle w:val="8"/>
        <w:tblW w:w="8505"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3109"/>
        <w:gridCol w:w="5396"/>
      </w:tblGrid>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b/>
                <w:sz w:val="21"/>
                <w:szCs w:val="21"/>
              </w:rPr>
            </w:pPr>
          </w:p>
        </w:tc>
        <w:tc>
          <w:tcPr>
            <w:tcW w:w="5342" w:type="dxa"/>
          </w:tcPr>
          <w:p>
            <w:pPr>
              <w:spacing w:after="0" w:line="240" w:lineRule="auto"/>
              <w:rPr>
                <w:rFonts w:hint="eastAsia" w:ascii="仿宋_GB2312" w:eastAsia="仿宋_GB2312"/>
                <w:b/>
                <w:sz w:val="21"/>
                <w:szCs w:val="21"/>
              </w:rPr>
            </w:pPr>
            <w:r>
              <w:rPr>
                <w:rFonts w:hint="eastAsia" w:ascii="仿宋_GB2312" w:eastAsia="仿宋_GB2312"/>
                <w:b/>
                <w:sz w:val="21"/>
                <w:szCs w:val="21"/>
              </w:rPr>
              <w:t>基金运作综合费率（年化）</w:t>
            </w:r>
          </w:p>
        </w:tc>
      </w:tr>
      <w:tr>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3078" w:type="dxa"/>
          </w:tcPr>
          <w:p>
            <w:pPr>
              <w:spacing w:after="0" w:line="240" w:lineRule="auto"/>
              <w:rPr>
                <w:rFonts w:hint="eastAsia" w:ascii="仿宋_GB2312" w:eastAsia="仿宋_GB2312"/>
                <w:sz w:val="21"/>
                <w:szCs w:val="21"/>
              </w:rPr>
            </w:pPr>
          </w:p>
        </w:tc>
        <w:tc>
          <w:tcPr>
            <w:tcW w:w="3080" w:type="dxa"/>
            <w:vAlign w:val="center"/>
          </w:tcPr>
          <w:p>
            <w:pPr>
              <w:spacing w:after="0" w:line="240" w:lineRule="auto"/>
              <w:rPr>
                <w:rFonts w:hint="eastAsia" w:ascii="仿宋_GB2312" w:eastAsia="仿宋_GB2312"/>
                <w:sz w:val="21"/>
                <w:szCs w:val="21"/>
              </w:rPr>
            </w:pPr>
            <w:r>
              <w:rPr>
                <w:rFonts w:hint="eastAsia" w:ascii="仿宋_GB2312" w:eastAsia="仿宋_GB2312"/>
                <w:sz w:val="21"/>
                <w:szCs w:val="21"/>
              </w:rPr>
              <w:t>0.42%</w:t>
            </w:r>
          </w:p>
        </w:tc>
      </w:tr>
    </w:tbl>
    <w:p>
      <w:pPr>
        <w:spacing w:after="0"/>
        <w:jc w:val="left"/>
        <w:rPr>
          <w:rFonts w:hint="eastAsia" w:ascii="仿宋" w:hAnsi="仿宋" w:eastAsia="仿宋" w:cs="仿宋"/>
          <w:sz w:val="21"/>
          <w:szCs w:val="21"/>
        </w:rPr>
      </w:pPr>
      <w:r>
        <w:rPr>
          <w:rFonts w:hint="eastAsia" w:ascii="仿宋_GB2312" w:eastAsia="仿宋_GB2312"/>
          <w:sz w:val="21"/>
          <w:szCs w:val="21"/>
        </w:rPr>
        <w:t>注：基金管理费率、托管费率、销售服务费率（若有）为基金现行费率，其他运作费用以最近一次基金年报披露的相关数据为基准测算。</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四、风险揭示与重要提示</w:t>
      </w:r>
    </w:p>
    <w:p>
      <w:pPr>
        <w:spacing w:after="0"/>
        <w:jc w:val="left"/>
        <w:rPr>
          <w:rFonts w:hint="eastAsia" w:ascii="仿宋_GB2312" w:hAnsi="宋体" w:eastAsia="仿宋_GB2312" w:cs="宋体"/>
          <w:b/>
          <w:kern w:val="0"/>
          <w:sz w:val="21"/>
          <w:szCs w:val="21"/>
        </w:rPr>
      </w:pPr>
      <w:r>
        <w:rPr>
          <w:rFonts w:hint="eastAsia" w:ascii="仿宋_GB2312" w:hAnsi="宋体" w:eastAsia="仿宋_GB2312" w:cs="宋体"/>
          <w:b/>
          <w:kern w:val="0"/>
          <w:sz w:val="21"/>
          <w:szCs w:val="21"/>
        </w:rPr>
        <w:t>（一）风险揭示</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本基金不提供任何保证。投资者可能损失投资本金。</w:t>
      </w:r>
    </w:p>
    <w:p>
      <w:pPr>
        <w:spacing w:after="0"/>
        <w:ind w:firstLine="420"/>
        <w:jc w:val="left"/>
        <w:rPr>
          <w:rFonts w:hint="eastAsia" w:ascii="仿宋_GB2312" w:eastAsia="仿宋_GB2312"/>
          <w:sz w:val="21"/>
          <w:szCs w:val="21"/>
        </w:rPr>
      </w:pPr>
      <w:r>
        <w:rPr>
          <w:rFonts w:hint="eastAsia" w:ascii="仿宋_GB2312" w:eastAsia="仿宋_GB2312"/>
          <w:sz w:val="21"/>
          <w:szCs w:val="21"/>
        </w:rPr>
        <w:t>投资有风险，投资者购买基金时应认真阅读本基金的《招募说明书》等销售文件。</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基金份额持有人须了解并承受以下风险：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1、市场风险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（1）政策风险、（2）经济周期风险、（3）利率风险、（4）信用风险、（5）购买力风险、（6）债券收益率曲线变动风险、（7）再投资风险、（8）经营风险、（9）上市公司经营风险、（10）债券回购风险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2、管理风险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3、流动性风险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4、交易对手违约风险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5、本基金的特有风险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（1）本基金为债券型基金，投资于债券资产的比例不低于基金资产的80%，因投资固定收益类资产而面临固定收益类资产市场的系统性风险和个券风险；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2）运作期不能赎回的风险。本基金对每份基金份额设置30天的滚动运作期。对于每份基金份额，基金管理人仅在该基金份额的每个运作期到期日为基金份额持有人办理赎回。如果基金份额持有人在当期运作期到期日未申请赎回或赎回被确认失败，则该基金份额将在该运作期到期日下一日起自动进入下一个运作期；在下一个运作期到期日前，基金份额持有人不能赎回该基金份额。因此基金份额持有人面临在滚动运作期内不能赎回基金份额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3）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pPr>
        <w:spacing w:after="0"/>
        <w:ind w:firstLine="420"/>
        <w:jc w:val="left"/>
        <w:rPr>
          <w:rFonts w:hint="eastAsia" w:ascii="仿宋_GB2312" w:eastAsia="仿宋_GB2312"/>
          <w:sz w:val="21"/>
          <w:szCs w:val="21"/>
        </w:rPr>
      </w:pPr>
      <w:r>
        <w:rPr>
          <w:rFonts w:hint="eastAsia" w:ascii="仿宋_GB2312" w:eastAsia="仿宋_GB2312"/>
          <w:sz w:val="21"/>
          <w:szCs w:val="21"/>
        </w:rPr>
        <w:t>（4）基金合同提前终止风险。连续50个工作日出现基金份额持有人数量不满200人或者基金资产净值低于5000万元情形的，基金合同终止，不需召开基金份额持有人大会。</w:t>
      </w:r>
    </w:p>
    <w:p>
      <w:pPr>
        <w:spacing w:after="0"/>
        <w:ind w:firstLine="420"/>
        <w:jc w:val="left"/>
        <w:rPr>
          <w:rFonts w:hint="eastAsia" w:ascii="仿宋_GB2312" w:eastAsia="仿宋_GB2312"/>
          <w:sz w:val="21"/>
          <w:szCs w:val="21"/>
        </w:rPr>
      </w:pPr>
      <w:r>
        <w:rPr>
          <w:rFonts w:hint="eastAsia" w:ascii="仿宋_GB2312" w:eastAsia="仿宋_GB2312"/>
          <w:sz w:val="21"/>
          <w:szCs w:val="21"/>
        </w:rPr>
        <w:t>6、投资国债期货的特定风险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国债期货，国债期货的投资可能给本基金带来额外风险。国债期货的投资可能面临市场风险、基差风险、流动性风险。市场风险是因期货市场价格波动使所持有的期货合约价值发生变化的风险。基差风险是期货市场的特有风险之一，是指由于期货与现货之间价差的波动，影响套期保值或套利效果，使之发生意外损益的风险。流动性风险可分为两类：一类为流通量风险，是指期货合约无法及时以所希望的价格建立或了结头寸的风险，此类风险往往是由市场缺乏广度或深度导致的；另一类为资金量风险，是指资金量无法满足保证金要求，使得所持有的头寸面临被强制平仓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7、投资资产支持证券的特定风险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8、本基金法律文件风险收益特征表述与销售机构基金风险评价可能不一致的风险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spacing w:after="0"/>
        <w:ind w:firstLine="420"/>
        <w:jc w:val="left"/>
        <w:rPr>
          <w:rFonts w:hint="eastAsia" w:ascii="仿宋_GB2312" w:eastAsia="仿宋_GB2312"/>
          <w:sz w:val="21"/>
          <w:szCs w:val="21"/>
        </w:rPr>
      </w:pPr>
      <w:r>
        <w:rPr>
          <w:rFonts w:hint="eastAsia" w:ascii="仿宋_GB2312" w:eastAsia="仿宋_GB2312"/>
          <w:sz w:val="21"/>
          <w:szCs w:val="21"/>
        </w:rPr>
        <w:t>9、其他风险</w:t>
      </w:r>
    </w:p>
    <w:p>
      <w:pPr>
        <w:spacing w:after="0"/>
        <w:jc w:val="left"/>
        <w:rPr>
          <w:rFonts w:ascii="仿宋_GB2312" w:eastAsia="仿宋_GB2312"/>
          <w:b/>
          <w:sz w:val="21"/>
          <w:szCs w:val="21"/>
        </w:rPr>
      </w:pPr>
      <w:r>
        <w:rPr>
          <w:rFonts w:ascii="仿宋_GB2312" w:eastAsia="仿宋_GB2312"/>
          <w:b/>
          <w:sz w:val="21"/>
          <w:szCs w:val="21"/>
        </w:rPr>
        <w:t>（二）重要提示</w:t>
      </w:r>
    </w:p>
    <w:p>
      <w:pPr>
        <w:spacing w:after="0"/>
        <w:ind w:firstLine="420"/>
        <w:jc w:val="left"/>
        <w:rPr>
          <w:rFonts w:hint="eastAsia" w:ascii="仿宋_GB2312" w:eastAsia="仿宋_GB2312"/>
          <w:sz w:val="21"/>
          <w:szCs w:val="21"/>
        </w:rPr>
      </w:pPr>
      <w:r>
        <w:rPr>
          <w:rFonts w:hint="eastAsia" w:ascii="仿宋_GB2312" w:eastAsia="仿宋_GB2312"/>
          <w:sz w:val="21"/>
          <w:szCs w:val="21"/>
        </w:rPr>
        <w:t>中国证监会对本基金募集的核准或注册，并不表明其对本基金的价值和收益作出实质性判断或保证，也不表明投资于本基金没有风险。</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基金管理人依照恪尽职守、诚实信用、谨慎勤勉的原则管理和运用基金财产，但不保证基金一定盈利，也不保证最低收益。</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pPr>
        <w:spacing w:after="0"/>
        <w:ind w:firstLine="420"/>
        <w:jc w:val="left"/>
        <w:rPr>
          <w:rFonts w:hint="eastAsia" w:ascii="仿宋_GB2312" w:eastAsia="仿宋_GB2312"/>
          <w:sz w:val="21"/>
          <w:szCs w:val="21"/>
        </w:rPr>
      </w:pPr>
      <w:r>
        <w:rPr>
          <w:rFonts w:hint="eastAsia" w:ascii="仿宋_GB2312" w:eastAsia="仿宋_GB2312"/>
          <w:sz w:val="21"/>
          <w:szCs w:val="21"/>
        </w:rPr>
        <w:t>销售机构的风险等级评价与基金法律文件中风险收益特征的表述可能存在不同，投资人在购买本基金时需按照销售机构的要求完成风险承受能力与产品风险之间的匹配检验。</w:t>
      </w:r>
    </w:p>
    <w:p>
      <w:pPr>
        <w:spacing w:after="0"/>
        <w:ind w:firstLine="420"/>
        <w:jc w:val="left"/>
        <w:rPr>
          <w:rFonts w:hint="eastAsia" w:ascii="仿宋_GB2312" w:eastAsia="仿宋_GB2312"/>
          <w:sz w:val="21"/>
          <w:szCs w:val="21"/>
        </w:rPr>
      </w:pPr>
      <w:r>
        <w:rPr>
          <w:rFonts w:hint="eastAsia" w:ascii="仿宋_GB2312" w:eastAsia="仿宋_GB2312"/>
          <w:sz w:val="21"/>
          <w:szCs w:val="21"/>
        </w:rPr>
        <w:t>▲▲</w:t>
      </w:r>
      <w:r>
        <w:rPr>
          <w:rFonts w:hint="eastAsia" w:ascii="仿宋_GB2312" w:hAnsi="仿宋_GB2312" w:eastAsia="仿宋_GB2312"/>
          <w:b/>
          <w:kern w:val="0"/>
          <w:sz w:val="21"/>
        </w:rPr>
        <w:t>因基金合同而产生的或与基金合同有关的一切争议，如经友好协商未能解决的，任何一方均有权将争议提交深圳国际仲裁院，按其届时有效的仲裁规则进行仲裁。仲裁地点为深圳市。</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pPr>
        <w:spacing w:after="0"/>
        <w:jc w:val="left"/>
        <w:rPr>
          <w:rFonts w:ascii="仿宋_GB2312" w:eastAsia="仿宋_GB2312"/>
          <w:b/>
          <w:sz w:val="21"/>
          <w:szCs w:val="21"/>
        </w:rPr>
      </w:pPr>
      <w:r>
        <w:rPr>
          <w:rFonts w:ascii="仿宋_GB2312" w:eastAsia="仿宋_GB2312"/>
          <w:b/>
          <w:sz w:val="21"/>
          <w:szCs w:val="21"/>
        </w:rPr>
        <w:t>五、其他资料查询方式</w:t>
      </w:r>
    </w:p>
    <w:p>
      <w:pPr>
        <w:spacing w:after="0"/>
        <w:ind w:firstLine="420"/>
        <w:jc w:val="left"/>
        <w:rPr>
          <w:rFonts w:hint="eastAsia" w:ascii="仿宋_GB2312" w:eastAsia="仿宋_GB2312"/>
          <w:sz w:val="21"/>
          <w:szCs w:val="21"/>
        </w:rPr>
      </w:pPr>
      <w:r>
        <w:rPr>
          <w:rFonts w:hint="eastAsia" w:ascii="仿宋_GB2312" w:eastAsia="仿宋_GB2312"/>
          <w:sz w:val="21"/>
          <w:szCs w:val="21"/>
        </w:rPr>
        <w:t>以下资料详见交银施罗德基金官方网站[www.fund001.com][客服电话：400-700-5000]</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●《交银施罗德稳安30天滚动持有债券型证券投资基金基金合同》、</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《交银施罗德稳安30天滚动持有债券型证券投资基金托管协议》、</w:t>
      </w:r>
    </w:p>
    <w:p>
      <w:pPr>
        <w:spacing w:after="0"/>
        <w:ind w:firstLine="420"/>
        <w:jc w:val="left"/>
        <w:rPr>
          <w:rFonts w:hint="eastAsia" w:ascii="仿宋_GB2312" w:eastAsia="仿宋_GB2312"/>
          <w:sz w:val="21"/>
          <w:szCs w:val="21"/>
        </w:rPr>
      </w:pPr>
      <w:r>
        <w:rPr>
          <w:rFonts w:hint="eastAsia" w:ascii="仿宋_GB2312" w:eastAsia="仿宋_GB2312"/>
          <w:sz w:val="21"/>
          <w:szCs w:val="21"/>
        </w:rPr>
        <w:t>《交银施罗德稳安30天滚动持有债券型证券投资基金招募说明书》</w:t>
      </w:r>
    </w:p>
    <w:p>
      <w:pPr>
        <w:spacing w:after="0"/>
        <w:ind w:firstLine="420"/>
        <w:jc w:val="left"/>
        <w:rPr>
          <w:rFonts w:hint="eastAsia" w:ascii="仿宋_GB2312" w:eastAsia="仿宋_GB2312"/>
          <w:sz w:val="21"/>
          <w:szCs w:val="21"/>
        </w:rPr>
      </w:pPr>
      <w:r>
        <w:rPr>
          <w:rFonts w:hint="eastAsia" w:ascii="仿宋_GB2312" w:eastAsia="仿宋_GB2312"/>
          <w:sz w:val="21"/>
          <w:szCs w:val="21"/>
        </w:rPr>
        <w:t>●定期报告，包括基金季度报告、中期报告和年度报告</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●基金份额净值</w:t>
      </w:r>
    </w:p>
    <w:p>
      <w:pPr>
        <w:spacing w:after="0"/>
        <w:ind w:firstLine="420"/>
        <w:jc w:val="left"/>
        <w:rPr>
          <w:rFonts w:hint="eastAsia" w:ascii="仿宋_GB2312" w:eastAsia="仿宋_GB2312"/>
          <w:sz w:val="21"/>
          <w:szCs w:val="21"/>
        </w:rPr>
      </w:pPr>
      <w:r>
        <w:rPr>
          <w:rFonts w:hint="eastAsia" w:ascii="仿宋_GB2312" w:eastAsia="仿宋_GB2312"/>
          <w:sz w:val="21"/>
          <w:szCs w:val="21"/>
        </w:rPr>
        <w:t>●基金销售机构及联系方式</w:t>
      </w:r>
    </w:p>
    <w:p>
      <w:pPr>
        <w:spacing w:after="0"/>
        <w:ind w:firstLine="420"/>
        <w:jc w:val="left"/>
        <w:rPr>
          <w:rFonts w:hint="eastAsia" w:ascii="仿宋_GB2312" w:eastAsia="仿宋_GB2312"/>
          <w:sz w:val="21"/>
          <w:szCs w:val="21"/>
        </w:rPr>
      </w:pPr>
      <w:r>
        <w:rPr>
          <w:rFonts w:hint="eastAsia" w:ascii="仿宋_GB2312" w:eastAsia="仿宋_GB2312"/>
          <w:sz w:val="21"/>
          <w:szCs w:val="21"/>
        </w:rPr>
        <w:t>●其他重要资料</w:t>
      </w:r>
    </w:p>
    <w:p>
      <w:pPr>
        <w:spacing w:after="0"/>
        <w:jc w:val="left"/>
        <w:rPr>
          <w:rFonts w:hint="eastAsia" w:ascii="仿宋_GB2312" w:eastAsia="仿宋_GB2312"/>
          <w:b/>
          <w:sz w:val="21"/>
          <w:szCs w:val="21"/>
        </w:rPr>
      </w:pPr>
      <w:r>
        <w:rPr>
          <w:rFonts w:hint="eastAsia" w:ascii="仿宋_GB2312" w:eastAsia="仿宋_GB2312"/>
          <w:b/>
          <w:sz w:val="21"/>
          <w:szCs w:val="21"/>
        </w:rPr>
        <w:t>六、其他情况说明</w:t>
      </w:r>
    </w:p>
    <w:p>
      <w:pPr>
        <w:spacing w:after="0"/>
        <w:ind w:firstLine="420"/>
        <w:jc w:val="left"/>
        <w:rPr>
          <w:rFonts w:hint="eastAsia" w:ascii="仿宋_GB2312" w:eastAsia="仿宋_GB2312"/>
          <w:sz w:val="21"/>
          <w:szCs w:val="21"/>
        </w:rPr>
      </w:pPr>
      <w:r>
        <w:rPr>
          <w:rFonts w:hint="eastAsia" w:ascii="仿宋_GB2312" w:eastAsia="仿宋_GB2312"/>
          <w:sz w:val="21"/>
          <w:szCs w:val="21"/>
        </w:rPr>
        <w:t>无。</w:t>
      </w:r>
    </w:p>
    <w:sect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FZHTJW--GB1-0">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4B61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uiPriority w:val="99"/>
    <w:rPr>
      <w:sz w:val="18"/>
      <w:szCs w:val="18"/>
    </w:r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4"/>
      <w:szCs w:val="24"/>
    </w:rPr>
  </w:style>
  <w:style w:type="character" w:customStyle="1" w:styleId="11">
    <w:name w:val="页眉 Char"/>
    <w:basedOn w:val="9"/>
    <w:link w:val="5"/>
    <w:uiPriority w:val="99"/>
    <w:rPr>
      <w:sz w:val="18"/>
      <w:szCs w:val="18"/>
    </w:rPr>
  </w:style>
  <w:style w:type="character" w:customStyle="1" w:styleId="12">
    <w:name w:val="页脚 Char"/>
    <w:basedOn w:val="9"/>
    <w:link w:val="4"/>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Char"/>
    <w:basedOn w:val="9"/>
    <w:link w:val="2"/>
    <w:semiHidden/>
    <w:qFormat/>
    <w:uiPriority w:val="99"/>
  </w:style>
  <w:style w:type="character" w:customStyle="1" w:styleId="15">
    <w:name w:val="批注主题 Char"/>
    <w:basedOn w:val="14"/>
    <w:link w:val="6"/>
    <w:semiHidden/>
    <w:qFormat/>
    <w:uiPriority w:val="99"/>
    <w:rPr>
      <w:b/>
      <w:bCs/>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165</Words>
  <Characters>947</Characters>
  <Lines>7</Lines>
  <Paragraphs>2</Paragraphs>
  <TotalTime>2</TotalTime>
  <ScaleCrop>false</ScaleCrop>
  <LinksUpToDate>false</LinksUpToDate>
  <CharactersWithSpaces>1110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2020-05-03T04:18:00Z</dcterms:created>
  <dc:creator>Cc</dc:creator>
  <cp:lastModifiedBy>haotingting</cp:lastModifiedBy>
  <dcterms:modified xsi:type="dcterms:W3CDTF">2026-09-23T01:28:18Z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BB4423AE07994A89BF814BE4BF24BCEC</vt:lpwstr>
  </property>
</Properties>
</file>