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交银施罗德优选回报灵活配置混合型证券投资基金（C类份额）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交银优选回报灵活配置混合C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519769</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中信银行股份有限公司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2016-04-22</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姜承操</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2024-12-03</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2011-07-11</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孙婕衎</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2024-12-03</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2011-05-11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二十个工作日基金份额持有人数量不满200人或者基金资产净值低于5000万元的，基金管理人应当在定期报告中予以披露。连续六十个工作日出现基金份额持有人数量不满200人或者基金资产净值低于5000万元情形的，基金管理人提前终止基金合同，按照相关法律法规和基金合同的约定进入清算程序，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本基金在控制风险并保持基金资产良好的流动性的前提下，力争为投资者提供长期稳健的投资回报。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中小板、创业板及其他经中国证监会核准上市的股票、存托凭证）、债券（含国债、央行票据、金融债、地方政府债、企业债、公司债、可转债（含可分离交易可转换债券）、可交换公司债、次级债、中期票据、短期融资券、超级短期融资券、中小企业私募债等）、资产支持证券、货币市场工具、银行存款、股指期货、权证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资产（含存托凭证）占基金资产0%-95%，股票资产按照基金所持有的股票市值以及买入、卖出股指期货合约价值合计（轧差计算)；权证的投资比例不超过基金资产净值的3%；每个交易日日终在扣除股指期货合约需缴纳的交易保证金后，基金保留的现金或者投资于到期日在一年以内的政府债券的比例合计不低于基金资产净值的5%，其中现金不包括结算备付金、存出保证金、应收申购款等；基金在任何交易日日终，持有的买入股指期货合约价值，不得超过基金资产净值的10%；基金在任何交易日日终，持有的卖出期货合约价值不得超过基金持有的股票总市值的20%。</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的研究优势，在分析和判断宏观经济周期和金融市场运行趋势的基础上，自上而下灵活调整基金大类资产配置比例和股票行业配置比例，确定债券组合久期和债券类别配置；在严谨深入的股票和债券研究分析基础上，自下而上精选股票和债券；在保持总体风险水平相对稳定的基础上，力争获取投资组合的较高回报。</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1、大类资产配置；2、股票投资策略；3、债券投资策略；4、权证投资；5、股指期货投资。</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沪深300指数收益率×10%+中债新综合全价（1-3年）指数收益率×85%+人民币银行活期存款利率（税后）×5%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详见《交银施罗德优选回报灵活配置混合型证券投资基金招募说明书》“基金的投资”。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2、本基金合同于2016年4月22日生效，合同生效当年净值增长率按实际存续期计算；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注：1、本基金对持续持有期少于7日的投资人收取1.5%的赎回费，请投资人予以关注。2、销售机构若有其他费率优惠请见基金管理人或其他销售机构的有关公告或通知。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0.60%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40000.00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1.02%</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投资中小企业私募债，中小企业私募债是根据相关法律法规由非上市中小企业采用非公开方式发行的债券。由于不能公开交易，一般情况下，交易不活跃，潜在较大流动性风险。当发债主体信用质量恶化时，受市场流动性所限，本基金可能无法卖出所持有的中小企业私募债，由此可能给基金净值带来更大的负面影响和损失。</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7、基金合同提前终止风险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连续六十个工作日出现基金份额持有人数量不满200人或者基金资产净值低于5000万元情形的，基金管理人将提前终止基金合同，按照相关法律法规和基金合同的约定进入清算程序，不需召开基金份额持有人大会。</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●《交银施罗德优选回报灵活配置混合型证券投资基金基金合同》、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《交银施罗德优选回报灵活配置混合型证券投资基金托管协议》、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《交银施罗德优选回报灵活配置混合型证券投资基金招募说明书》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