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FC2918" w:rsidRPr="00335FE8" w:rsidP="006A53E7">
      <w:pPr>
        <w:spacing w:after="0"/>
        <w:jc w:val="center"/>
        <w:rPr>
          <w:rFonts w:ascii="黑体" w:eastAsia="黑体" w:hAnsi="黑体"/>
          <w:b/>
          <w:sz w:val="36"/>
        </w:rPr>
      </w:pPr>
      <w:r w:rsidRPr="00335FE8">
        <w:rPr>
          <w:rFonts w:ascii="黑体" w:eastAsia="黑体" w:hAnsi="黑体" w:hint="eastAsia"/>
          <w:b/>
          <w:sz w:val="36"/>
        </w:rPr>
        <w:t>交银施罗德裕祥纯债债券型证券投资基金（C类份额）</w:t>
      </w:r>
    </w:p>
    <w:p w:rsidR="00FC2918" w:rsidRPr="00335FE8" w:rsidP="006A53E7">
      <w:pPr>
        <w:spacing w:after="0"/>
        <w:jc w:val="center"/>
        <w:rPr>
          <w:rFonts w:ascii="黑体" w:eastAsia="黑体" w:hAnsi="黑体"/>
          <w:b/>
          <w:sz w:val="36"/>
        </w:rPr>
      </w:pPr>
      <w:r w:rsidRPr="00335FE8">
        <w:rPr>
          <w:rFonts w:ascii="黑体" w:eastAsia="黑体" w:hAnsi="黑体" w:hint="eastAsia"/>
          <w:b/>
          <w:sz w:val="36"/>
        </w:rPr>
        <w:t>基金产品资料概要更新</w:t>
      </w:r>
    </w:p>
    <w:p w:rsidR="00880454" w:rsidRPr="00335FE8" w:rsidP="00880454">
      <w:pPr>
        <w:spacing w:after="0"/>
        <w:jc w:val="right"/>
        <w:rPr>
          <w:rFonts w:ascii="仿宋_GB2312" w:eastAsia="仿宋_GB2312" w:hint="eastAsia"/>
          <w:kern w:val="0"/>
          <w:sz w:val="21"/>
          <w:szCs w:val="21"/>
        </w:rPr>
      </w:pPr>
      <w:r w:rsidRPr="00335FE8">
        <w:rPr>
          <w:rFonts w:ascii="仿宋_GB2312" w:eastAsia="仿宋_GB2312" w:hint="eastAsia"/>
          <w:sz w:val="21"/>
        </w:rPr>
        <w:t>编制日期：</w:t>
      </w:r>
      <w:r w:rsidRPr="00335FE8" w:rsidR="006A53E7">
        <w:rPr>
          <w:rFonts w:ascii="Times New Roman" w:eastAsia="Times New Roman" w:hAnsi="Times New Roman" w:cs="Times New Roman" w:hint="eastAsia"/>
          <w:kern w:val="0"/>
          <w:sz w:val="21"/>
          <w:szCs w:val="21"/>
        </w:rPr>
        <w:t>2026-09-02</w:t>
      </w:r>
    </w:p>
    <w:p w:rsidR="00264C81" w:rsidP="00264C81">
      <w:pPr>
        <w:spacing w:after="0" w:line="380" w:lineRule="exact"/>
        <w:jc w:val="center"/>
        <w:rPr>
          <w:rFonts w:ascii="仿宋_GB2312" w:eastAsia="仿宋_GB2312" w:hint="eastAsia"/>
          <w:b/>
          <w:iCs/>
          <w:sz w:val="21"/>
          <w:szCs w:val="21"/>
        </w:rPr>
      </w:pPr>
      <w:r>
        <w:rPr>
          <w:rFonts w:ascii="仿宋_GB2312" w:eastAsia="仿宋_GB2312" w:hint="eastAsia"/>
          <w:sz w:val="21"/>
        </w:rPr>
        <w:t>送出日期：</w:t>
      </w:r>
      <w:r>
        <w:rPr>
          <w:rFonts w:ascii="Times New Roman" w:eastAsia="Times New Roman" w:hAnsi="Times New Roman" w:cs="Times New Roman" w:hint="eastAsia"/>
          <w:kern w:val="0"/>
          <w:sz w:val="21"/>
          <w:szCs w:val="21"/>
        </w:rPr>
        <w:t>2026-10-09</w:t>
      </w:r>
      <w:bookmarkStart w:id="0" w:name="_GoBack"/>
      <w:bookmarkEnd w:id="0"/>
      <w:r>
        <w:rPr>
          <w:rFonts w:ascii="仿宋" w:hAnsi="仿宋" w:cs="仿宋" w:hint="eastAsia"/>
          <w:b/>
          <w:iCs/>
          <w:sz w:val="21"/>
          <w:szCs w:val="21"/>
        </w:rPr>
        <w:t xml:space="preserve"> </w:t>
      </w:r>
    </w:p>
    <w:p w:rsidR="006A53E7" w:rsidRPr="00335FE8" w:rsidP="00335FE8">
      <w:pPr>
        <w:autoSpaceDE w:val="0"/>
        <w:autoSpaceDN w:val="0"/>
        <w:adjustRightInd w:val="0"/>
        <w:spacing w:after="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rsidR="006A53E7" w:rsidRPr="00335FE8" w:rsidP="00335FE8">
      <w:pPr>
        <w:spacing w:after="0"/>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rsidR="006A53E7" w:rsidRPr="00335FE8" w:rsidP="00401C56">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一、产品概况</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1601"/>
        <w:gridCol w:w="3649"/>
        <w:gridCol w:w="1275"/>
      </w:tblGrid>
      <w:tr w:rsidTr="00902522">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AF7A1E" w:rsidRPr="00335FE8" w:rsidP="00AF7A1E">
            <w:pPr>
              <w:widowControl/>
              <w:spacing w:after="0" w:line="240" w:lineRule="auto"/>
              <w:jc w:val="left"/>
              <w:rPr>
                <w:rFonts w:ascii="仿宋_GB2312" w:eastAsia="仿宋_GB2312"/>
                <w:sz w:val="21"/>
                <w:szCs w:val="21"/>
              </w:rPr>
            </w:pPr>
            <w:r w:rsidRPr="00335FE8">
              <w:rPr>
                <w:rFonts w:ascii="仿宋_GB2312" w:eastAsia="仿宋_GB2312" w:hint="eastAsia"/>
                <w:sz w:val="21"/>
                <w:szCs w:val="21"/>
              </w:rPr>
              <w:t>基金简称</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交银裕祥纯债债券C</w:t>
            </w:r>
          </w:p>
        </w:tc>
        <w:tc>
          <w:tcPr>
            <w:tcW w:w="3649" w:type="dxa"/>
            <w:vAlign w:val="center"/>
          </w:tcPr>
          <w:p w:rsidR="00AF7A1E" w:rsidRPr="00335FE8" w:rsidP="00AF7A1E">
            <w:pPr>
              <w:spacing w:after="0" w:line="240" w:lineRule="auto"/>
              <w:rPr>
                <w:rFonts w:ascii="仿宋_GB2312" w:eastAsia="仿宋_GB2312"/>
                <w:sz w:val="21"/>
                <w:szCs w:val="21"/>
              </w:rPr>
            </w:pPr>
            <w:r w:rsidRPr="00335FE8">
              <w:rPr>
                <w:rFonts w:ascii="仿宋_GB2312" w:eastAsia="仿宋_GB2312" w:hint="eastAsia"/>
                <w:sz w:val="21"/>
                <w:szCs w:val="21"/>
              </w:rPr>
              <w:t>基金代码</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006368</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交银施罗德基金管理有限公司</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江苏银行股份有限公司</w:t>
            </w:r>
          </w:p>
        </w:tc>
      </w:tr>
      <w:tr w:rsidTr="00902522">
        <w:tblPrEx>
          <w:tblW w:w="9072" w:type="dxa"/>
          <w:jc w:val="center"/>
          <w:tblLook w:val="04A0"/>
        </w:tblPrEx>
        <w:trPr>
          <w:gridAfter w:val="2"/>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基金合同生效日</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2018-09-26</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基金类型</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债券型</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交易币种</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人民币</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运作方式</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普通开放式</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开放频率</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每个开放日</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张顺晨</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2024-02-08</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2016-07-01</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苏建文</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2025-07-03</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2019-07-01</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虞汉阳</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2026-02-07</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2018-07-01</w:t>
            </w:r>
          </w:p>
        </w:tc>
      </w:tr>
      <w:tr w:rsidTr="00902522">
        <w:tblPrEx>
          <w:tblW w:w="9072" w:type="dxa"/>
          <w:jc w:val="center"/>
          <w:tblLook w:val="04A0"/>
        </w:tblPrEx>
        <w:trPr>
          <w:jc w:val="center"/>
        </w:trPr>
        <w:tc>
          <w:tcPr>
            <w:tcW w:w="2547"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其他</w:t>
            </w:r>
          </w:p>
        </w:tc>
        <w:tc>
          <w:tcPr>
            <w:tcW w:w="6525" w:type="dxa"/>
            <w:gridSpan w:val="3"/>
          </w:tcPr>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可向中国证监会报告并提前终止基金合同，不需召开基金份额持有人大会。</w:t>
            </w:r>
          </w:p>
        </w:tc>
      </w:tr>
    </w:tbl>
    <w:p w:rsidR="00D373CC" w:rsidRPr="00335FE8" w:rsidP="006A53E7">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二、基金投资与净值表现</w:t>
      </w:r>
    </w:p>
    <w:p w:rsidR="00D373CC" w:rsidRPr="00335FE8" w:rsidP="00D373CC">
      <w:pPr>
        <w:spacing w:after="0"/>
        <w:jc w:val="left"/>
        <w:rPr>
          <w:rFonts w:ascii="仿宋_GB2312" w:eastAsia="仿宋_GB2312"/>
          <w:b/>
          <w:sz w:val="21"/>
          <w:szCs w:val="21"/>
        </w:rPr>
      </w:pPr>
      <w:r w:rsidRPr="00335FE8">
        <w:rPr>
          <w:rFonts w:ascii="仿宋_GB2312" w:eastAsia="仿宋_GB2312" w:hint="eastAsia"/>
          <w:b/>
          <w:sz w:val="21"/>
          <w:szCs w:val="21"/>
        </w:rPr>
        <w:t>（一）投资目标与投资策略</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6525"/>
      </w:tblGrid>
      <w:tr w:rsidTr="002F5DBC">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D373CC" w:rsidRPr="00335FE8" w:rsidP="00D373CC">
            <w:pPr>
              <w:widowControl/>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投资目标</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本基金在严格控制风险和保持资产流动性的基础上，通过积极主动的投资管理，力争持续稳定地实现超越业绩比较基准的投资回报。</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投资范围</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的投资范围为具有良好流动性的金融工具，包括国内依法发行上市的国债、金融债、央行票据、地方政府债、政府支持机构债、企业债、公司债、中小企业私募债、中期票据、短期融资券、超级短期融资券、资产支持证券、次级债、可分离交易可转债的纯债部分、债券回购、同业存单、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如法律法规或监管机构以后允许基金投资其他品种，基金管理人在履行适当程序后，可以将其纳入投资范围。</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基金的投资组合比例为：本基金投资于债券资产的比例不低于基金资产的80%；每个交易日日终，现金或到期日在一年以内的政府债券的投资比例合计不低于基金资产净值的5%，其中现金不包括结算备付金、存出保证金、应收申购款等。</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如果法律法规或中国证监会变更投资品种的投资比例限制，基金管理人在履行适当程序后，可以调整上述投资品种的投资比例。</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主要投资策略</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充分发挥基金管理人的研究优势，对宏观经济运行趋势、财政以及货币政策变化趋势作出分析和判断，对未来市场利率趋势及市场信用环境变化作出预测，确定本基金债券组合久期、期限结构、债券类别配置策略，在严谨深入的分析和严格的风险控制基础上，综合考虑经济变量的变动对不同券种收益率、信用趋势和风险的潜在影响，深入挖掘价值被低估的标的券种。</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1、久期管理策略；2、期限结构配置策略；3、债券的类别配置策略；4、骑乘策略；5、杠杆放大策略；6、信用债券投资策略；7、资产支持证券投资策略；8、中小企业私募债券投资策略。</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业绩比较基准</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中债综合全价指数收益率</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风险收益特征</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本基金是一只债券型基金，其预期风险与预期收益高于货币市场基金，低于混合型基金和股票型基金。</w:t>
            </w: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详见《交银施罗德裕祥纯债债券型证券投资基金招募说明书》“基金的投资”。</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（二）投资组合资产配置图表/区域配置图表</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50pt;width:454pt">
            <v:imagedata r:id="rId4"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由于四舍五入的原因，分项之和与合计项之间可能存在尾差。</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（三）</w:t>
      </w:r>
      <w:r w:rsidRPr="0090269C">
        <w:rPr>
          <w:rFonts w:ascii="仿宋_GB2312" w:eastAsia="仿宋_GB2312" w:hint="eastAsia"/>
          <w:b/>
          <w:sz w:val="21"/>
          <w:szCs w:val="21"/>
        </w:rPr>
        <w:t>自基金合同生效以来/最近十年（孰短）基金每年的净值增长率及与同期业绩比较基准的比较图</w:t>
      </w:r>
    </w:p>
    <w:p w:rsidR="00D373CC" w:rsidRPr="00335FE8" w:rsidP="00D373CC">
      <w:pPr>
        <w:spacing w:after="0"/>
        <w:ind w:firstLine="420"/>
        <w:jc w:val="left"/>
        <w:rPr>
          <w:rFonts w:ascii="仿宋_GB2312" w:eastAsia="仿宋_GB2312"/>
          <w:sz w:val="21"/>
          <w:szCs w:val="21"/>
        </w:rPr>
      </w:pPr>
      <w:r w:rsidRPr="00335FE8">
        <w:rPr>
          <w:rFonts w:ascii="仿宋_GB2312" w:eastAsia="仿宋_GB2312" w:hAnsi="仿宋_GB2312" w:cs="仿宋_GB2312" w:hint="eastAsia"/>
          <w:sz w:val="21"/>
          <w:szCs w:val="21"/>
        </w:rPr>
        <w:t>无。</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截至最近一次披露的年度报告期末，本基金C类份额为0。</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三、投资本基金涉及的费用</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（一）基金销售相关费用</w:t>
      </w:r>
    </w:p>
    <w:p w:rsidR="00D373CC" w:rsidRPr="00335FE8" w:rsidP="00D373CC">
      <w:pPr>
        <w:spacing w:after="0"/>
        <w:jc w:val="left"/>
        <w:rPr>
          <w:rFonts w:ascii="仿宋_GB2312" w:eastAsia="仿宋_GB2312"/>
          <w:sz w:val="21"/>
          <w:szCs w:val="21"/>
        </w:rPr>
      </w:pPr>
      <w:r w:rsidRPr="00335FE8">
        <w:rPr>
          <w:rFonts w:ascii="仿宋_GB2312" w:eastAsia="仿宋_GB2312" w:hint="eastAsia"/>
          <w:sz w:val="21"/>
          <w:szCs w:val="21"/>
        </w:rPr>
        <w:t>以下费用在认购/申购/赎回基金过程中收取：</w:t>
      </w:r>
    </w:p>
    <w:tbl>
      <w:tblPr>
        <w:tblStyle w:val="TableGri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930"/>
        <w:gridCol w:w="2409"/>
        <w:gridCol w:w="1843"/>
        <w:gridCol w:w="2126"/>
      </w:tblGrid>
      <w:tr w:rsidTr="009C0C41">
        <w:tblPrEx>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930" w:type="dxa"/>
            <w:vAlign w:val="center"/>
          </w:tcPr>
          <w:p w:rsidR="00D373CC" w:rsidRPr="00335FE8" w:rsidP="00D6435F">
            <w:pPr>
              <w:widowControl/>
              <w:spacing w:after="0" w:line="240" w:lineRule="auto"/>
              <w:jc w:val="left"/>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费用类型</w:t>
            </w:r>
          </w:p>
        </w:tc>
        <w:tc>
          <w:tcPr>
            <w:tcW w:w="2409" w:type="dxa"/>
            <w:vAlign w:val="center"/>
          </w:tcPr>
          <w:p w:rsidR="00D373CC" w:rsidRPr="00335FE8" w:rsidP="00D373CC">
            <w:pPr>
              <w:spacing w:after="0" w:line="240" w:lineRule="auto"/>
              <w:rPr>
                <w:rFonts w:ascii="仿宋_GB2312" w:eastAsia="仿宋_GB2312"/>
                <w:sz w:val="21"/>
                <w:szCs w:val="21"/>
              </w:rPr>
            </w:pPr>
            <w:r w:rsidRPr="00335FE8">
              <w:rPr>
                <w:rFonts w:ascii="仿宋_GB2312" w:eastAsia="仿宋_GB2312" w:hint="eastAsia"/>
                <w:b/>
                <w:sz w:val="21"/>
                <w:szCs w:val="21"/>
              </w:rPr>
              <w:t>份额（S）或金额（M）/持有期限（N）</w:t>
            </w:r>
          </w:p>
        </w:tc>
        <w:tc>
          <w:tcPr>
            <w:tcW w:w="1843" w:type="dxa"/>
            <w:vAlign w:val="center"/>
          </w:tcPr>
          <w:p w:rsidR="00D373CC" w:rsidRPr="009F4EAE" w:rsidP="00D373CC">
            <w:pPr>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sz w:val="21"/>
                <w:szCs w:val="21"/>
              </w:rPr>
              <w:t>收费方式/费率</w:t>
            </w:r>
          </w:p>
        </w:tc>
        <w:tc>
          <w:tcPr>
            <w:tcW w:w="2126" w:type="dxa"/>
            <w:vAlign w:val="center"/>
          </w:tcPr>
          <w:p w:rsidR="00D373CC" w:rsidRPr="00335FE8" w:rsidP="00D6435F">
            <w:pPr>
              <w:widowControl/>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备注</w:t>
            </w:r>
          </w:p>
        </w:tc>
      </w:tr>
      <w:tr w:rsidTr="009C0C41">
        <w:tblPrEx>
          <w:tblW w:w="9308" w:type="dxa"/>
          <w:jc w:val="center"/>
          <w:tblLook w:val="04A0"/>
        </w:tblPrEx>
        <w:trPr>
          <w:jc w:val="center"/>
        </w:trPr>
        <w:tc>
          <w:tcPr>
            <w:tcW w:w="2930" w:type="dxa"/>
            <w:vMerge w:val="restart"/>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kern w:val="0"/>
                <w:sz w:val="21"/>
                <w:szCs w:val="21"/>
              </w:rPr>
              <w:t>赎回费</w:t>
            </w:r>
          </w:p>
        </w:tc>
        <w:tc>
          <w:tcPr>
            <w:tcW w:w="2409" w:type="dxa"/>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N＜7天</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1.5%</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7天≤N＜30天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0.1%</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30天≤N</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bl>
    <w:p w:rsidR="00D373CC" w:rsidRPr="00335FE8" w:rsidP="00D373CC">
      <w:pPr>
        <w:spacing w:after="0"/>
        <w:jc w:val="left"/>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注：1、本基金对持续持有期少于7日的投资人收取1.5%的赎回费，请投资人予以关注。 2、销售机构若有其他费率优惠请见基金管理人或其他销售机构的有关公告或通知。</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（二）基金运作相关费用</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以下费用将从基金资产中扣除：</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3080"/>
        <w:gridCol w:w="25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费用类别</w:t>
            </w:r>
          </w:p>
        </w:tc>
        <w:tc>
          <w:tcPr>
            <w:tcW w:w="3080" w:type="dxa"/>
            <w:vAlign w:val="center"/>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收费方式</w:t>
            </w:r>
            <w:r w:rsidRPr="009F4EAE">
              <w:rPr>
                <w:rFonts w:ascii="仿宋_GB2312" w:eastAsia="仿宋_GB2312"/>
                <w:b/>
                <w:sz w:val="21"/>
                <w:szCs w:val="21"/>
              </w:rPr>
              <w:t>/</w:t>
            </w:r>
            <w:r w:rsidRPr="009F4EAE">
              <w:rPr>
                <w:rFonts w:ascii="仿宋_GB2312" w:eastAsia="仿宋_GB2312"/>
                <w:b/>
                <w:sz w:val="21"/>
                <w:szCs w:val="21"/>
              </w:rPr>
              <w:t>年费率或金额</w:t>
            </w:r>
          </w:p>
        </w:tc>
        <w:tc>
          <w:tcPr>
            <w:tcW w:w="2542"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收取方</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管理费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0.30%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基金管理人和销售机构</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托管费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0.10%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销售服务费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0.10%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销售机构</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审计费用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50000.00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会计师事务所</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信息披露费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120000.00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规定披露报刊</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指数许可使用费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指数编制公司</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其他费用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详见本基金招募说明书“基金的费用与税收”部分</w:t>
            </w:r>
          </w:p>
        </w:tc>
        <w:tc>
          <w:tcPr>
            <w:tcW w:w="3078" w:type="dxa"/>
          </w:tcPr>
          <w:p w:rsidR="00D373CC" w:rsidRPr="00335FE8" w:rsidP="00D373CC">
            <w:pPr>
              <w:spacing w:after="0" w:line="240" w:lineRule="auto"/>
              <w:rPr>
                <w:rFonts w:ascii="仿宋_GB2312" w:eastAsia="仿宋_GB2312" w:hint="eastAsia"/>
                <w:sz w:val="21"/>
                <w:szCs w:val="21"/>
              </w:rPr>
            </w:pP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（三）基金运作综合费用测算</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若投资者认购/申购本基金份额，在持有期间，投资者需支出的运作费率如下表：</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53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hint="eastAsia"/>
                <w:b/>
                <w:sz w:val="21"/>
                <w:szCs w:val="21"/>
              </w:rPr>
            </w:pPr>
          </w:p>
        </w:tc>
        <w:tc>
          <w:tcPr>
            <w:tcW w:w="5342" w:type="dxa"/>
          </w:tcPr>
          <w:p w:rsidR="00F811C4" w:rsidRPr="009F4EAE" w:rsidP="00D373CC">
            <w:pPr>
              <w:spacing w:after="0" w:line="240" w:lineRule="auto"/>
              <w:rPr>
                <w:rFonts w:ascii="仿宋_GB2312" w:eastAsia="仿宋_GB2312" w:hint="eastAsia"/>
                <w:b/>
                <w:sz w:val="21"/>
                <w:szCs w:val="21"/>
              </w:rPr>
            </w:pPr>
            <w:r w:rsidRPr="009F4EAE">
              <w:rPr>
                <w:rFonts w:ascii="仿宋_GB2312" w:eastAsia="仿宋_GB2312" w:hint="eastAsia"/>
                <w:b/>
                <w:sz w:val="21"/>
                <w:szCs w:val="21"/>
              </w:rPr>
              <w:t>基金运作综合费率（年化）</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0.51%</w:t>
            </w:r>
          </w:p>
        </w:tc>
      </w:tr>
    </w:tbl>
    <w:p w:rsidR="00D373CC" w:rsidRPr="00335FE8" w:rsidP="00D373CC">
      <w:pPr>
        <w:spacing w:after="0"/>
        <w:jc w:val="left"/>
        <w:rPr>
          <w:rFonts w:ascii="仿宋" w:eastAsia="仿宋" w:hAnsi="仿宋" w:cs="仿宋"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基金管理费率、托管费率、销售服务费率（若有）为基金现行费率，其他运作费用以最近一次基金年报披露的相关数据为基准测算。</w:t>
      </w:r>
    </w:p>
    <w:p w:rsidR="00F811C4"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四、风险揭示与重要提示</w:t>
      </w:r>
    </w:p>
    <w:p w:rsidR="00F811C4" w:rsidRPr="00335FE8" w:rsidP="00F811C4">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（一）风险揭示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本基金不提供任何保证。投资者可能损失投资本金。</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投资有风险，投资者购买基金时应认真阅读本基金的《招募说明书》等销售文件。</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基金份额持有人须了解并承受以下风险：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1、市场风险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（1）政策风险、（2）经济周期风险、（3）利率风险、（4）信用风险、（5）购买力风险、（6）债券收益率曲线变动风险、（7）再投资风险、（8）经营风险、（9）上市公司经营风险、（10）债券回购风险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2、管理风险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3、流动性风险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4、交易对手违约风险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5、本基金的特有风险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（1）本基金为债券型基金，投资于债券资产的比例不低于基金资产的80%，因投资债券资产而面临债券资产市场的系统性风险和个券风险；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（3）基金合同提前终止风险。连续六十个工作日出现基金份额持有人数量不满200人或者基金资产净值低于5000万元情形的，基金管理人可向中国证监会报告并提前终止基金合同，不需召开基金份额持有人大会。</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6、投资中小企业私募债的特定风险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7、投资资产支持证券的特定风险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8、本基金法律文件风险收益特征表述与销售机构基金风险评价可能不一致的风险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9、其他风险</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（二）重要提示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中国证监会对本基金募集的核准或注册，并不表明其对本基金的价值和收益作出实质性判断或保证，也不表明投资于本基金没有风险。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基金管理人依照恪尽职守、诚实信用、谨慎勤勉的原则管理和运用基金财产，但不保证基金一定盈利，也不保证最低收益。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销售机构的风险等级评价与基金法律文件中风险收益特征的表述可能存在不同，投资人在购买本基金时需按照销售机构的要求完成风险承受能力与产品风险之间的匹配检验。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w:t>
      </w:r>
      <w:r w:rsidRPr="00BB248E">
        <w:rPr>
          <w:rFonts w:ascii="仿宋_GB2312" w:eastAsia="仿宋_GB2312" w:hAnsi="仿宋_GB2312" w:hint="eastAsia"/>
          <w:b/>
          <w:kern w:val="0"/>
          <w:sz w:val="21"/>
        </w:rPr>
        <w:t>因基金合同而产生的或与基金合同有关的一切争议，如经友好协商未能解决的，任何一方均有权将争议提交上海国际经济贸易仲裁委员会，按其届时有效的仲裁规则进行仲裁。仲裁地点为上海市。</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五、其他资料查询方式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以下资料详见交银施罗德基金官方网站[www.fund001.com][客服电话：400-700-5000]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●《交银施罗德裕祥纯债债券型证券投资基金基金合同》、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《交银施罗德裕祥纯债债券型证券投资基金托管协议》、</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《交银施罗德裕祥纯债债券型证券投资基金招募说明书》</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●定期报告，包括基金季度报告、中期报告和年度报告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●基金份额净值</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●基金销售机构及联系方式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●其他重要资料</w:t>
      </w:r>
    </w:p>
    <w:p w:rsidR="00F811C4" w:rsidRPr="00335FE8" w:rsidP="00F811C4">
      <w:pPr>
        <w:spacing w:after="0"/>
        <w:jc w:val="left"/>
        <w:rPr>
          <w:rFonts w:ascii="仿宋_GB2312" w:eastAsia="仿宋_GB2312" w:hint="eastAsia"/>
          <w:b/>
          <w:sz w:val="21"/>
          <w:szCs w:val="21"/>
        </w:rPr>
      </w:pPr>
      <w:r w:rsidRPr="00335FE8">
        <w:rPr>
          <w:rFonts w:ascii="仿宋_GB2312" w:eastAsia="仿宋_GB2312" w:hint="eastAsia"/>
          <w:b/>
          <w:sz w:val="21"/>
          <w:szCs w:val="21"/>
        </w:rPr>
        <w:t>六、其他情况说明</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无。</w:t>
      </w:r>
    </w:p>
    <w:sectPr w:rsidSect="00B14125">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altName w:val="SimSun"/>
    <w:panose1 w:val="02010600030101010101"/>
    <w:charset w:val="86"/>
    <w:family w:val="modern"/>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FZHTJW--GB1-0">
    <w:altName w:val="Morningstar Symbols One"/>
    <w:panose1 w:val="00000000000000000000"/>
    <w:charset w:val="86"/>
    <w:family w:val="auto"/>
    <w:notTrueType/>
    <w:pitch w:val="default"/>
    <w:sig w:usb0="00000001" w:usb1="080E0000" w:usb2="00000010" w:usb3="00000000" w:csb0="00040000" w:csb1="00000000"/>
  </w:font>
  <w:font w:name="FZFSJW--GB1-0">
    <w:altName w:val="Morningstar Symbols One"/>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12F48FB"/>
    <w:multiLevelType w:val="hybridMultilevel"/>
    <w:tmpl w:val="0356483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880454"/>
    <w:rPr>
      <w:sz w:val="18"/>
      <w:szCs w:val="18"/>
    </w:rPr>
  </w:style>
  <w:style w:type="paragraph" w:styleId="Footer">
    <w:name w:val="footer"/>
    <w:basedOn w:val="Normal"/>
    <w:link w:val="Char0"/>
    <w:uiPriority w:val="99"/>
    <w:unhideWhenUsed/>
    <w:rsid w:val="00880454"/>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880454"/>
    <w:rPr>
      <w:sz w:val="18"/>
      <w:szCs w:val="18"/>
    </w:rPr>
  </w:style>
  <w:style w:type="paragraph" w:styleId="ListParagraph">
    <w:name w:val="List Paragraph"/>
    <w:basedOn w:val="Normal"/>
    <w:uiPriority w:val="34"/>
    <w:qFormat/>
    <w:rsid w:val="006A53E7"/>
    <w:pPr>
      <w:ind w:firstLine="420" w:firstLineChars="200"/>
    </w:pPr>
  </w:style>
  <w:style w:type="table" w:styleId="TableGrid">
    <w:name w:val="Table Grid"/>
    <w:basedOn w:val="TableNormal"/>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7A1E"/>
    <w:rPr>
      <w:sz w:val="24"/>
      <w:szCs w:val="24"/>
    </w:rPr>
  </w:style>
  <w:style w:type="paragraph" w:styleId="CommentText">
    <w:name w:val="annotation text"/>
    <w:basedOn w:val="Normal"/>
    <w:link w:val="Char1"/>
    <w:uiPriority w:val="99"/>
    <w:semiHidden/>
    <w:unhideWhenUsed/>
    <w:rsid w:val="00AF7A1E"/>
    <w:pPr>
      <w:jc w:val="left"/>
    </w:pPr>
  </w:style>
  <w:style w:type="character" w:customStyle="1" w:styleId="Char1">
    <w:name w:val="批注文字 Char"/>
    <w:basedOn w:val="DefaultParagraphFont"/>
    <w:link w:val="CommentText"/>
    <w:uiPriority w:val="99"/>
    <w:semiHidden/>
    <w:rsid w:val="00AF7A1E"/>
  </w:style>
  <w:style w:type="paragraph" w:styleId="CommentSubject">
    <w:name w:val="annotation subject"/>
    <w:basedOn w:val="CommentText"/>
    <w:next w:val="CommentText"/>
    <w:link w:val="Char2"/>
    <w:uiPriority w:val="99"/>
    <w:semiHidden/>
    <w:unhideWhenUsed/>
    <w:rsid w:val="00AF7A1E"/>
    <w:rPr>
      <w:b/>
      <w:bCs/>
    </w:rPr>
  </w:style>
  <w:style w:type="character" w:customStyle="1" w:styleId="Char2">
    <w:name w:val="批注主题 Char"/>
    <w:basedOn w:val="Char1"/>
    <w:link w:val="CommentSubject"/>
    <w:uiPriority w:val="99"/>
    <w:semiHidden/>
    <w:rsid w:val="00AF7A1E"/>
    <w:rPr>
      <w:b/>
      <w:bCs/>
    </w:rPr>
  </w:style>
  <w:style w:type="paragraph" w:styleId="BalloonText">
    <w:name w:val="Balloon Text"/>
    <w:basedOn w:val="Normal"/>
    <w:link w:val="Char3"/>
    <w:uiPriority w:val="99"/>
    <w:semiHidden/>
    <w:unhideWhenUsed/>
    <w:rsid w:val="00AF7A1E"/>
    <w:rPr>
      <w:sz w:val="18"/>
      <w:szCs w:val="18"/>
    </w:rPr>
  </w:style>
  <w:style w:type="character" w:customStyle="1" w:styleId="Char3">
    <w:name w:val="批注框文本 Char"/>
    <w:basedOn w:val="DefaultParagraphFont"/>
    <w:link w:val="BalloonText"/>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script="Jpan" typeface="ＭＳ ゴシック"/>
        <a:font script="Hang" typeface="맑은 고딕"/>
        <a:font script="Hans" typeface="仿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panose="020F0502020204030204" typeface="Calibri"/>
        <a:ea typeface=""/>
        <a:cs typeface=""/>
        <a:font script="Jpan" typeface="ＭＳ 明朝"/>
        <a:font script="Hang" typeface="맑은 고딕"/>
        <a:font script="Hans" typeface="仿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algn="ctr" cap="flat" cmpd="sng" w="6350">
          <a:solidFill>
            <a:schemeClr val="phClr"/>
          </a:solidFill>
          <a:prstDash val="solid"/>
          <a:miter lim="800000"/>
        </a:ln>
        <a:ln algn="ctr" cap="flat" cmpd="sng" w="12700">
          <a:solidFill>
            <a:schemeClr val="phClr"/>
          </a:solidFill>
          <a:prstDash val="solid"/>
          <a:miter lim="800000"/>
        </a:ln>
        <a:ln algn="ctr" cap="flat" cmpd="sng" w="19050">
          <a:solidFill>
            <a:schemeClr val="phClr"/>
          </a:solidFill>
          <a:prstDash val="solid"/>
          <a:miter lim="800000"/>
        </a:ln>
      </a:lnStyleLst>
      <a:effectStyleLst>
        <a:effectStyle>
          <a:effectLst/>
        </a:effectStyle>
        <a:effectStyle>
          <a:effectLst/>
        </a:effectStyle>
        <a:effectStyle>
          <a:effectLst>
            <a:outerShdw algn="ctr" blurRad="57150" dir="5400000" dist="1905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165</Words>
  <Characters>947</Characters>
  <Application>Microsoft Office Word</Application>
  <DocSecurity>0</DocSecurity>
  <Lines>7</Lines>
  <Paragraphs>2</Paragraphs>
  <ScaleCrop>false</ScaleCrop>
  <Company/>
  <LinksUpToDate>false</LinksUpToDate>
  <CharactersWithSpaces>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stanc</cp:lastModifiedBy>
  <cp:revision>2</cp:revision>
  <dcterms:created xsi:type="dcterms:W3CDTF">2020-05-03T04:18:00Z</dcterms:created>
  <dcterms:modified xsi:type="dcterms:W3CDTF">2020-05-03T04:18:00Z</dcterms:modified>
</cp:coreProperties>
</file>