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交银施罗德科技创新灵活配置混合型证券投资基金（A类份额）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交银科技创新灵活配置混合A</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519767</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中国工商银行股份有限公司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2016-05-05</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混合型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芮晨</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2016-05-05</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2007-02-01</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连续20个工作日出现基金份额持有人数量不满200人或者基金资产净值低于5000万元情形的，基金管理人应当在定期报告中予以披露。连续60个工作日出现前述情形的，基金管理人应当向中国证监会报告并提出解决方案，如转换运作方式、与其他基金合并或者终止基金合同等，并召开基金份额持有人大会进行表决。</w:t>
            </w:r>
          </w:p>
        </w:tc>
      </w:tr>
    </w:tbl>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本基金重点关注以科技为创新驱动力、在产业竞争中掌握核心竞争优势的优质上市公司，在控制风险并保持基金资产良好的流动性的前提下，力争实现基金资产的长期稳定增值。</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国内依法发行上市的股票（含中小板、创业板及其他经中国证监会核准上市的股票、存托凭证）、债券、中期票据、货币市场工具、权证、资产支持证券、股指期货以及法律法规或中国证监会允许基金投资的其他金融工具（但须符合中国证监会相关规定）。</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基金的投资组合比例为：股票资产（含存托凭证）占基金资产0%-95%；本基金投资受益于科技创新相关上市公司证券的比例不低于非现金基金资产的80%；每个交易日日终在扣除股指期货合约需缴纳的交易保证金后，本基金保留的现金或者投资于到期日在一年以内的政府债券的比例合计不低于基金资产净值的5%，其中现金不包括结算备付金、存出保证金和应收申购款等。</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如果法律法规或中国证监会变更投资品种的投资比例限制，基金管理人在履行适当程序后，可以调整上述投资品种的投资比例。</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将综合考虑国家经济政策、经济周期、各行业的相对估值水平和行业竞争格局等因素，进行大类资产在各行业间的配置。本基金聚焦于具有科技创新优势的行业和企业，深度挖掘依附于科技创新背后的新商业模式，重点关注以科技为创新驱动力、在产业竞争中掌握核心竞争优势的优质上市公司，致力于占领科技创新进程中的制高点。 其中，本基金股票投资重点关注直接受益于科技创新红利、或在新科技、新技术推动下盈利水平长期显著提升的其他上市公司。</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1、资产配置；2、行业配置；3、股票投资；4、债券投资；5、权证投资；6、资产支持证券投资；7、股指期货投资。</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60%×沪深300指数+40%×中证综合债券指数</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混合型基金，其风险和预期收益高于债券型基金和货币市场基金，低于股票型基金。属于承担较高风险、预期收益较高的证券投资基金品种。根据2017年7月1日施行的《证券期货投资者适当性管理办法》，基金管理人和销售机构已对本基金重新进行风险评级。风险评级行为不改变本基金的实质性风险收益特征。但由于风险等级分类标准的变化，本基金的风险等级表述可能有相应变化，具体风险评级结果应以基金管理人和销售机构提供的评级结果为准。</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详见《交银施罗德科技创新灵活配置混合型证券投资基金招募说明书》“基金的投资”。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2、本基金合同于2016年5月5日生效，合同生效当年净值增长率按实际存续期计算；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1400" w:type="dxa"/>
            <w:vMerge w:val="restart"/>
            <w:vAlign w:val="center"/>
          </w:tcPr>
          <w:p w:rsidR="009C0C41" w:rsidRPr="00335FE8" w:rsidP="00D373CC">
            <w:pPr>
              <w:widowControl/>
              <w:spacing w:after="0" w:line="240" w:lineRule="auto"/>
              <w:jc w:val="center"/>
              <w:rPr>
                <w:rFonts w:ascii="仿宋_GB2312" w:eastAsia="仿宋_GB2312" w:hAnsi="仿宋_GB2312" w:cs="仿宋_GB2312" w:hint="eastAsia"/>
                <w:kern w:val="0"/>
                <w:sz w:val="21"/>
                <w:szCs w:val="21"/>
              </w:rPr>
            </w:pPr>
            <w:r w:rsidRPr="00335FE8">
              <w:rPr>
                <w:rFonts w:ascii="仿宋_GB2312" w:eastAsia="仿宋_GB2312" w:hAnsi="仿宋_GB2312" w:cs="仿宋_GB2312" w:hint="eastAsia"/>
                <w:kern w:val="0"/>
                <w:sz w:val="21"/>
                <w:szCs w:val="21"/>
              </w:rPr>
              <w:t>申购费（前收费）</w:t>
            </w: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M＜100万元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100万元≤M＜200万元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1.2%</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200万元≤M＜500万元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0.5%</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500万元≤M</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1,000元每笔</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7天≤N＜30天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0.75%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30天≤N＜365天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365天≤N＜730天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0.25%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730天≤N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 2、本基金管理人对养老金客户实施特定申购费率，请详见本基金招募说明书。销售机构若有其他费率优惠请见基金管理人或其他销售机构的有关公告或通知。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38000.00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1.42%</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4、信用风险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5、本基金投资策略所特有的风险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本基金属于混合型基金，通过在股票、债券等各类资产之间进行配置来降低风险，提高收益。如果股票市场和债券市场同时出现下跌，本基金将不能完全抵御两个市场同时下跌的风险，基金净值将出现下降。此外，本基金在调整资产配置比例时，可能由于基金经理的预判与市场的实际表现存在较大差异，出现资产配置不合理的风险，从而对基金收益造成不利影响。</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6、投资股指期货的特定风险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此外，由于衍生品通常具有杠杆效应，价格波动比标的工具更为剧烈，并且其定价相当复杂，不适当的估值也有可能使基金资产面临损失风险。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7、投资资产支持证券的特定风险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资产支持证券具有一定的价格波动风险、流动性风险、信用风险等风险，本公司将本着谨慎和控制风险的原则进行资产支持证券投资，请基金份额持有人关注包括投资资产支持证券可能导致的基金净值波动在内的各项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10、本基金法律文件风险收益特征表述与销售机构基金风险评价可能不一致的风险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11、其他风险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因基金合同而产生的或与基金合同有关的一切争议，如经友好协商未能解决的，任何一方均有权将争议提交中国国际经济贸易仲裁委员会，按其届时有效的仲裁规则进行仲裁。仲裁地点为北京市。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●《交银施罗德科技创新灵活配置混合型证券投资基金基金合同》、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《交银施罗德科技创新灵活配置混合型证券投资基金托管协议》、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《交银施罗德科技创新灵活配置混合型证券投资基金招募说明书》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