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交银施罗德上证180公司治理交易型开放式指数证券投资基金联接基金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交银上证180公司治理ETF联接</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519686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2009-09-29</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蔡铮</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2009-12-14</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本基金基金合同生效后，基金份额持有人数量不满两百人或者基金资产净值低于五千万元的，基金管理人应当及时报告中国证监会；连续20个工作日出现上述情形的，基金管理人应向中国证监会说明原因并报送解决方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519686（前端），519687（后端）</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紧密跟踪标的指数，追求跟踪偏离度与跟踪误差最小化。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以目标ETF、标的指数成份股（含存托凭证）、备选成份股（含存托凭证）为主要投资对象，把全部或接近全部的基金资产用于跟踪标的指数的表现，正常情况下投资于目标ETF的资产比例不低于基金资产净值的90%，基金持有的现金或者到期日在一年以内的政府债券的比例不低于基金资产净值的5%，其中现金不包括结算备付金、存出保证金和应收申购款等。此外，为更好地实现投资目标，本基金也可少量投资于新股（含存托凭证）、债券及中国证监会允许基金投资的其它金融工具。</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本基金的目标ETF为上证180公司治理交易型开放式指数证券投资基金；本基金的标的指数即目标ETF的标的指数，为上证180公司治理指数。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本基金通过把全部或接近全部的基金资产投资于目标ETF、标的指数成份股和备选成份股进行被动式指数化投资，正常情况下投资于目标ETF的比例不低于基金资产净值的90%。</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本基金投资于目标ETF的方式以申购和赎回为主，但在目标ETF二级市场流动性较好的情况下，为了更好地实现本基金的投资目标，减小与标的指数的跟踪偏离度和跟踪误差，也可以通过二级市场交易买卖目标ETF。</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除流动性管理所需以外，本基金对于目标ETF以外的证券投资均进行被动式指数化投资。</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本基金投资存托凭证的策略依照境内上市交易的股票投资策略执行。</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法律法规或监管机构日后允许本基金投资的其他品种（如股指期货等），基金管理人在履行适当程序后，可以将其纳入投资范围。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1、决策依据；2、决策和交易机制；3、投资程序。</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上证180公司治理指数×95%＋银行活期存款税后收益率×5%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属ETF联接基金，风险与收益高于混合基金、债券基金与货币市场基金。本基金为指数型基金，紧密跟踪标的指数，具有和标的指数所代表的股票市场相似的风险收益特征，属于证券投资基金中风险较高、收益较高的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详见《交银施罗德上证180公司治理交易型开放式指数证券投资基金联接基金招募说明书》“基金的投资”。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M＜50万元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50万元≤M＜100万元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1.8%</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7天≤N＜366天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366天≤N＜731天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731天≤N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0.66%</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目标ETF的风险、（2）标的指数回报与股票市场平均回报偏离的风险、（3）标的指数波动的风险、（4）基金投资组合回报与标的指数回报偏离的风险、（5）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（8）本基金为目标ETF的联接基金，但不能保证本基金的表现与目标ETF的表现完全一致。</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●《交银施罗德上证180公司治理交易型开放式指数证券投资基金联接基金基金合同》、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《交银施罗德上证180公司治理交易型开放式指数证券投资基金联接基金托管协议》、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《交银施罗德上证180公司治理交易型开放式指数证券投资基金联接基金招募说明书》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