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交银施罗德中证A50指数型证券投资基金（A类份额）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交银中证A50指数A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023052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上海浦东发展银行股份有限公司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2025-04-02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2025-04-02</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本基金采用指数化投资策略，紧密跟踪中证A50指数，追求跟踪偏离度与跟踪误差最小化。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中证A50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本基金可根据法律法规的规定参与融资及转融通证券出借业务。未来在法律法规允许的前提下，本基金可根据相关法律法规规定参与融券业务。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中证A50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本基金标的指数为中证A50指数。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中证A50指数收益率×95%＋人民币银行活期存款利率（税后）×5%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本基金为指数型基金，主要采用完全复制法跟踪中证A50指数，具有与标的指数相似的风险收益特征。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详见《交银施罗德中证A50指数型证券投资基金招募说明书》“基金的投资”。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2、本基金合同于2025年4月2日生效，合同生效当年净值增长率按实际存续期计算；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0.05%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中证A50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标的指数部分成份股权重较大的风险、（5）基金投资组合回报与标的指数回报偏离及跟踪误差控制未达约定目标的风险、（6）标的指数变更的风险、（7）指数编制机构停止服务的风险、（8）成份股停牌或退市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因基金合同而产生的或与基金合同有关的一切争议，如经友好协商未能解决的，任何一方均有权将争议提交上海国际经济贸易仲裁委员会，按其届时有效的仲裁规则进行仲裁。仲裁地点为上海市。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