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交银施罗德双利债券证券投资基金招募说明书（更新）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256000000"/>
      <w:bookmarkStart w:id="1" w:name="_Toc324920538"/>
      <w:bookmarkStart w:id="2" w:name="_Toc256000027"/>
      <w:bookmarkStart w:id="3" w:name="_Toc496884613"/>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交银施罗德双利债券证券投资基金（以下简称“本基金”）经2011年7月14日中国证券监督管理委员会证监许可【2011】1093号文核准募集。本基金基金合同于2011年9月26日正式生效。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投资科创板股票的特定风险，以及本基金投资策略所特有的风险等等。本基金是一只债券型基金，属于基金中的中等风险品种，本基金长期平均的预期收益和风险高于货币市场基金，低于股票型基金和混合型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者在投资本基金前应认真阅读本基金的《招募说明书》和《基金合同》、基金产品资料概要。基金的过往业绩并不代表其未来表现。基金管理人管理的其他基金的业绩并不构成对本基金业绩表现的保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_Toc256000027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一、绪言</w:t>
      </w:r>
      <w:r>
        <w:rPr>
          <w:rStyle w:val="18"/>
        </w:rPr>
        <w:tab/>
      </w:r>
      <w:r>
        <w:fldChar w:fldCharType="begin"/>
      </w:r>
      <w:r>
        <w:rPr>
          <w:rStyle w:val="18"/>
        </w:rPr>
        <w:instrText xml:space="preserve"> PAGEREF _Toc256000028 \h </w:instrText>
      </w:r>
      <w:r>
        <w:fldChar w:fldCharType="separate"/>
      </w:r>
      <w:r>
        <w:rPr>
          <w:rStyle w:val="18"/>
        </w:rPr>
        <w:t>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二、释义</w:t>
      </w:r>
      <w:r>
        <w:rPr>
          <w:rStyle w:val="18"/>
        </w:rPr>
        <w:tab/>
      </w:r>
      <w:r>
        <w:fldChar w:fldCharType="begin"/>
      </w:r>
      <w:r>
        <w:rPr>
          <w:rStyle w:val="18"/>
        </w:rPr>
        <w:instrText xml:space="preserve"> PAGEREF _Toc256000029 \h </w:instrText>
      </w:r>
      <w:r>
        <w:fldChar w:fldCharType="separate"/>
      </w:r>
      <w:r>
        <w:rPr>
          <w:rStyle w:val="18"/>
        </w:rPr>
        <w:t>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_Toc256000030 \h </w:instrText>
      </w:r>
      <w:r>
        <w:fldChar w:fldCharType="separate"/>
      </w:r>
      <w:r>
        <w:rPr>
          <w:rStyle w:val="18"/>
        </w:rPr>
        <w:t>10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_Toc256000031 \h </w:instrText>
      </w:r>
      <w:r>
        <w:fldChar w:fldCharType="separate"/>
      </w:r>
      <w:r>
        <w:rPr>
          <w:rStyle w:val="18"/>
        </w:rPr>
        <w:t>18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_Toc256000032 \h </w:instrText>
      </w:r>
      <w:r>
        <w:fldChar w:fldCharType="separate"/>
      </w:r>
      <w:r>
        <w:rPr>
          <w:rStyle w:val="18"/>
        </w:rPr>
        <w:t>21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六、基金的募集</w:t>
      </w:r>
      <w:r>
        <w:rPr>
          <w:rStyle w:val="18"/>
        </w:rPr>
        <w:tab/>
      </w:r>
      <w:r>
        <w:fldChar w:fldCharType="begin"/>
      </w:r>
      <w:r>
        <w:rPr>
          <w:rStyle w:val="18"/>
        </w:rPr>
        <w:instrText xml:space="preserve"> PAGEREF _Toc256000033 \h </w:instrText>
      </w:r>
      <w:r>
        <w:fldChar w:fldCharType="separate"/>
      </w:r>
      <w:r>
        <w:rPr>
          <w:rStyle w:val="18"/>
        </w:rPr>
        <w:t>54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七、基金合同的生效</w:t>
      </w:r>
      <w:r>
        <w:rPr>
          <w:rStyle w:val="18"/>
        </w:rPr>
        <w:tab/>
      </w:r>
      <w:r>
        <w:fldChar w:fldCharType="begin"/>
      </w:r>
      <w:r>
        <w:rPr>
          <w:rStyle w:val="18"/>
        </w:rPr>
        <w:instrText xml:space="preserve"> PAGEREF _Toc256000034 \h </w:instrText>
      </w:r>
      <w:r>
        <w:fldChar w:fldCharType="separate"/>
      </w:r>
      <w:r>
        <w:rPr>
          <w:rStyle w:val="18"/>
        </w:rPr>
        <w:t>55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_Toc256000035 \h </w:instrText>
      </w:r>
      <w:r>
        <w:fldChar w:fldCharType="separate"/>
      </w:r>
      <w:r>
        <w:rPr>
          <w:rStyle w:val="18"/>
        </w:rPr>
        <w:t>56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九、基金的转换</w:t>
      </w:r>
      <w:r>
        <w:rPr>
          <w:rStyle w:val="18"/>
        </w:rPr>
        <w:tab/>
      </w:r>
      <w:r>
        <w:fldChar w:fldCharType="begin"/>
      </w:r>
      <w:r>
        <w:rPr>
          <w:rStyle w:val="18"/>
        </w:rPr>
        <w:instrText xml:space="preserve"> PAGEREF _Toc256000036 \h </w:instrText>
      </w:r>
      <w:r>
        <w:fldChar w:fldCharType="separate"/>
      </w:r>
      <w:r>
        <w:rPr>
          <w:rStyle w:val="18"/>
        </w:rPr>
        <w:t>70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十、基金的投资</w:t>
      </w:r>
      <w:r>
        <w:rPr>
          <w:rStyle w:val="18"/>
        </w:rPr>
        <w:tab/>
      </w:r>
      <w:r>
        <w:fldChar w:fldCharType="begin"/>
      </w:r>
      <w:r>
        <w:rPr>
          <w:rStyle w:val="18"/>
        </w:rPr>
        <w:instrText xml:space="preserve"> PAGEREF _Toc256000037 \h </w:instrText>
      </w:r>
      <w:r>
        <w:fldChar w:fldCharType="separate"/>
      </w:r>
      <w:r>
        <w:rPr>
          <w:rStyle w:val="18"/>
        </w:rPr>
        <w:t>77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十一、基金的业绩</w:t>
      </w:r>
      <w:r>
        <w:rPr>
          <w:rStyle w:val="18"/>
        </w:rPr>
        <w:tab/>
      </w:r>
      <w:r>
        <w:fldChar w:fldCharType="begin"/>
      </w:r>
      <w:r>
        <w:rPr>
          <w:rStyle w:val="18"/>
        </w:rPr>
        <w:instrText xml:space="preserve"> PAGEREF _Toc256000038 \h </w:instrText>
      </w:r>
      <w:r>
        <w:fldChar w:fldCharType="separate"/>
      </w:r>
      <w:r>
        <w:rPr>
          <w:rStyle w:val="18"/>
        </w:rPr>
        <w:t>92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十二、基金的财产</w:t>
      </w:r>
      <w:r>
        <w:rPr>
          <w:rStyle w:val="18"/>
        </w:rPr>
        <w:tab/>
      </w:r>
      <w:r>
        <w:fldChar w:fldCharType="begin"/>
      </w:r>
      <w:r>
        <w:rPr>
          <w:rStyle w:val="18"/>
        </w:rPr>
        <w:instrText xml:space="preserve"> PAGEREF _Toc256000039 \h </w:instrText>
      </w:r>
      <w:r>
        <w:fldChar w:fldCharType="separate"/>
      </w:r>
      <w:r>
        <w:rPr>
          <w:rStyle w:val="18"/>
        </w:rPr>
        <w:t>95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十三、基金资产的估值</w:t>
      </w:r>
      <w:r>
        <w:rPr>
          <w:rStyle w:val="18"/>
        </w:rPr>
        <w:tab/>
      </w:r>
      <w:r>
        <w:fldChar w:fldCharType="begin"/>
      </w:r>
      <w:r>
        <w:rPr>
          <w:rStyle w:val="18"/>
        </w:rPr>
        <w:instrText xml:space="preserve"> PAGEREF _Toc256000040 \h </w:instrText>
      </w:r>
      <w:r>
        <w:fldChar w:fldCharType="separate"/>
      </w:r>
      <w:r>
        <w:rPr>
          <w:rStyle w:val="18"/>
        </w:rPr>
        <w:t>96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十四、基金的收益与分配</w:t>
      </w:r>
      <w:r>
        <w:rPr>
          <w:rStyle w:val="18"/>
        </w:rPr>
        <w:tab/>
      </w:r>
      <w:r>
        <w:fldChar w:fldCharType="begin"/>
      </w:r>
      <w:r>
        <w:rPr>
          <w:rStyle w:val="18"/>
        </w:rPr>
        <w:instrText xml:space="preserve"> PAGEREF _Toc256000041 \h </w:instrText>
      </w:r>
      <w:r>
        <w:fldChar w:fldCharType="separate"/>
      </w:r>
      <w:r>
        <w:rPr>
          <w:rStyle w:val="18"/>
        </w:rPr>
        <w:t>101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十五、基金的费用与税收</w:t>
      </w:r>
      <w:r>
        <w:rPr>
          <w:rStyle w:val="18"/>
        </w:rPr>
        <w:tab/>
      </w:r>
      <w:r>
        <w:fldChar w:fldCharType="begin"/>
      </w:r>
      <w:r>
        <w:rPr>
          <w:rStyle w:val="18"/>
        </w:rPr>
        <w:instrText xml:space="preserve"> PAGEREF _Toc256000042 \h </w:instrText>
      </w:r>
      <w:r>
        <w:fldChar w:fldCharType="separate"/>
      </w:r>
      <w:r>
        <w:rPr>
          <w:rStyle w:val="18"/>
        </w:rPr>
        <w:t>103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十六、基金的会计与审计</w:t>
      </w:r>
      <w:r>
        <w:rPr>
          <w:rStyle w:val="18"/>
        </w:rPr>
        <w:tab/>
      </w:r>
      <w:r>
        <w:fldChar w:fldCharType="begin"/>
      </w:r>
      <w:r>
        <w:rPr>
          <w:rStyle w:val="18"/>
        </w:rPr>
        <w:instrText xml:space="preserve"> PAGEREF _Toc256000043 \h </w:instrText>
      </w:r>
      <w:r>
        <w:fldChar w:fldCharType="separate"/>
      </w:r>
      <w:r>
        <w:rPr>
          <w:rStyle w:val="18"/>
        </w:rPr>
        <w:t>106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十七、基金的信息披露</w:t>
      </w:r>
      <w:r>
        <w:rPr>
          <w:rStyle w:val="18"/>
        </w:rPr>
        <w:tab/>
      </w:r>
      <w:r>
        <w:fldChar w:fldCharType="begin"/>
      </w:r>
      <w:r>
        <w:rPr>
          <w:rStyle w:val="18"/>
        </w:rPr>
        <w:instrText xml:space="preserve"> PAGEREF _Toc256000044 \h </w:instrText>
      </w:r>
      <w:r>
        <w:fldChar w:fldCharType="separate"/>
      </w:r>
      <w:r>
        <w:rPr>
          <w:rStyle w:val="18"/>
        </w:rPr>
        <w:t>107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十八、侧袋机制</w:t>
      </w:r>
      <w:r>
        <w:rPr>
          <w:rStyle w:val="18"/>
        </w:rPr>
        <w:tab/>
      </w:r>
      <w:r>
        <w:fldChar w:fldCharType="begin"/>
      </w:r>
      <w:r>
        <w:rPr>
          <w:rStyle w:val="18"/>
        </w:rPr>
        <w:instrText xml:space="preserve"> PAGEREF _Toc256000045 \h </w:instrText>
      </w:r>
      <w:r>
        <w:fldChar w:fldCharType="separate"/>
      </w:r>
      <w:r>
        <w:rPr>
          <w:rStyle w:val="18"/>
        </w:rPr>
        <w:t>113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十九、风险揭示</w:t>
      </w:r>
      <w:r>
        <w:rPr>
          <w:rStyle w:val="18"/>
        </w:rPr>
        <w:tab/>
      </w:r>
      <w:r>
        <w:fldChar w:fldCharType="begin"/>
      </w:r>
      <w:r>
        <w:rPr>
          <w:rStyle w:val="18"/>
        </w:rPr>
        <w:instrText xml:space="preserve"> PAGEREF _Toc256000046 \h </w:instrText>
      </w:r>
      <w:r>
        <w:fldChar w:fldCharType="separate"/>
      </w:r>
      <w:r>
        <w:rPr>
          <w:rStyle w:val="18"/>
        </w:rPr>
        <w:t>116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二十、基金合同的变更、终止与基金财产的清算</w:t>
      </w:r>
      <w:r>
        <w:rPr>
          <w:rStyle w:val="18"/>
        </w:rPr>
        <w:tab/>
      </w:r>
      <w:r>
        <w:fldChar w:fldCharType="begin"/>
      </w:r>
      <w:r>
        <w:rPr>
          <w:rStyle w:val="18"/>
        </w:rPr>
        <w:instrText xml:space="preserve"> PAGEREF _Toc256000047 \h </w:instrText>
      </w:r>
      <w:r>
        <w:fldChar w:fldCharType="separate"/>
      </w:r>
      <w:r>
        <w:rPr>
          <w:rStyle w:val="18"/>
        </w:rPr>
        <w:t>123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二十一、基金合同内容摘要</w:t>
      </w:r>
      <w:r>
        <w:rPr>
          <w:rStyle w:val="18"/>
        </w:rPr>
        <w:tab/>
      </w:r>
      <w:r>
        <w:fldChar w:fldCharType="begin"/>
      </w:r>
      <w:r>
        <w:rPr>
          <w:rStyle w:val="18"/>
        </w:rPr>
        <w:instrText xml:space="preserve"> PAGEREF _Toc256000048 \h </w:instrText>
      </w:r>
      <w:r>
        <w:fldChar w:fldCharType="separate"/>
      </w:r>
      <w:r>
        <w:rPr>
          <w:rStyle w:val="18"/>
        </w:rPr>
        <w:t>126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二十二、托管协议的内容摘要</w:t>
      </w:r>
      <w:r>
        <w:rPr>
          <w:rStyle w:val="18"/>
        </w:rPr>
        <w:tab/>
      </w:r>
      <w:r>
        <w:fldChar w:fldCharType="begin"/>
      </w:r>
      <w:r>
        <w:rPr>
          <w:rStyle w:val="18"/>
        </w:rPr>
        <w:instrText xml:space="preserve"> PAGEREF _Toc256000049 \h </w:instrText>
      </w:r>
      <w:r>
        <w:fldChar w:fldCharType="separate"/>
      </w:r>
      <w:r>
        <w:rPr>
          <w:rStyle w:val="18"/>
        </w:rPr>
        <w:t>141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二十三、对基金份额持有人的服务</w:t>
      </w:r>
      <w:r>
        <w:rPr>
          <w:rStyle w:val="18"/>
        </w:rPr>
        <w:tab/>
      </w:r>
      <w:r>
        <w:fldChar w:fldCharType="begin"/>
      </w:r>
      <w:r>
        <w:rPr>
          <w:rStyle w:val="18"/>
        </w:rPr>
        <w:instrText xml:space="preserve"> PAGEREF _Toc256000050 \h </w:instrText>
      </w:r>
      <w:r>
        <w:fldChar w:fldCharType="separate"/>
      </w:r>
      <w:r>
        <w:rPr>
          <w:rStyle w:val="18"/>
        </w:rPr>
        <w:t>157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二十四、其他应披露事项</w:t>
      </w:r>
      <w:r>
        <w:rPr>
          <w:rStyle w:val="18"/>
        </w:rPr>
        <w:tab/>
      </w:r>
      <w:r>
        <w:fldChar w:fldCharType="begin"/>
      </w:r>
      <w:r>
        <w:rPr>
          <w:rStyle w:val="18"/>
        </w:rPr>
        <w:instrText xml:space="preserve"> PAGEREF _Toc256000051 \h </w:instrText>
      </w:r>
      <w:r>
        <w:fldChar w:fldCharType="separate"/>
      </w:r>
      <w:r>
        <w:rPr>
          <w:rStyle w:val="18"/>
        </w:rPr>
        <w:t>159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"_Toc256000052" </w:instrText>
      </w:r>
      <w:r>
        <w:fldChar w:fldCharType="separate"/>
      </w:r>
      <w:r>
        <w:rPr>
          <w:rStyle w:val="18"/>
          <w:rFonts w:ascii="宋体" w:hAnsi="宋体"/>
        </w:rPr>
        <w:t>二十五、招募说明书的存放及查阅方式</w:t>
      </w:r>
      <w:r>
        <w:rPr>
          <w:rStyle w:val="18"/>
        </w:rPr>
        <w:tab/>
      </w:r>
      <w:r>
        <w:fldChar w:fldCharType="begin"/>
      </w:r>
      <w:r>
        <w:rPr>
          <w:rStyle w:val="18"/>
        </w:rPr>
        <w:instrText xml:space="preserve"> PAGEREF _Toc256000052 \h </w:instrText>
      </w:r>
      <w:r>
        <w:fldChar w:fldCharType="separate"/>
      </w:r>
      <w:r>
        <w:rPr>
          <w:rStyle w:val="18"/>
        </w:rPr>
        <w:t>161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"_Toc256000053" </w:instrText>
      </w:r>
      <w:r>
        <w:fldChar w:fldCharType="separate"/>
      </w:r>
      <w:r>
        <w:rPr>
          <w:rStyle w:val="18"/>
          <w:rFonts w:ascii="宋体" w:hAnsi="宋体"/>
        </w:rPr>
        <w:t>二十六、备查文件</w:t>
      </w:r>
      <w:r>
        <w:rPr>
          <w:rStyle w:val="18"/>
        </w:rPr>
        <w:tab/>
      </w:r>
      <w:r>
        <w:fldChar w:fldCharType="begin"/>
      </w:r>
      <w:r>
        <w:rPr>
          <w:rStyle w:val="18"/>
        </w:rPr>
        <w:instrText xml:space="preserve"> PAGEREF _Toc256000053 \h </w:instrText>
      </w:r>
      <w:r>
        <w:fldChar w:fldCharType="separate"/>
      </w:r>
      <w:r>
        <w:rPr>
          <w:rStyle w:val="18"/>
        </w:rPr>
        <w:t>162</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28"/>
      <w:bookmarkStart w:id="5" w:name="_Toc256000001"/>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双利债券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双利债券证券投资基金基金合同》（以下简称“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1.基金或本基金：指交银施罗德双利债券证券投资基金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2.基金管理人或本基金管理人：指交银施罗德基金管理有限公司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3.基金托管人或本基金托管人：指中国建设银行股份有限公司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4.基金合同：指《交银施罗德双利债券证券投资基金基金合同》及对本基金合同的任何有效修订和补充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5.托管协议：指基金管理人与基金托管人就本基金签订之《交银施罗德双利债券证券投资基金托管协议》及对该托管协议的任何有效修订和补充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6.招募说明书或本招募说明书：指《交银施罗德双利债券证券投资基金招募说明书》及其更新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7.基金份额发售公告：指《交银施罗德双利债券证券投资基金份额发售公告》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8.基金产品资料概要：指《交银施罗德双利债券证券投资基金基金产品资料概要》及其更新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9.法律法规：指中国现行有效并公布实施的法律、行政法规、部门规章、规范性文件及对该等法律法规不时作出的修订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10.《基金法》：指2003年10月28日经第十届全国人民代表大会常务委员会第五次会议通过，自2004年6月1日起实施的《中华人民共和国证券投资基金法》及颁布机关对其不时做出的修订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11.《销售办法》：指中国证监会2011年6月9日颁布、同年10月1日实施的《证券投资基金销售管理办法》及颁布机关对其不时做出的修订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13.《运作办法》：指中国证监会2004年6月29日颁布、同年7月1日实施的《证券投资基金运作管理办法》及颁布机关对其不时做出的修订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15.中国：指中华人民共和国，就本基金合同而言，不包括香港特别行政区、澳门特别行政区和台湾地区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17.中国银监会：指中国银行业监督管理委员会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20.机构投资者：指依法可以投资开放式证券投资基金的、在中华人民共和国境内合法注册登记并存续或经有关政府部门批准设立并存续的企业法人、事业法人、社会团体或其他组织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21.合格境外机构投资者：指符合现时有效的相关法律法规规定可以投资于中国境内证券市场，并取得国家外汇管理局额度批准的中国境外的机构投资者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22.投资人：指个人投资者、机构投资者和合格境外机构投资者以及法律法规或中国证监会允许购买证券投资基金的其他投资人的合称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24.基金销售业务：指基金管理人或代销机构宣传推介基金，发售基金份额，办理基金份额的申购、赎回、转换、转托管及定期定额投资等业务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25.销售机构：指直销机构和代销机构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26.直销机构：指交银施罗德基金管理有限公司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会员单位：指具有开放式基金代销资格，经上海证券交易所和中国证券登记结算有限责任公司认可的、可通过上海证券交易所交易系统办理开放式基金的认购、申购、赎回和转托管等业务的上海证券交易所会员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29.基金销售网点：指直销机构的直销中心及代销机构的代销网点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注册登记业务：指基金登记、存管、过户、清算和结算业务，具体内容包括投资人基金账户的建立和管理、基金份额注册登记、基金销售业务的确认、清算和结算、代理发放红利、建立并保管基金份额持有人名册、办理非交易过户业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31.注册登记机构：指办理注册登记业务的机构。基金的注册登记机构为交银施罗德基金管理有限公司或接受交银施罗德基金管理有限公司委托代为办理注册登记业务的机构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基金账户：指注册登记机构为投资人开立的、记录其持有的、基金管理人所管理的基金份额余额及其变动情况的账户。投资人通过场外销售机构办理基金份额的认购、申购和赎回等业务时需持有基金账户。记录在该账户下的基金份额登记在注册登记机构的注册登记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33.基金交易账户：指销售机构为投资人开立的、记录投资人通过该销售机构买卖本基金的基金份额变动及结余情况的账户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上海证券账户：指在中国证券登记结算有限责任公司上海分公司开设的上海证券交易所人民币普通股票账户或证券投资基金账户。投资人通过上海证券交易所交易系统办理场内认购、申购和赎回等业务时需持有上海证券账户。记录在该账户下的基金份额登记在注册登记机构的证券登记结算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37.基金募集期：指自基金份额发售之日起至发售结束之日止的期间，最长不得超过3个月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39.日/天：指公历日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40.月：指公历月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42.T日：指销售机构在规定时间受理投资人申购、赎回或其他业务申请的工作日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44.开放日：指为投资人办理基金份额申购、赎回或其他业务的工作日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45.交易时间：指开放日基金接受申购、赎回或其他交易的时间段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业务规则》：指《交银施罗德基金管理有限公司开放式基金业务规则》，是规范基金管理人所管理的开放式证券投资基金注册登记方面的业务规则，由基金管理人和投资人共同遵守；此外，投资人通过场内认购、申购、赎回本基金还须遵守上海证券交易所及登记结算公司场内业务有关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47.认购：指在基金募集期内，投资人申请购买基金份额的行为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49.赎回：指基金合同生效后，基金份额持有人按基金合同规定的条件要求将基金份额兑换为现金的行为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50.场外：不通过上海证券交易所的交易系统办理基金份额认购、申购和赎回等业务的销售机构和场所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51.场内：通过上海证券交易所的交易系统办理基金份额认购、申购和赎回等业务的销售机构和场所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52.注册登记系统：指中国证券登记结算有限责任公司开放式基金登记结算系统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53.证券登记结算系统：指中国证券登记结算有限责任公司上海分公司证券登记结算系统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54.销售服务费：指从基金资产中计提的，用于本基金市场推广、销售以及基金份额持有人服务的费用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基金转换：指基金份额持有人按照本基金合同和基金管理人届时有效公告规定的条件，申请将其持有基金管理人管理的、某一基金的基金份额转换为基金管理人管理的、且由同一注册登记机构办理注册登记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57.转托管：指基金份额持有人在本基金的不同销售机构之间实施的变更所持基金份额销售机构的操作行为，包括系统内转托管及跨系统转托管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58、系统内转托管：指基金份额持有人将持有的基金份额在注册登记系统内不同销售机构（网点）之间或证券登记结算系统内不同会员单位（席位或交易单元）之间进行转登记的行为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59.跨系统转托管：指基金份额持有人将持有的基金份额在注册登记系统和证券登记结算系统间进行转登记的行为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60.定期定额投资计划：指投资人通过有关销售机构提出申请，约定每期申购日、扣款金额及扣款方式，由指定的销售机构在投资人指定资金账户内自动扣款并于每期约定的申购日提交基金申购申请的一种投资方式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63.基金利润：指基金利息收入、投资收益、公允价值变动收益和其他收入扣除相关费用后的余额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64.基金资产总值：指基金拥有的各类有价证券、银行存款本息、基金应收申购款及其他资产的价值总和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65.基金资产净值：指基金资产总值减去基金负债后的价值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66.基金份额净值：指计算日基金资产净值除以计算日基金份额总数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67.基金资产估值：指计算评估基金资产和负债的价值，以确定基金资产净值和基金份额净值的过程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69. 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72.不可抗力：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pPr>
        <w:pStyle w:val="2"/>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优选回报灵活配置混合型证券投资基金（2025年03月22日至2026年03月28日）、交银施罗德纯债债券型发起式证券投资基金（2018年08月29日至2025年01月15日）、交银施罗德裕泰两年定期开放债券型证券投资基金（2019年12月10日至2025年01月07日）、交银施罗德鑫选回报混合型证券投资基金（2021年04月29日至2024年05月22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丰晟收益债券型证券投资基金（2018年08月29日至2020年10月16日）的基金经理。现任交银施罗德鸿福六个月持有期混合型证券投资基金（2026年04月16日至今）、交银施罗德鸿宁三个月持有期债券型证券投资基金（2026年03月31日至今）、交银施罗德180天持有期债券型证券投资基金（2025年07月18日至今）、交银施罗德定期支付月月丰债券型证券投资基金（2024年12月27日至今）、交银施罗德强化回报债券型证券投资基金（2023年04月15日至今）、交银施罗德双利债券证券投资基金（2022年08月18日至今）、交银施罗德安心收益债券型证券投资基金（2022年01月27日至今）、交银施罗德可转债债券型证券投资基金（2019年07月11日至今）、交银施罗德增利增强债券型证券投资基金（2018年11月02日至今）、交银施罗德增利债券证券投资基金（2018年08月29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本基金历任基金经理：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项廷锋先生（2014年08月04日至2015年10月06日）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李家春先生（2011年09月26日至2014年08月20日）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李娜女士（2015年10月07日至2015年11月06日）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唐赟先生（2015年11月07日至2023年05月06日）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1、依法募集基金，办理或者委托经中国证监会认定的其他机构代为办理基金份额的发售、申购、赎回和登记事宜；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1、基金管理人承诺不从事违反《证券法》的行为，并承诺建立健全内部控制制度，采取有效措施，防止违反《证券法》行为的发生；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（5）依照法律法规有关规定，由中国证监会规定禁止的其他行为。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1、基本情况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名称：中国建设银行股份有限公司(简称：中国建设银行)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住所：北京市西城区金融大街25号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办公地址：北京市西城区闹市口大街1号院1号楼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法定代表人：张金良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成立时间：2004年09月17日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注册资本：贰仟陆佰壹拾陆亿零叁拾捌万壹仟肆佰伍拾玖元整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基金托管资格批文及文号：中国证监会证监基字[1998]12号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联系人：王小飞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联系电话：(021)6063 7103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3、基金托管业务经营情况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2026年3月末，中国建设银行已托管1,523只证券投资基金。中国建设银行专业高效的托管服务能力和业务水平，赢得了业内的高度认同。中国建设银行多次被《全球托管人》、《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2、内部控制组织结构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3、内部控制制度及措施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1、监督方法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2、监督流程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(2)收到基金管理人的划款指令后，对指令要素等内容进行核查。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(3)通过技术或非技术手段发现基金涉嫌违规交易，电话或书面要求基金管理人进行解释或举证，如有必要将及时报告中国证监会。</w:t>
      </w:r>
    </w:p>
    <w:p>
      <w:pPr>
        <w:pStyle w:val="2"/>
        <w:snapToGrid w:val="0"/>
        <w:spacing w:before="240" w:beforeLines="0" w:after="0"/>
        <w:rPr>
          <w:rFonts w:ascii="宋体" w:hAnsi="宋体"/>
          <w:szCs w:val="30"/>
        </w:rPr>
      </w:pPr>
      <w:r>
        <w:br w:type="page"/>
      </w:r>
      <w:bookmarkStart w:id="12" w:name="_Toc256000032"/>
      <w:bookmarkStart w:id="13" w:name="_Toc256000005"/>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个人投资者可以通过基金管理人网上直销交易平台办理开户、本基金A类及C类基金份额的申购、赎回、转换及定期定额投资等业务。具体交易细则请参阅基金管理人网站。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2、场内代销机构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具有基金代销资格的上海证券交易所场内会员单位。（具体名单见基金份额发售公告）。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3、场外代销机构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（1）名称：中国工商银行股份有限公司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注册地址：北京市西城区复兴门内大街55号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办公地址：北京市西城区复兴门内大街55号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法定代表人：廖林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网址：www.icbc.com.cn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住所：北京市东城区建国门内大街69号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办公地址：北京市西城区复兴门内大街28号凯晨世贸中心东座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法定代表人：周慕冰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联系电话：010-66060069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传真：010-68121816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联系人：贺倩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（3）名称：中国建设银行股份有限公司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住所：北京市西城区金融大街25号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办公地址：北京市西城区闹市口大街1号院1号楼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法定代表人：张金良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电话：（010）66275654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传真：（010）66275654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网址：www.ccb.com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（6）名称：中信银行股份有限公司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法定代表人：朱鹤新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电话：（010）89936330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传真：（010）85230024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联系人：丰靖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（7）名称：中国民生银行股份有限公司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住所：北京市西城区复兴门内大街2号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法定代表人：洪崎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电话：（010）58560666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传真：（010）57092611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联系人：许野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95568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（8）名称：北京银行股份有限公司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住所：北京市西城区金融大街甲17号首层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办公地址：北京市西城区金融大街甲17号首层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法定代表人：张东宁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传真：（010）66226045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联系人：孔超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网址：www.bankofbeijing.com.cn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（9）名称：华夏银行股份有限公司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住所：北京市东城区建国门内大街22号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办公地址：北京市东城区建国门内大街22号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法定代表人：李民吉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（10）名称：上海银行股份有限公司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住所：上海市银城中路168号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办公地址：上海市银城中路168号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法定代表人：金煜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电话：（021）68475888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传真：（021）68476111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客户服务电话：（021）962888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网址：www.bankofshanghai.com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（11）名称：平安银行股份有限公司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注册地址：深圳市罗湖区深南东路5047号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法定代表人：谢永林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电话：0755-22166574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传真：0755-82080406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客服电话：95511-3或95501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（12）名称：宁波银行股份有限公司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住所：宁波市江东区中山东路294号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法定代表人：陆华裕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电话：（021）63586210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传真：（021）63586215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联系人：胡技勋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客户服务电话：96528（上海地区962528）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网址：www.nbcb.com.cn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（13）名称：杭州银行股份有限公司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住所：杭州市庆春路46号杭州银行大厦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办公地址：杭州市庆春路46号杭州银行大厦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法定代表人：陈震山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电话：（0571）85108195、85120696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传真：（0571）86475527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联系人：严峻、夏帆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网址：www.hzbank.com.cn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（14）名称：东莞农村商业银行股份有限公司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办公地址：东莞市东城区鸿福东路2号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法定代表人：王耀球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电话：（0769）22866254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传真：（0769）22866282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联系人：林培珊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客户服务电话：（0769）961122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网址：www.drcbank.com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（15）名称：江苏常熟农村商业银行股份有限公司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住所：江苏省常熟市新世纪大道58号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办公地址：江苏省常熟市新世纪大道58号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法定代表人：宋建明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联系电话：（0512）52909128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传真：（0512）52909122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客户服务电话：962000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网址：www.csrcbank.com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（16）名称：江苏江南农村商业银行股份有限公司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住所：江苏省常州市和平中路413号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办公地址：江苏省常州市和平中路413号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法定代表人：陆向阳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电话：0519-80585939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传真：0519-89995170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网址：http://www.jnbank.com.cn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（17）名称：国泰海通证券股份有限公司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注册地址：中国（上海）自由贸易试验区商城路618号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办公地址：上海市静安区南京西路768号国泰君安大厦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联系电话：021-38676666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传真：021-38670666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联系人：邵亚杰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服务热线 : 95521 / 4008888666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网址：www.gtht.com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（19）名称：国信证券股份有限公司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住所：深圳市罗湖区红岭中路1012号国信证券大厦16-26楼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办公地址：深圳市罗湖区红岭中路1012号国信证券大厦16-26楼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法定代表人：张纳沙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电话：（0755）82130833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传真：（0755）82133952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联系人：于智勇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网址：www.guosen.com.cn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（20）名称：招商证券股份有限公司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办公地址：深圳市福田区益田路江苏大厦A座38-45层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法定代表人：朱江涛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电话：（0755）82943666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传真：（0755）82943636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联系人：黄婵君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客户服务电话：400-8888-111，95565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网址：www.newone.com.cn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（21）名称：中信证券股份有限公司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住所：广东省深圳市福田区中心三路8号卓越时代广场（二期）北座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办公地址：北京市朝阳区亮马桥路48号中信证券大厦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法定代表人：张佑君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（22）名称：中国银河证券股份有限公司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法定代表人：陈共炎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电话：010-83574507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联系人：辛国政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网址：www.chinastock.com.cn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（23）名称：申万宏源证券有限公司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法定代表人：杨玉成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电话：（021）33389888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联系人：李清怡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客户服务电话：95523或4008895523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网址：www.sywg.com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（24）名称：兴业证券股份有限公司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住所：福州市湖东路268号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办公地址：上海市浦东新区长柳路36号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法定代表人：杨华辉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021-38565547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联系人：乔琳雪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www.xyzq.com.cn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（25）名称：长江证券股份有限公司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住所：武汉市新华路特8号长江证券大厦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办公地址：武汉市新华路特8号长江证券大厦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法定代表人：胡运钊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电话：（027）65799999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传真：（027）85481900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客户服务电话：95579或4008-888-999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网址：www.95579.com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（26）名称：国投证券股份有限公司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住所：深圳市福田区福田街道福华一路119号安信金融大厦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办公地址：深圳市福田区福田街道福华一路119号安信金融大厦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电话：（0755）81688000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传真：（0755）82558355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网址：https://www.sdicsc.com.cn/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（27）名称：西南证券股份有限公司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住所：重庆市江北区桥北苑8号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办公地址：重庆市江北区桥北苑8号西南证券大厦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电话：（023）63786141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传真：（023）63786212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客户服务电话：95355、400-809-6096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网址：www.swsc.com.cn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（28）名称：湘财证券股份有限公司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住所：湖南省长沙市黄兴中路63号中山国际大厦12楼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办公地址：湖南省长沙市天心区湘府中路198号标志商务中心11楼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法定代表人：林俊波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电话：（021）68634518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传真：（021）68865680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联系人：钟康莺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客户服务电话：400-888-1551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网址：www.xcsc.com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（29）名称：渤海证券股份有限公司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住所：天津经济技术开发区第二大街42号写字楼101室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办公地址：天津市南开区宾水西道8号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法定代表人：安志勇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电话：（022）28451991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传真：（022）28451892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联系人：蔡霆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956066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网址：www.ewww.com.cn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（30）名称：华泰证券股份有限公司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住所：江苏省南京市江东中路228号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办公地址：江苏省南京市建邺区江东中路228号华泰证券广场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电话：（0755）82492193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传真：（0755）82492962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联系人：徐浩津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网址：www.htsc.com.cn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（31）名称：中信证券（山东）有限责任公司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住所：青岛市崂山区深圳路222号1号楼2001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办公地址：青岛市市南区东海西路28号龙翔广场东座5层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法定代表人：肖海峰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电话：0531-89606166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传真：0532-85022605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联系人：赵如意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网址：sd.citics.com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（32）名称：东兴证券股份有限公司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住所：北京市西城区金融大街5号新盛大厦B座12-15层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法定代表人：徐勇力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电话：（010）66555316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传真：（010）66555246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联系人：汤漫川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400-8888-993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网址：www.dxzq.net</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（33）名称：信达证券股份有限公司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住所：北京市西城区闹市口大街9号院1号楼信达金融中心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办公地址：北京市西城区闹市口大街9号院1号楼信达金融中心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法定代表人：张志刚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电话：（010）63081000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传真：（010）63081344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联系人：尹旭航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客户服务电话：95321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网址：www.cindasc.com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（34）名称：东方证券股份有限公司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住所：上海市中山南路318号2号楼22层-29层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法定代表人：王益民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电话：（021）63325888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传真：（021）63326173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网址：www.dfzq.com.cn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（35）名称：方正证券股份有限公司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住所：湖南长沙芙蓉中路二段华侨国际大厦22-24层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办公地址：湖南长沙芙蓉中路二段华侨国际大厦22-24层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法定代表人：施华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电话：（010）68546765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传真：（010）68546792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网址：www.foundersc.com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（36）名称：长城证券有限责任公司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住所：深圳市福田区深南大道6008号特区报业大厦14、16、17层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法定代表人：黄耀华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电话：（0755）83516289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传真：（0755）83516199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联系人：匡婷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客户服务电话：（0755）33680000，400-6666-888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网址：www.cc168.com.cn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（37）名称：光大证券股份有限公司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住所：上海市静安区新闸路1508号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办公地址：上海市静安区新闸路1508号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电话：（021）22169999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传真：（021）22169134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10108998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网址：www.ebscn.com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（38）名称：中信证券华南股份有限公司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法定代表人：陈可可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电话：020-88836999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传真：020-88836984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联系人：郭杏燕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客服电话：（020）95396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网址：www.gzs.com.cn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（39）名称：平安证券股份有限公司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住所：深圳市福田区金田路大中华国际交易广场裙楼8楼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办公地址：深圳市福田区金田路大中华国际交易广场裙楼8楼(518048)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法定代表人：杨宇翔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电话：（0755）22627802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传真：（0755）82400862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联系人：郑舒丽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（40）名称：东莞证券股份有限公司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住所：广东省东莞市莞城区可园南路一号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办公地址：广东省东莞市莞城区可园南路一号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电话：（0769）22115712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传真：（0769）22115712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网址：www.dgzq.com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（41）名称：中原证券股份有限公司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住所：郑州市郑东新区商务外环路10号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办公地址：郑州市郑东新区商务外环路10号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法定代表人：菅明军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联系人：程月艳 李盼盼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电话：0371-69099881/2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网址：https://www.ccnew.com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（42）名称：国都证券股份有限公司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住所：北京市东城区东直门南大街3号国华投资大厦9层10层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办公地址：北京市东城区东直门南大街3号国华投资大厦9层10层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法定代表人：王少华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客户服务电话：400-818-8118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网址：www.guodu.com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（43）名称：中银国际证券股份有限公司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住所：上海市银城中路200号39层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办公地址：中国上海浦东银城中路200号中银大厦39-40层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客户服务电话：400-620-8888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网址：www.bocichina.com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（44）名称：金融街证券股份有限公司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注册地址：内蒙古自治区呼和浩特市新城区海拉尔东街满世尚都办公商业综合楼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办公地址：内蒙古自治区呼和浩特市新城区海拉尔东街满世尚都办公商业综合楼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法定代表人：祝艳辉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联系人：熊丽、王捷勋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联系电话：0471-4968480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客户服务电话：956088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网址：www.cnht.com.cn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（45）名称：华西证券股份有限公司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法定代表人：杨炯洋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电话：（028）86135991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传真：（028）86150400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联系人：周志茹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（46）名称：申万宏源西部证券有限公司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住所：新疆乌鲁木齐市建设路2号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办公地址：北京市西城区太平桥大街19号宏源证券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法定代表人：冯戎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电话：（010）88085858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传真：（010）88085195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客户服务电话：4008-000-562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网址：www.hysec.com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（47）名称：中泰证券股份有限公司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电话：（0531）68889155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传真：（0531）68889752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联系人：许曼华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网址：www.zts.com.cn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（48）名称：第一创业证券股份有限公司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住所：深圳市罗湖区笋岗路12号中民时代广场 B 座25、26层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办公地址：深圳市罗湖区笋岗路12号中民时代广场 B 座25、26层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法定代表人：刘学民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电话：（0755）25832852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传真：（0755）25831718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联系人：崔国良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网址：www.firstcapital.com.cn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（49）名称：中航证券有限公司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办公地址：南昌市红谷滩新区红谷中大道1619号国际金融大厦41楼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法定代表人：杜航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电话：（0791）86768681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传真：（0791）86770178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联系人：戴蕾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客户服务电话：400-8895-335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网址：www.avicsec.com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（50）名称：德邦证券股份有限公司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住所：上海市普陀区曹杨路510号南半幢9楼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办公地址：上海市福山路500号城建大厦26楼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法定代表人：姚文平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电话：（021）68761616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传真：（021）68767981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网址：www.tebon.com.cn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（51）名称：华福证券股份有限公司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住所：福建省福州市鼓楼区鼓屏路27号1#楼3层、4层、5层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办公地址：福建省福州市鼓楼区鼓屏路27号1#楼3层、4层、5层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法定代表人：黄德良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电话：（0591）87383623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传真：（0591）87383610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客户服务电话：（0591）95547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网址：www.hfzq.com.cn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（52）名称：中国国际金融股份有限公司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住所：北京建国门外大街1号国贸大厦2座27层及28层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办公地址：北京建国门外大街1号国贸大厦2座27层及28层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法定代表人：毕明建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电话：（010）65051166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传真：（010）85679203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联系人：杨涵宇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（53）名称：瑞银证券有限责任公司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住所：北京市西城区金融大街7号英蓝国际金融中心12层、15层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办公地址：北京市西城区金融大街7号英蓝国际金融中心12层、15层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法定代表人：程宜荪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电话：（010）58328112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传真：（010）58328740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联系人：牟冲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客户服务电话：400-887-8827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网址：www.ubssecurities.com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（54）名称：中国中金财富证券有限公司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办公地址：深圳市福田区益田路6003号荣超商务中心A栋第04、18层至21层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法定代表人：高涛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电话：（0755）88320851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联系人：胡芷境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客户服务电话：95532/400-600-8008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（55）名称：粤开证券股份有限公司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注册地址：广州市黄埔区科学大道60号开发区控股中心19、22、23层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办公地址：广州市黄埔区科学大道60号开发区控股中心19、22、23层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法定代表人：郭川舟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客服电话：95564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网址：www.ykzq.com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（56）名称：江海证券有限公司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住所：黑龙江省哈尔滨市香坊区赣水路56号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法定代表人：孙名扬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电话：（0451）85863719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传真：（0451）82287211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客户服务电话：956007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网址：www.jhzq.com.cn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（57）名称：国金证券股份有限公司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法定代表人：冉云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电话：（028）86690057，（028）86690058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传真：（028）86690126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联系人：刘婧漪 贾鹏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网址：www.gjzq.com.cn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（58）名称：华宝证券股份有限公司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住所：中国上海市陆家嘴环路166号未来资产大厦27楼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办公地址：中国上海市浦东新区世纪大道100号上海环球金融中心57楼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陈林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电话：（021）68777222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传真：（021）68777822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客户服务电话：400-820-9898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网址：www.cnhbstock.com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（59）名称：长城国瑞证券有限公司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住所：厦门市思明区台北路1号海西金谷广场T2办公楼13-14层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办公地址：厦门市思明区台北路1号海西金谷广场T2办公楼13-14层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电话：0592-2079658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传真：0592-5162590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联系人：陈月月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客户服务电话：400-0099-886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网址：www.gwgsc.com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（60）名称：爱建证券有限责任公司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住所：上海市南京西路758号24楼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办公地址：上海市浦东新区世纪大道1600号32楼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法定代表人：张建华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电话：（021）32229888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传真：（021）68728703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客户服务电话：（021）63340678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网址：www.ajzq.com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（61）名称：天相投资顾问有限公司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住所：北京市西城区金融街19号富凯大厦B座701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办公地址：北京市西城区新街口外大街28号C座5层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法定代表人：林义相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电话：（010）66045529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传真：（010）66045518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联系人：尹伶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客户服务电话：（010）66045678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网址：http://www.txsec.com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（62）名称：深圳市新兰德证券投资咨询有限公司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住所：深圳市福田区华强北路赛格科技园4栋10层1006#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电话：（010）58325395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传真：（010）58325282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联系人：刘宝文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客户服务电话：400-850-7771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网址：http://8.jrj.com.cn/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（63）名称：和讯信息科技有限公司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电话：（021）20835789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传真：（021）20835879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客户服务电话：4009200022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网址：http://licaike.hexun.com/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（64）名称：上海挖财基金销售有限公司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法定代表人：吕柳霞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电话：021-50810673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传真：021-50810687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邮编：200120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联系人：毛善波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客服电话：400-711-8718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网址：www.wacaijijin.com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（65）名称：北京度小满基金销售有限公司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注册地址：北京市海淀区西北旺东路10号院西区4号楼1层103室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法定代表人：葛新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办公地址：北京市海淀区西北旺东路10号院西区4号楼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机构联系人：王笑宇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联系人电话：010-59403028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联系人传真：010-59403027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客户服务电话：95055-4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公司网址：www.baiyingfund.com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（66）名称：诺亚正行基金销售有限公司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住所:上海市虹口区飞虹路360弄9号3724室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办公地址:上海市杨浦区长阳路1687号长阳谷2号楼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法定代表：汪静波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电话：（021）80358523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传真：（021）80358749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客户服务电话：4008215399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网址：www.noah-fund.com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（67）名称：深圳众禄基金销售股份有限公司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电话：（0755）33227953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传真：（0755）33227951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联系人：汤素娅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客户服务电话：4006-788-887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网址：www.zlfund.cn，www.jjmmw.com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（68）名称：上海天天基金销售有限公司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（69）名称：上海好买基金销售有限公司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住所：上海市虹口区场中路685弄37号4号楼449室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办公地址：上海市浦东新区浦东南路1118号鄂尔多斯国际大厦903-906室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法定代表人：杨文斌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传真：（021）68596916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联系人：薛年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客户服务电话：400-700-9665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网址：www.howbuy.com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（70）名称：蚂蚁（杭州）基金销售有限公司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（71）名称：上海长量基金销售有限公司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住所：上海市浦东新区高翔路526号2幢220室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办公地址：上海市浦东新区浦东大道555号裕景国际B座16层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法定代表人：张跃伟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电话：（021）20691832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传真：（021）20691861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联系人：单丙烨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客户服务电话：400-820-2899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网址：www.erichfund.com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（72）名称：浙江同花顺基金销售有限公司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（73）名称：北京展恒基金销售股份有限公司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住所：北京市顺义区后沙峪镇安富街6号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办公地址：北京市朝阳区安苑路15-1号邮电新闻大厦2层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法定代表人：闫振杰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电话：（010）59601366-7024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传真：（010）62020355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客户服务电话：400-888-6661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网址：www.myfund.com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（74）名称：上海利得基金销售有限公司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（75）名称：嘉实财富管理有限公司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办公地址及其联系方式：北京市朝阳区建国门外大街21号北京国际俱乐部C座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张峰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010-85097302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联系人：闫欢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客户服务电话：400-021-8850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公司网址：http://www.harvestwm.cn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（76）名称：北京创金启富基金销售有限公司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梁蓉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电话：010-66154828-8047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传真：010-63583991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魏素清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客户服务电话：010-66154828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https://www.5irich.com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（77）名称：泛华普益基金销售有限公司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住所：成都市成华区建设路9号高地中心1101室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办公地址：成都市金牛区花照壁西顺街399号1栋1单元龙湖西宸天街B座1201号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法定代表人：于海锋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电话：028-8661-6229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联系人：隋亚方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客户服务电话：400-080-3388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网址：https://www.puyifund.com/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（78）名称：宜信普泽（北京）基金销售有限公司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法定代表人：汤蕾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电话：010-5090-5707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联系人：蒋凯帆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客户服务电话：400-6099-200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网址：http://www.puzefund.com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（79）名称：南京苏宁基金销售有限公司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联系人：冯鹏鹏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网址：www.snjijin.com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（80）名称：格上富信投资顾问有限公司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法定代表人：李悦章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电话：（010）85594745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传真：（010）65983333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客户服务电话：400-066-8586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网址：www.igesafe.com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（81）名称：北京汇成基金销售有限公司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住所：北京市西城区宣武门外大街甲1号4层401-2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办公地址：北京市西城区宣武门外大街甲1号环球财讯中心D座4层401-2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法定代表人：王伟刚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电话：（010）56282140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传真：（010）62680827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客户服务电话：010-63158805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网址：www.hcfunds.co</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（82）名称：深圳市米粒基金销售有限公司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法定代表人：黎泰材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联系人：董宣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联系电话：0755-26695461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（83）名称：北京广源达信基金销售有限公司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注册地址：北京市西城区新街口外大街28号C座六层605室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办公地址：北京市顺义区天祥路6号院北京东航中心T1A-304B室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法定代表人：齐剑辉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电话：400-616-7531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联系人：赵明锦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客户服务电话：400-616-7531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网址：https://www.niuniufund.com/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（84）名称：上海大智慧基金销售有限公司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法定代表人：申健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电话：021-0219988-35374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传真：021-20219923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客户服务电话：021-20292031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网址：https://www.wg.com.cn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（85）名称：北京新浪仓石基金销售有限公司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电话：010-58982465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客服电话：010-6267 5369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网址：www.xincai.com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（86）名称：上海万得基金销售有限公司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住所：中国（上海）自由贸易试验区福山路33号11楼B座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办公地址：上海市浦东新区浦明路1500号万得大厦11楼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宋晓言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电话：021-50712782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传真：021-50710161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马烨莹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客户服务电话：400-799-1888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www.520fund.com.cn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（87）名称：上海联泰基金销售有限公司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（88）名称：上海基煜基金销售有限公司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（89）名称：北京虹点基金销售有限公司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法定代表人：邓伟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客户服务电话：400-035-5010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公司网址：www.hongdianfund.com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（90）名称：上海陆金所基金销售有限公司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住所：上海市浦东新区陆家嘴环路1333号14楼09单元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办公地址：上海市浦东新区陆家嘴环路1333号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法定代表人：王之光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电话：（021）20665952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传真：（021）22066653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联系人：宁博宇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客户服务电话：4008219031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网址：www.lufunds.com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（92）名称：奕丰基金销售有限公司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办公地址：深圳市南山区海德三道航天科技广场A座17楼1704室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法定代表人：TEO WEE HOWE</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电话：（0755）89460500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传真：（0755）21674453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联系人：叶健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客户服务电话：400-684-0500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网址：www.ifastps.com.cn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（93）名称：京东肯特瑞基金销售有限公司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（94）名称：大连网金基金销售有限公司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樊怀东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电话：（0411-39027810）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传真：（0411-39027835）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于秀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4000-899-100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网址：http://www.yibaijin.com/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（95）名称：上海证达通基金销售有限公司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电话：（021）20530186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传真：（021）20538999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潘梦茹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客户服务电话：021-20538880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网址：www.zdt.fund</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（96）名称：深圳市金斧子基金销售有限公司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住所：深圳市南山区粤海街道科苑路16号东方科技大厦18楼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办公地址：深圳市南山区粤海街道科苑路科兴科学园B3单元7楼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法定代表人：赖任军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电话：（0755）66892301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传真：（0755）66892399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客户服务电话：400-9500-888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网址：www.jfzinv.com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（97）名称：北京雪球基金销售有限公司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住所：北京市朝阳区创远路 34 号院6号楼15层1501室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办公地址：北京市朝阳区创远路 34 号院融新科技中心 C 座 17 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电话：（010）61840688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传真：（010）84997571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联系人：武安广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客户服务电话：400-1599-288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网址：danjuanfunds.com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（98）名称：万家财富基金销售（天津）有限公司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住所：天津自贸区（中心商务区）迎宾大道1988号滨海浙商大厦公寓2-2413室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办公地址：北京市西城区丰盛胡同28号太平洋保险大厦A座5层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电话：（010）59013825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传真：（010）59013828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联系人：王茜蕊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客户服务电话：010-59013895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网址：http://www.wanjiawealth.com/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（99）名称：上海华夏财富投资管理有限公司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住所：上海市虹口区东大名路687号1幢2楼268室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北京市西城区金融大街33号通泰大厦B座8层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毛淮平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电话：010-88066632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传真：010-63136184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张静怡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客户服务电话：400-817-5666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www.amcfortune.com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（100）名称：中信期货有限公司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电话：010-60833754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传真：021-60819988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联系人：刘宏莹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客服电话：400-990-8826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网站：www.citicsf.com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（102）名称：阳光人寿保险股份有限公司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住所：海南省三亚市迎宾路360-1号三亚阳光金融广场16层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办公地址：北京市朝阳区朝阳门外大街乙12号院1号昆泰国际大厦12层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电话：（010）85632771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传真：（010）85632773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网址：http://fund.sinosig.com/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（103）名称：和耕传承基金销售有限公司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法定代表人：温丽燕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电话：0371-85518395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传真：0371-85518397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联系人：胡静华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客户服务电话：4000555671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网址：www.hgccpb.com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（104）名称：腾安基金销售（深圳）有限公司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（105）名称：济安财富（北京）基金销售有限公司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住所：北京市朝阳区太阳宫中路16号院1号楼10层1005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办公地址：北京市朝阳区太阳宫中路16号院1号楼11层1105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电话：010-65309516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传真：010-65330699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联系人：宋静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客户服务电话：400-673-7010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网址：www.jianfortune.com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（106）名称：博时财富基金销售有限公司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法定代表人：王德英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客户服务电话：400-610-5568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网址：www.boserawealth.com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（107）名称：上海中欧财富基金销售有限公司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住所：中国（上海）自由贸易试验区陆家嘴环路479号1008-1室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办公地址：上海市虹口区公平路18号嘉昱大厦6楼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电话：021-68609600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传真：021-33830351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刘弘义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客户服务电话：400-700-9700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公司网址：https://www.zocaifu.com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名称：中国证券登记结算有限责任公司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法定代表人：于文强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电话：（010）50938782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传真：（010）50938907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联系人：赵亦清</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联系人：黎明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经办律师：吕红、黎明</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名称：容诚会计师事务所（特殊普通合伙）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注册地址：北京市西城区阜成门外大街22号1幢外经贸大厦901-22至901-26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办公地址：北京市西城区阜成门外大街22号1幢外经贸大厦901-22至901-26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执行事务合伙人：肖厚发、刘维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电话：010-66001391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传真：010-66001391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联系人：李隐煜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经办会计师：沈兆杰、李隐煜</w:t>
      </w:r>
    </w:p>
    <w:p>
      <w:pPr>
        <w:pStyle w:val="2"/>
        <w:snapToGrid w:val="0"/>
        <w:spacing w:before="240" w:beforeLines="0" w:after="0"/>
        <w:rPr>
          <w:rFonts w:ascii="宋体" w:hAnsi="宋体"/>
          <w:szCs w:val="30"/>
        </w:rPr>
      </w:pPr>
      <w:r>
        <w:br w:type="page"/>
      </w:r>
      <w:bookmarkStart w:id="14" w:name="_Toc256000033"/>
      <w:bookmarkStart w:id="15" w:name="_Toc256000006"/>
      <w:r>
        <w:rPr>
          <w:rFonts w:ascii="宋体" w:hAnsi="宋体"/>
          <w:sz w:val="30"/>
        </w:rPr>
        <w:t>六、基金的募集</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本基金由基金管理人依照《基金法》、《运作办法》、基金合同及其他有关规定，并经中国证监会证监许可[2011]1093号文核准募集发售。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本基金为契约型开放式债券型基金。基金存续期间为不定期。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本基金募集期间基金份额净值为人民币1.00元，按初始面值发售。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本基金自2011年8月24日至2011年9月21日进行发售。本基金设立募集期共募集1,136,438,471.60份基金份额，有效认购户数为5,962户。</w:t>
      </w:r>
    </w:p>
    <w:p>
      <w:pPr>
        <w:pStyle w:val="2"/>
        <w:snapToGrid w:val="0"/>
        <w:spacing w:before="240" w:beforeLines="0" w:after="0"/>
        <w:rPr>
          <w:rFonts w:ascii="宋体" w:hAnsi="宋体"/>
          <w:szCs w:val="30"/>
        </w:rPr>
      </w:pPr>
      <w:r>
        <w:br w:type="page"/>
      </w:r>
      <w:bookmarkStart w:id="16" w:name="_Toc256000034"/>
      <w:bookmarkStart w:id="17" w:name="_Toc256000007"/>
      <w:r>
        <w:rPr>
          <w:rFonts w:ascii="宋体" w:hAnsi="宋体"/>
          <w:sz w:val="30"/>
        </w:rPr>
        <w:t>七、基金合同的生效</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根据有关规定，本基金满足基金合同生效条件，基金合同已于2011年9月26日正式生效。自基金合同生效之日起，本基金管理人正式开始管理本基金。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p>
      <w:pPr>
        <w:pStyle w:val="2"/>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本基金直销机构为本公司以及本公司的网上直销交易平台。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个人投资者可以通过本公司网上直销交易平台办理开户、本基金A类及C类基金份额的申购、赎回、转换及定期定额投资等业务。具体交易细则请参阅本公司网站。网上直销交易平台网址：www.fund001.com。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2、场内代销机构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本基金的场内代销机构为通过上海证券交易所交易系统办理相关业务的上海证券交易所会员单位，目前场内交易只支持A类基金份额的申购。具体名单详见上海证券交易所网站。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3、场外代销机构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本基金的场外代销机构的代销网点参见本招募说明书“五、相关服务机构”章节或拨打本公司客户服务电话进行咨询。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投资人可通过上述销售机构办理基金申购、赎回业务的营业场所或按上述销售机构提供的其他方式进行申购或赎回。本基金管理人可根据情况变更或增减基金场外代销机构，并在管理人网站公示。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若基金管理人或其指定的代销机构开通电话、传真或网上等交易方式，投资人可以通过上述方式进行申购与赎回。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开放日的具体业务办理时间为上海证券交易所、深圳证券交易所正常交易日的交易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2、申购的开始日及业务办理时间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本基金已于2011年10月25日起开放场内、场外申购业务。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3、赎回的开始日及业务办理时间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本基金已于2011年10月25日起开放场内、场外赎回业务。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（三）申购和赎回的原则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4、当日的申购与赎回申请可以在销售机构规定的时间以内撤销，但申请经注册登记机构正式受理的不得撤销。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基金管理人可根据基金运作的实际情况依法对上述原则进行调整。基金管理人必须在新规则开始实施前依照《信息披露办法》的有关规定在指定媒介上公告。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场外申购时，场外代销机构网点每个账户单笔申购的最低金额为单笔1元，如果代销机构业务规则规定的最低单笔认购金额高于1元，以代销机构的规定为准。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元。本基金直销中心单笔申购最低金额可由基金管理人酌情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场内申购时，每笔申购金额最低为100元人民币，同时每笔申购必须是100元的整数倍，并且单笔申购最高不超过99,999,900元。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3、最低保留余额的限制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5、基金管理人可以根据市场情况，在法律法规允许的情况下，调整上述规定的数量或比例限制。基金管理人必须在调整前依照《信息披露办法》的有关规定在指定媒介上公告并报中国证监会备案。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投资人必须根据销售机构规定的程序，在开放日的具体业务办理时间内提出申购或赎回的申请。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或基金管理人委托的注册登记机构应以交易时间结束前受理申购和赎回申请的当天作为申购或赎回申请日(T日)，在正常情况下，本基金注册登记机构在T+1日（包括该日）内对该交易的有效性进行确认。T日提交的有效申请，投资人应在T+2日后(包括该日)到销售网点柜台或以销售机构规定的其他方式查询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基金管理人可以在法律法规允许的范围内，依法对上述申购和赎回申请的确认时间进行调整，并必须在调整实施日前按照《信息披露办法》有关规定在指定媒介上公告。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基金销售机构对申购、赎回申请的受理并不代表申请一定成功，而仅代表销售机构确实接收到申购、赎回申请。申购、赎回申请的确认以注册登记机构或基金管理人的确认结果为准。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申购采用全额缴款方式，若申购资金在规定时间内未全额到账则申购不成功。若申购不成功或无效，基金管理人或基金管理人指定的代销机构将投资人已缴付的申购款项退还给投资人。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投资人赎回申请成功后，基金管理人将通过注册登记机构及其相关销售机构在T＋7日(包括该日)内将赎回款项划往基金份额持有人账户。在发生巨额赎回时，款项的支付办法参照本基金合同有关条款处理。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（六）申购与赎回的注册登记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1、投资人T日申购基金成功后，正常情况下，注册登记机构在T＋1日为投资人增加权益并办理注册登记手续，投资人自T＋2日（含该日）起有权赎回、转换或转托管该部分基金份额。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2、投资人T日赎回基金成功后，正常情况下，注册登记机构在T＋1日为投资人扣除权益并办理相应的注册登记手续。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3、基金管理人可在法律法规允许的范围内，对上述注册登记办理时间进行调整，并于开始实施前按照《信息披露办法》的有关规定在指定媒介上公告。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A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交易只支持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A/B类基金份额的申购费用由A/B类基金份额申购人承担，不列入基金财产，主要用于本基金的市场推广、销售、登记结算等各项费用。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投资人可以多次申购本基金，申购费率按每笔申购申请单独计算。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本基金A类基金份额的申购费率如下：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A类基金份额前端申购费率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500万元（含）以上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本基金B类基金份额的申购费率如下：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B类基金份额后端申购费率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1年以内（含）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1年—3年（含）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3年—5年（含）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5年以上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持有A/B类基金份额的投资人因红利自动再投资而产生的A/B类基金份额，不收取相应的申购费用。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本基金自2013年4月11日起，对通过本公司直销柜台申购本基金A类基金份额的养老金客户实施特定申购费率。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通过本公司直销柜台申购本基金A类基金份额的养老金客户特定申购费率如下表：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特定申购费率（A类基金份额）</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有关养老金客户实施特定申购费率的具体规定以及活动时间如有变化，敬请投资人留意本公司发布的相关公告。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各类基金份额的赎回费用由赎回该类基金份额的基金份额持有人承担，在基金份额持有人赎回基金份额时收取。赎回费总额的25%应归基金财产，其余用于支付注册登记费和其他必要的手续费。投资人赎回各类基金份额收取赎回费用，该费用随该类基金份额的持有时间递减。其中，对持续持有期少于7日的基金份额持有人收取不低于1.5%的赎回费并全额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本基金A/B类基金份额的赎回费率如下：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7日（含）—1年（含）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1年—2年（含）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2年以上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本基金C类基金份额的赎回费率如下：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7日以上（含）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3、基金管理人可以在履行相关手续后，在基金合同约定的范围内调整申购、赎回费率或调整收费方式，基金管理人应于新的费率或收费方式实施日前依照《信息披露办法》的有关规定在指定媒介上公告。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可以在不违反法律法规规定及基金合同约定的情形下根据市场情况制定基金促销计划，针对以特定交易方式(如网上交易、电话交易等)等进行基金交易的投资人定期或不定期地开展基金促销活动。在基金促销活动期间，按相关监管部门要求履行必要手续后，基金管理人可以适当调低基金申购费率、基金赎回费率和转换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份额余额的处理方式：申购的有效份额按实际确认的申购金额在扣除申购费用（如有）后，以当日基金份额净值为基准计算，场外申购的有效份额按照四舍五入的原则保留到小数点后2位，由此产生的误差计入基金财产。场内申购的有效份额的计算截位保留到整数位，剩余部分折回金额返还投资人，折回金额的计算保留到小数点后两位，小数点两位以后的部分四舍五入，由此产生的误差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（2）赎回金额的处理方式：赎回金额为按实际确认的有效赎回份额乘以当日基金份额净值并扣除赎回费用（如有），赎回金额计算结果按照四舍五入的原则保留到小数点后2位，由此产生的误差计入基金财产。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w:t>
      </w:r>
      <w:r>
        <w:rPr>
          <w:rFonts w:ascii="宋体" w:hAnsi="宋体"/>
          <w:kern w:val="0"/>
          <w:sz w:val="24"/>
        </w:rPr>
        <w:pict>
          <v:shape id="_x0000_i1029" o:spt="75" type="#_x0000_t75" style="height:34.5pt;width:128.25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例一：某投资人投资100,000元申购本基金的A类基金份额，假设申购当日A/B类基金份额净值为1.0400元，申购费率为0.8%，如果该投资人是场外申购，则其可得到的申购份额为：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净申购金额=100,000/（1+0.8%）=99,206.35元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申购费用=100,000-99,206.35=793.65元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申购份额=（100,000-793.65）/1.0400=95,390.72份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如果该投资人是场内申购，申购份额为95,390份，其余0.72份对应金额返回给投资人。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（2）B类基金份额的申购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w:t>
      </w:r>
      <w:bookmarkStart w:id="56" w:name="_GoBack"/>
      <w:bookmarkEnd w:id="56"/>
      <w:r>
        <w:rPr>
          <w:rFonts w:ascii="宋体" w:hAnsi="宋体"/>
          <w:kern w:val="0"/>
          <w:sz w:val="24"/>
        </w:rPr>
        <w:pict>
          <v:shape id="_x0000_i1026" o:spt="75" type="#_x0000_t75" style="height:33.75pt;width:130.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当投资人提出赎回时，后端申购费用的计算方法为：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后端申购费用＝赎回份额×T日A/B类基金份额净值×后端申购费率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例二：某投资人投资100,000元申购本基金的B类基金份额，假设申购当日A/B类基金份额净值为1.0400元，则其可得到的申购份额为：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即：投资人投资100,000元申购本基金的B类基金份额，假设申购当日A/B类基金份额净值为1.0400元，则可得到96,153.85份基金份额，但其在赎回时需根据其持有时间按对应的后端申购费率交纳后端申购费用。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如果投资人选择申购C类基金份额，则申购份额的计算方法如下：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例三：某投资人投资100,000元申购本基金的C类基金份额，假设申购当日C类基金份额净值为1.0400元，则其可得到的申购份额为：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即：投资人投资100,000元申购本基金的C类基金份额，假设申购当日C类基金份额净值为1.0400元，则其可得到96,153.85份C类基金份额。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如果投资人赎回A类基金份额，则赎回金额的计算方法如下：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赎回费用=赎回份额×T日A/B类基金份额净值×赎回费率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赎回金额=赎回份额×T日A/B类基金份额净值-赎回费用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例四：某投资人赎回100,000份A类基金份额，对应的赎回费率为0.1%，假设赎回当日A/B类基金份额净值是1.0160元，则其可得到的赎回金额为：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赎回金额=100,000×1.0160-101.60＝101,498.40元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即：投资人赎回100,000份A类基金份额，假设赎回当日A/B类基金份额净值是1.0160元，则其可得到的赎回金额为101,498.40元。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（2）B类基金份额的赎回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如果投资人赎回B类基金份额，则赎回金额的计算方法如下：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赎回总额＝赎回份额×T日A/B类基金份额净值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后端认（申）购费用＝赎回份额×认（申）购日基金份额净值×后端认（申）购费率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赎回费用＝赎回总额×赎回费率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赎回金额＝赎回总额－后端认（申）购费用－赎回费用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例五：某投资人赎回100,000份B类基金份额，对应的后端申购费率是1.0%，赎回费率为0.1%，假设赎回当日A/B类基金份额净值是1.0160元，申购时的A/B类基金份额净值为1.0100元，则其可得到的赎回金额为：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赎回总额=100,000×1.0160=101,600元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后端申购费用=100,000×1.0100×1.0%=1,010.00元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赎回费用=101,600×0.1%=101.60元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赎回金额=101,600-1,010.00-101.60=100,488.40元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人赎回100,000份B类基金份额，对应的赎回费率为0.1%，假设赎回当日A/B类基金份额净值是1.0160元，投资人对应的后端申购费率是1.0%，申购时的A/B类基金份额净值为1.0100元，则其可得到的赎回金额为100,488.40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赎回金额=赎回份数×T日C类基金份额净值-赎回费用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例六：某投资人赎回100,000份C类基金份额，对应的赎回费率为0，假设赎回当日C类基金份额净值是1.2500 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赎回费用=100,000×1.2500×0＝0元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赎回金额=100,000×1.2500-0=125,000 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即：投资人赎回100,000份C类基金份额，对应的赎回费率为0，假设赎回当日C类基金份额净值是1.2500元，则其可得到的赎回金额为125,000元。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A/B类基金份额净值＝A/B类基金份额的基金资产净值总额/发行在外的A/B类基金份额总数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本基金不同类别基金份额T日的基金份额净值在当天收市后分别计算，并在T＋1日分别公告。遇特殊情况，经中国证监会同意，可以适当延迟计算或公告。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（九）拒绝或暂停申购的情形及处理方式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发生下列情况时，基金管理人可拒绝或暂停接受基金投资人的申购申请：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2、证券交易所交易时间非正常停市，导致基金管理人无法计算当日基金资产净值。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3、发生本基金合同规定的暂停基金资产估值情况。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4、基金管理人认为接受某笔或某些申购申请可能会影响或损害现有基金份额持有人利益时。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除第4、7项以外的暂停申购情形且基金管理人决定暂停申购的，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（十）暂停赎回或者延缓支付赎回款项的情形及处理方式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2、证券交易所交易时间非正常停市，导致基金管理人无法计算当日基金资产净值。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4、发生本基金合同规定的暂停基金资产估值情况。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当发生上述巨额赎回并延期办理时，基金管理人应当通过邮寄、传真、刊登公告或者通知代销机构代为告知等方式在3个工作日内通知基金份额持有人，说明有关处理方法，并在2日内在指定媒介上刊登公告。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（十二）暂停申购或赎回的公告和重新开放申购或赎回的公告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2、如发生暂停的时间为1日，基金管理人应于重新开放日，在指定媒介上刊登基金重新开放申购或赎回公告，并公布最近1个开放日的基金份额净值。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3、如发生暂停的时间超过1日但少于2周，暂停结束，基金重新开放申购或赎回时，基金管理人应提前2日在指定媒介上刊登基金重新开放申购或赎回公告，并公告最近1个开放日的基金份额净值。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如发生暂停的时间超过2周，暂停期间，基金管理人应每2周至少刊登暂停公告1次。暂停结束，基金重新开放申购或赎回时，基金管理人应提前2日在指定媒介上连续刊登基金重新开放申购或赎回公告，并公告最近1个工作日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（十三）转托管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1、系统内转托管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（1）系统内转托管是指基金份额持有人将持有的基金份额在注册登记系统内不同代销机构之间或证券登记结算系统内不同会员单位之间进行转登记的行为。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（2）基金份额登记在注册登记系统的基金份额持有人在变更办理基金赎回业务的销售机构（网点）时，销售机构（网点）之间不能通存通兑时的，可办理已持有基金份额的系统内转托管。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2、跨系统转托管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（1）跨系统转托管是指基金份额持有人将持有的基金份额在注册登记系统和证券登记结算系统之间进行转登记的行为。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（2）本基金跨系统转托管的具体业务按照中国证券登记结算有限责任公司的相关规定办理。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基金管理人、注册登记机构、办理转托管的销售机构因技术系统性能限制或其它合理原因，可以暂停该业务或者拒绝基金份额持有人的转托管申请。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（十四）定期定额投资计划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12月7日刊登公告自2011年12月9日起开通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（十五）基金的非交易过户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注册登记机构受理继承、捐赠和司法强制执行而产生的非交易过户以及注册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（十六）基金份额的冻结和解冻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基金注册登记机构只受理国家有权机关依法要求的基金份额的冻结与解冻，以及注册登记机构认可、符合法律法规的其他情况下的冻结与解冻。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（十七）实施侧袋机制期间本基金的申购与赎回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本基金实施侧袋机制的，本基金的申购和赎回安排详见本招募说明书“侧袋机制”部分的规定或相关公告。</w:t>
      </w:r>
    </w:p>
    <w:p>
      <w:pPr>
        <w:pStyle w:val="2"/>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基金转换是指开放式基金份额持有人将其持有某只基金的部分或全部份额转换为同一基金管理人管理的另一只开放式基金份额。基金转换只能在同一销售机构进行。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本基金2011年12月7日刊登公告自2011年12月9日起开放日常转换业务。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本基金转换业务具体开通销售机构名单参见相关公告。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1、申请方式：书面申请或销售机构公布的其他方式。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2、基金转换申请的确认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2、转出基金的赎回费用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转出基金的赎回费用及归入基金财产的比例按照各基金最新的更新招募说明书及相关公告规定的赎回费率和计费方式收取。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4、后端收费模式下转出与转入基金的申购补差费用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5、网上直销的申购补差费率优惠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6、基金管理人可以根据法律法规及基金合同的规定对上述收费方式和费率进行调整，并应于调整后的收费方式和费率在实施前依照《信息披露办法》的有关规定在中国证监会指定媒介上公告。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1、前端收费模式下基金转换份额的计算公式及举例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转出确认金额=100,000×1.0100=101,000元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转出基金的赎回费=101,000×0.5%=505元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转入确认金额=101,000-505=100,495元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转出与转入基金的申购补差费=100,495×0/（1+0）=0元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转入基金确认份额=（100,495-0）/2.2700=44,270.93份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转出确认金额=1,000,000×1.0200=1,020,000元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转出基金的赎回费=1,020,000×0.05%=510元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转入确认金额=1,020,000-510=1,019,490元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转出与转入基金的申购补差费=1,019,490×0.5%/（1+0.5%）=5,072.09元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转入基金确认份额=（1,019,490-5,072.09）/1.0100=1,004,374.17份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转出与转入基金的申购补差费=125,000×1.5%/（1+1.5%）=1,847.29元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转入基金确认份额=（125,000-1,847.29）/2.2700=54,252.30份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转出与转入基金的申购补差费=100,000×0.8%/（1+0.8%）=793.65元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转入基金确认份额=（100,000-793.65+61.52）/1.2700=78,163.68份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2、后端收费模式下基金转换份额的计算公式及举例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转入基金确认份额=（124,750-0）/2.2700=54,955.95份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转出与转入基金的申购补差费=124,750×1.2%=1497元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转入基金确认份额=（124,750-1497）/1.00=123,253.00份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转出确认金额=100,000×0.8500=85,000元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转出基金的赎回费=85,000×0=0元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转入确认金额=85,000-0=85,000元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转出与转入基金的申购补差费=85,000×0.2%=170元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转入基金确认份额=（85,000-170）/1.0500=80,790.48份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转入基金确认份额=（100,000-0+61.52）/1.2700=78,788.60份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pStyle w:val="2"/>
        <w:snapToGrid w:val="0"/>
        <w:spacing w:before="240" w:beforeLines="0" w:after="0"/>
        <w:rPr>
          <w:rFonts w:ascii="宋体" w:hAnsi="宋体"/>
          <w:szCs w:val="30"/>
        </w:rPr>
      </w:pPr>
      <w:r>
        <w:br w:type="page"/>
      </w:r>
      <w:bookmarkStart w:id="22" w:name="_Toc256000037"/>
      <w:bookmarkStart w:id="23" w:name="_Toc256000010"/>
      <w:r>
        <w:rPr>
          <w:rFonts w:ascii="宋体" w:hAnsi="宋体"/>
          <w:sz w:val="30"/>
        </w:rPr>
        <w:t>十、基金的投资</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1、大类资产配置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（1）久期管理策略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作为债券基金最基本的投资策略，久期管理策略在本质上是一种自上而下的，通过合理的久期控制实现对利率风险有效管理的策略。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（2）债券的类属配置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（3）收益率曲线配置策略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本基金将通过预期收益率曲线形态变化来调整投资组合的头寸。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（4）杠杆放大策略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（5）信用债券投资策略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信用债券投资策略是本基金最重要的投资策略。信用债券同时承载了利率风险与信用风险，而信用风险对信用债券表现的影响胜于利率风险。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具体而言，本基金信用债券的投资遵循以下流程：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1）信用债券研究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2）信用债券投资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基金经理从信用债券池中精选债券构建信用债券投资组合。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本基金构建和管理信用债券投资组合时主要考虑以下因素：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①信用债券信用评级的变化。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②不同信用等级的信用债券，以及同一信用等级不同标的债券之间的信用利差变化。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（6）资产支持证券（含资产收益计划）投资策略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（7）可转换债券投资策略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可转换债券是介于股票和债券之间的投资品种，兼具股性和债性的双重特征。本基金对于可转换债券股性的研究将完全依托于公司投研团队对标的股票的研究，在此基础上量化投资部利用可转换债券定价模型，充分考虑转债发行后目标转债标的股票股价波动率可能出现的变化，对目标转债的股性进行合理定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对于本基金可转换债券债性的研究，将引进公司信用债券信用评级指标体系，对可转换债券的发行主体及标的债券进行信用评级，并在信用评级的基础上对其进行合理定价。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通过对标的转债股性与债性的合理定价，力求寻找出被市场低估的品种，构建本基金可转换债券的投资组合。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3、股票投资策略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（1）新股投资策略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（2）股票二级市场投资策略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（1）行业选择和配置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国民经济快速增长的背后蕴涵了不同行业对GDP增长贡献率的差异。而不同行业受宏观经济周期、行业自身生命周期以及相关结构性因素的影响在不同时期表现往往具有明显差异。本基金将挑选预期具有良好增长前景的行业进行重点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（2）个股精选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本基金在前述行业优选的基础上，根据下述标准挑选出其中具有投资潜力的上市公司构建股票池并从中精选个股，公司股票池的股票投资评级必须在3级（含3级）以上，且需满足以下要求：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①主业清晰并在产品、技术、营销、营运、成本控制等某一方面具有较强竞争优势，销售收入或利润超过行业平均水平；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②根据波特五要素分析，行业发展环境良好；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③具有较强或可预期的盈利增长前景；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④盈利质量较高，经营性现金流加投资收益应该超过净利润（特殊理由除外）；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⑤较好的公司治理结构，财务报表和信息披露较为透明、规范。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⑥股票估值具有吸引力，或符合一定时期内的投资主题，可现价买入。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4、权证投资策略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中债综合全价指数收益率×90%+沪深300指数收益率×10%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本基金选择上述业绩比较基准的理由如下：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本基金业绩比较基准为复合型基准，选取了中债综合全价指数和沪深300指数。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综合全价指数由中央国债登记结算有限责任公司编制并发布，其指数样本涵盖国债、政策性银行债、商业银行债、地方企业债、中期票据以及证券公司短期融资券等14类券种，能够综合反映我国债券市场的整体投资收益情况，适合作为本基金固定收益类资产投资的业绩比较基准；沪深300指数由中证指数公司编制并发布，指数样本覆盖了沪深两地大部分流通市值，成分股均为A股市场中代表性强且流动性高的主流投资股票, 能够反映中国证券市场股票价格变动的概貌和运行状况，适合作为本基金权益类资产投资的业绩比较基准。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本基金的业绩比较基准对上述两只指数分别赋予了90%和10%的权重，与本基金对固定收益类资产和权益类资产的配置情况相匹配。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（五）投资决策依据和投资流程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为了保证整个投资组合计划的顺利贯彻与实施，本基金遵循以下投资决策依据以及具体的投资流程：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1、投资决策依据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（1）国家有关法律法规和基金合同的有关规定；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（2）宏观经济发展态势、证券市场运行环境和走势；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（3）投资对象的风险和预期收益的匹配关系，本基金将在承担适度风险的前提下，选择风险和预期收益配比最佳的品种进行投资。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2、决策和交易机制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本基金实行投资决策委员会领导下的基金经理负责制，投资总监、固定收益部总经理是投资决策委员会的执行代表。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投资决策委员会、投资总监、固定收益部总经理的主要职责是确定基金的资产配置政策，审批重大单项投资决定等。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基金经理的主要职责是在投资决策委员会确定的资产配置范围内，构建和调整投资组合，并向中央交易室下达投资指令。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中央交易室负责交易执行和一线监控。通过严格的交易制度和实时的一线监控功能，保证基金经理的投资指令在合法、合规的前提下得到高效的执行。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3、投资流程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投资决策委员会是本基金的最高决策机构，投资决策委员会定期就投资管理业务的重大问题进行讨论。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基金经理、分析师、交易员在投资管理过程中既密切合作，又责任明确，在各自职责内按照业务程序独立工作并合理地相互制衡。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具体的投资管理流程如下：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（1）投资决策委员会每月召开投资决策会议，决定基金的资产配置比例和股票、债券的投资重点等；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（2）研究部策略分析师、固定收益产品分析师、定量分析师各自独立完成相应的研究报告，为投资决策提供依据；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（3）固定收益部总经理每周召集固定收益业务投资例会，根据投资决策委员会的决定，结合市场和公司基本面的变化，决定具体的投资策略；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（5）基金经理根据基金投资组合方案，向中央交易室下达交易指令；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（6）中央交易室执行基金经理的交易指令，对交易情况及时反馈；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（7）定量分析师负责完成有关投资风险监控报告及内部基金业绩评估报告。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投资决策委员会有权根据市场变化和实际情况的需要，对上述投资管理程序做出调整。</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本基金在投资策略上兼顾投资原则以及开放式基金的固有特点，通过分散投资降低基金财产的非系统性风险，保持基金组合良好的流动性。基金的投资组合将遵循以下限制：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(1)本基金持有一家上市公司的股票，其市值不超过基金资产净值的10%；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持有的全部权证，其市值不得超过基金资产净值的3%；本基金管理人管理的全部基金持有的同一权证，不得超过该权证的10%；本基金在任何交易日买入权证的总金额，不得超过上一交易日基金资产净值的0.5%；法律法规或监管部门另有规定的，遵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(3)本基金管理人管理的全部基金持有一家公司发行的证券，不超过该证券的10%；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(4)本基金进入全国银行间同业市场进行债券回购的资金余额不得超过基金资产净值的40%；本基金进入全国银行间同业市场进行债券回购的最长期限为1年,债券回购到期后不得展期；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(5)本基金投资于固定收益类资产的比例不低于基金资产的80%；对股票、权证等权益类资产的投资比例不高于基金资产的20%；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中国证监会规定的特殊品种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投资流通受限证券，基金管理人应事先根据中国证监会相关规定，与基金托管人在本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如果法律法规对本基金合同约定投资组合比例限制进行变更的，以变更后的规定为准。法律法规或监管部门取消上述限制，如适用于本基金，则本基金投资不再受相关限制。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(7)、(9)、(11)、(12)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为维护基金份额持有人的合法权益，本基金禁止从事下列行为：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4、买卖其他基金份额，但是国务院另有规定的除外；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5、向基金管理人、基金托管人出资或者买卖基金管理人、基金托管人发行的股票或者债券；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6、买卖与基金管理人、基金托管人有控股关系的股东或者与基金管理人、基金托管人有其他重大利害关系的公司发行的证券或者承销期内承销的证券；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8、依照法律法规有关规定，由中国证监会规定禁止的其他活动；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9、法律法规或监管部门取消上述限制，如适用于本基金，则本基金投资不再受相关限制。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（九）基金管理人代表基金行使股东及债权人权利的处理原则及方法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1、基金管理人按照国家有关规定代表基金独立行使股东和债权人权利，保护基金份额持有人的利益；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2、不谋求对上市公司的控股，不参与所投资上市公司的经营管理；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（十）基金的融资、融券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本基金可以按照国家的有关规定进行融资、融券。</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（十一）侧袋机制的实施和投资运作安排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（十二）基金投资组合报告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基金托管人中国建设银行股份有限公司根据本基金合同约定，于2026年07月17日复核了本报告中的财务指标、净值表现和投资组合报告等内容，保证复核内容不存在虚假记载、误导性陈述或者重大遗漏。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97.77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97.77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15,913,151.62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12,299,957.57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2,339,278,056.99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报告期末按行业分类的境内股票投资组合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报告期末按行业分类的港股通投资股票投资组合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报告期末按公允价值占基金资产净值比例大小排序的前十名股票投资明细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180,779,852.05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8.84</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519,957,613.16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25.42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242,555,480.56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1,141,365,539.76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55.80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202,406,462.27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2,287,064,947.80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111.81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312610001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26农行TLAC非资本债01A(BC)</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100,709,835.62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100,648,191.78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312510013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25工行TLAC非资本债01BC</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92,004,164.38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019835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80,131,660.27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232480020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24兴业银行二级资本债01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71,854,424.66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2026年06月05日,国家金融监督管理总局公示行政处罚决定书,给予中国工商银行股份有限公司105万元人民币的行政处罚。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2025年12月19日,央行公示银罚决字[2025]110号行政处罚决定书,给予中国工商银行股份有限公司3961.5万元人民币的行政处罚，并没收违法所得434.57万元。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2025年12月05日,国家金融监督管理总局公示行政处罚决定书,给予兴业银行股份有限公司720万元人民币的行政处罚。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2025年10月31日,国家金融监督管理总局公示行政处罚决定书,给予中国农业银行股份有限公司罚没共计2720万元人民币的行政处罚。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49,151.21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12,059,279.19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191,527.17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12,299,957.57</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10.4 报告期末持有的处于转股期的可转换债券明细</w:t>
      </w:r>
    </w:p>
    <w:tbl>
      <w:tblPr>
        <w:tblStyle w:val="14"/>
        <w:tblW w:w="5000" w:type="pct"/>
        <w:tblInd w:w="0" w:type="dxa"/>
        <w:tblLayout w:type="fixed"/>
        <w:tblCellMar>
          <w:top w:w="0" w:type="dxa"/>
          <w:left w:w="0" w:type="dxa"/>
          <w:bottom w:w="0" w:type="dxa"/>
          <w:right w:w="0" w:type="dxa"/>
        </w:tblCellMar>
      </w:tblPr>
      <w:tblGrid>
        <w:gridCol w:w="1734"/>
        <w:gridCol w:w="1734"/>
        <w:gridCol w:w="1734"/>
        <w:gridCol w:w="1734"/>
        <w:gridCol w:w="1734"/>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113052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兴业转债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15,685,294.98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睿创转债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11,443,856.12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123158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宙邦转债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11,256,424.32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华懋转债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8,389,330.03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上银转债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6,560,746.43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天奈转债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6,497,940.38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113691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和邦转债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6,386,068.50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113697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应流转债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6,324,415.36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科顺转债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6,295,271.60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路维转债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6,217,671.08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123109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昌红转债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5,190,495.98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113056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重银转债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5,137,182.06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127037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银轮转债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5,075,735.99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113666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爱玛转债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4,936,643.32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鼎龙转债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4,879,882.02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110086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精工转债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4,477,954.44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万凯转债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4,316,692.72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127049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希望转2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4,067,974.34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110085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通22转债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4,029,117.97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113652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伟22转债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3,974,746.54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瑞可转债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3,930,382.76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0.19</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127103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东南转债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3,735,536.19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颀中转债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3,522,091.07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127055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精装转债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3,491,040.41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航宇转债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3,429,584.16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天23转债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3,191,076.27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禾丰转债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3,186,710.55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大中转债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3,144,405.25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天准转债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3,095,219.65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晶能转债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2,936,464.90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胜蓝转02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2,618,941.48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温氏转债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2,490,224.69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118061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茂莱转债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2,377,264.31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127089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晶澳转债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2,301,252.76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道通转债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2,151,424.49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111018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华康转债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1,695,585.58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123165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回天转债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1,635,312.53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127068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顺博转债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1,584,095.04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建龙转债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1,527,821.30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111000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起帆转债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1,493,967.29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金23转债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1,442,192.09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118042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奥维转债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1,419,171.32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123178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花园转债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1,287,835.99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127092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运机转债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1,249,281.34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仙乐转债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1,241,430.40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123114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三角转债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1,219,395.84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123149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通裕转债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1,203,198.78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110093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神马转债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1,150,338.95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127030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盛虹转债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1,128,266.37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123259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锦浪转02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1,110,795.79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113673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岱美转债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868,370.67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太能转债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522,628.13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113625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江山转债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275,900.43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123262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神宇转债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267,989.33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127110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广核转债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1,316.96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10.5 报告期末前十名股票中存在流通受限情况的说明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（1）交银双利债券A/B</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3.89%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5.97%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2.62%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5.55%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4.53%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2017年度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2016年度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-3.72%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2015年度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7.91%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5.04%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2014年度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32.31%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10.55%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21.76%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-3.95%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9.37%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2011年度（自基金合同生效起至2011年12月31日）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（2）交银双利债券C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3.08%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-2.66%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5.55%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4.05%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2.62%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4.53%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2017年度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2016年度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2015年度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7.42%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5.04%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2014年度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31.72%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10.55%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3.85%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-3.95%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8.66%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7.41%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2011年度（自基金合同生效起至2011年12月31日）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注：本基金的业绩比较基准为中债综合全价指数收益率×90%+沪深300指数收益率×10%，每日进行再平衡过程。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交银施罗德双利债券证券投资基金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(2011年09月26日至2026年06月30日)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（1）交银双利债券A/B</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o:spt="75" type="#_x0000_t75" style="height:268.25pt;width:439.5pt;" filled="f" o:preferrelative="t" stroked="f" coordsize="21600,21600">
            <v:path/>
            <v:fill on="f" focussize="0,0"/>
            <v:stroke on="f" joinstyle="miter"/>
            <v:imagedata r:id="rId17"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（2）交银双利债券C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8" o:spt="75" type="#_x0000_t75" style="height:268.25pt;width:439.5pt;" filled="f" o:preferrelative="t" stroked="f" coordsize="21600,21600">
            <v:path/>
            <v:fill on="f" focussize="0,0"/>
            <v:stroke on="f" joinstyle="miter"/>
            <v:imagedata r:id="rId18"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注：本基金建仓期为自基金合同生效日起的6个月。截至建仓期结束，本基金各项资产配置比例符合基金合同及招募说明书有关投资比例的约定。</w:t>
      </w:r>
    </w:p>
    <w:p>
      <w:pPr>
        <w:pStyle w:val="2"/>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基金资产总值是指基金拥有的各类有价证券、银行存款本息、基金应收申购款以及其他资产的价值总和。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除依据《基金法》、基金合同及其他有关规定处分外，基金财产不得被处分。非因基金财产本身承担的债务，不得对基金财产强制执行。</w:t>
      </w:r>
    </w:p>
    <w:p>
      <w:pPr>
        <w:pStyle w:val="2"/>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（一）估值目的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基金资产的估值目的是客观、准确地反映基金资产是否保值、增值，并为基金份额提供计价依据。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本基金的估值日为本基金相关的证券交易场所的正常营业日以及国家法律法规规定需要对外披露基金净值的非营业日。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基金所拥有的股票、权证、债券和银行存款本息、应收款项、其它投资等资产和负债。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每个工作日计算基金资产净值及基金份额净值，并按规定公告。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对外公布。月末、年中和年末估值复核与基金会计账目的核对同时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（2）首次公开发行未上市的股票、债券和权证，采用估值技术确定公允价值，在估值技术难以可靠计量公允价值的情况下，按成本估值。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3、全国银行间债券市场交易的债券、资产支持证券等固定收益品种，采用估值技术确定公允价值。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4、同一债券同时在两个或两个以上市场交易的，按债券所处的市场分别估值。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基金管理人和基金托管人将采取必要、适当、合理的措施确保基金资产估值的准确性、及时性。当基金份额净值小数点后4位以内(含第4位)发生差错时，视为基金份额净值错误。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1、差错类型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注册登记机构、或代销机构、或投资人自身的过错造成差错，导致其他当事人遭受损失的，过错的责任人应当对由于该差错遭受损失当事人(“受损方”)的直接损失按下述“差错处理原则”给予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2、差错处理原则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则其应当承担相应赔偿责任。差错责任方应对更正的情况向有关当事人进行确认，确保差错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(2)差错的责任方对有关当事人的直接损失负责，不对间接损失负责，并且仅对差错的有关直接当事人负责，不对第三方负责。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(4)差错调整采用尽量恢复至假设未发生差错的正确情形的方式。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差错责任方拒绝进行赔偿时，如果因基金管理人原因造成基金财产损失时，基金托管人应为基金的利益向基金管理人追偿，如果因基金托管人原因造成基金财产损失时，基金管理人应为基金的利益向基金托管人追偿。基金管理人和基金托管人之外的第三方造成基金财产的损失，并拒绝进行赔偿时，由基金管理人负责向差错方追偿；追偿过程中产生的有关费用，应列入基金费用，从基金资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(7)按法律法规规定的其他原则处理差错。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3、差错处理程序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差错被发现后，有关的当事人应当及时进行处理，处理的程序如下：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(1)查明差错发生的原因，列明所有的当事人，并根据差错发生的原因确定差错的责任方；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(2)根据差错处理原则或当事人协商的方法对因差错造成的损失进行评估；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(3)根据差错处理原则或当事人协商的方法由差错的责任方进行更正和赔偿损失；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(4)根据差错处理的方法，需要修改基金注册登记机构交易数据的，由基金注册登记机构进行更正，并就差错的更正向有关当事人进行确认。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4、基金份额净值差错处理的原则和方法如下：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(3)因基金份额净值计算错误，给基金或基金份额持有人造成损失的，应由基金管理人先行赔付，基金管理人按差错情形，有权向其他当事人追偿。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(5)前述内容如法律法规或监管机关另有规定的，从其规定处理。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1、基金投资所涉及的证券交易市场遇法定节假日或因其他原因暂停营业时；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2、因不可抗力或其它情形致使基金管理人、基金托管人无法准确评估基金资产价值时；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3、占基金相当比例的投资品种的估值出现重大转变，而基金管理人为保障投资人的利益，已决定延迟估值；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 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用于基金信息披露的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依照法律法规的规定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1、基金管理人或基金托管人按估值方法的第5项进行估值时，所造成的误差不作为基金资产估值错误处理。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采取必要的措施消除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本基金实施侧袋机制的，应根据本部分的约定对主袋账户资产进行估值并披露主袋账户的基金净值信息，暂停披露侧袋账户份额净值。</w:t>
      </w:r>
    </w:p>
    <w:p>
      <w:pPr>
        <w:pStyle w:val="2"/>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十四、基金的收益与分配</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本基金收益分配应遵循下列原则：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1、由于本基金A类和B类基金份额不收取销售服务费，C类基金份额收取销售服务费，各基金份额类别对应的可供分配利润将有所不同，本基金同一基金份额类别的每份基金份额享有同等分配权；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收益分配时所发生的银行转账或其他手续费用由投资人自行承担。当投资人的现金红利小于一定金额，不足以支付银行转账或其他手续费用时，基金注册登记机构可将基金份额持有人的现金红利自动转为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3、本基金收益每年最多分配12次，每次基金收益分配比例不低于收益分配基准日可供分配利润的50%；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收益分配方式分为两种：现金分红与红利再投资，投资人可选择现金红利或将现金红利按除权后的单位净值自动转为基金份额进行再投资；若投资人不选择，本基金默认的收益分配方式是现金分红；基金份额持有人可对A类、B类以及C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5、基金红利发放日距离收益分配基准日（即可供分配利润计算截止日）的时间不得超过15个工作日；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6、基金收益分配后每一基金份额净值不能低于面值，即基金收益分配基准日的基金份额净值减去每单位基金份额收益分配金额后不能低于面值；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7、法律法规或监管机构另有规定的从其规定。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基金收益分配方案中应载明收益分配基准日以及该日的可供分配利润、基金收益分配对象、分配时间、分配数额及比例、分配方式、支付方式等内容。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1、基金收益分配方案由基金管理人拟订，由基金托管人复核，依照《信息披露办法》的有关规定在指定媒介上公告。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2、在收益分配方案公布后，基金管理人依据具体方案的规定就支付的现金红利向基金托管人发送划款指令，基金托管人按照基金管理人的指令及时进行分红资金的划付。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收益分配时所发生的银行转账或其他手续费用由投资人自行承担。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投资人可至销售机构办理收益分配方式的修改，投资人对不同的交易账户可设置不同的收益分配方式。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投资人同一日多次申报分红方式变更的，按照《业务规则》执行，最终确认的分红方式以注册登记机构记录为准。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本基金实施侧袋机制的，侧袋账户不进行收益分配。</w:t>
      </w:r>
    </w:p>
    <w:p>
      <w:pPr>
        <w:pStyle w:val="2"/>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3、基金财产拨划支付的银行费用；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4、基金合同生效后的基金信息披露费用；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6、基金合同生效后与基金有关的会计师费和律师费；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7、基金的证券交易费用；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8、本基金从C类基金份额的基金财产中计提销售服务费；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9、证券账户开户费用和银行账户维护费；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10、依法可以在基金财产中列支的其他费用。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在通常情况下，基金管理费按前一日基金资产净值的0.3%年费率计提。计算方法如下：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H＝E×年管理费率÷当年天数，本基金年管理费率为0.3%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在通常情况下，基金托管费按前一日基金资产净值的0.1%年费率计提。计算方法如下：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H＝E×年托管费率÷当年天数，本基金年托管费率为0.1%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本基金A类和B类基金份额不收取销售服务费，C类基金份额的销售服务费按前一日C类基金资产净值的0.4%年费率计提。计算方法如下：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H＝E×年销售服务费率÷当年天数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(4)除管理费、托管费和C类基金份额销售服务费之外的基金费用由基金托管人根据其他有关法律法规及相应协议的规定，按费用支出金额支付，列入或摊入当期基金费用。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本基金转换费的费率水平、计算公式和收取方式详见“基金的转换”一章。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（四）基金管理费和基金托管费的调整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基金管理人和基金托管人可根据基金发展情况调整基金管理费率和基金托管费率。基金管理人必须最迟于新的费率实施日前按照《信息披露办法》的规定在指定媒介上刊登公告。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（五）实施侧袋机制期间的基金费用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基金和基金份额持有人根据国家法律法规的规定，履行纳税义务。</w:t>
      </w:r>
    </w:p>
    <w:p>
      <w:pPr>
        <w:pStyle w:val="2"/>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2、本基金的会计年度为公历每年的1月1日至12月31日；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3、本基金的会计核算以人民币为记账本位币，以人民币元为记账单位；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4、会计制度执行国家有关的会计制度；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7、基金托管人定期与基金管理人就基金的会计核算、报表编制等进行核对并书面确认。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（二）基金的审计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2、会计师事务所更换经办注册会计师时，应事先征得基金管理人同意。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3、基金管理人认为有充足理由更换会计师事务所，经通报基金托管人后可以更换。就更换会计师事务所，基金管理人应当依照《信息披露办法》的有关规定在指定媒介上公告。</w:t>
      </w:r>
    </w:p>
    <w:p>
      <w:pPr>
        <w:pStyle w:val="2"/>
        <w:snapToGrid w:val="0"/>
        <w:spacing w:before="240" w:beforeLines="0" w:after="0"/>
        <w:rPr>
          <w:rFonts w:ascii="宋体" w:hAnsi="宋体"/>
          <w:szCs w:val="30"/>
        </w:rPr>
      </w:pPr>
      <w:r>
        <w:br w:type="page"/>
      </w:r>
      <w:bookmarkStart w:id="36" w:name="_Toc256000044"/>
      <w:bookmarkStart w:id="37" w:name="_Toc256000017"/>
      <w:r>
        <w:rPr>
          <w:rFonts w:ascii="宋体" w:hAnsi="宋体"/>
          <w:sz w:val="30"/>
        </w:rPr>
        <w:t>十七、基金的信息披露</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4、诋毁其他基金管理人、基金托管人或者基金份额发售机构；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招募说明书是基金向社会公开销售时对基金情况进行说明的法律文件。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基金管理人应在基金份额发售的3日前，将基金合同摘要登载在指定报刊和网站上；基金管理人、基金托管人应将基金合同、托管协议登载在各自网站上。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基金管理人将按照《基金法》、《信息披露办法》的有关规定，就基金份额发售的具体事宜编制基金份额发售公告，并在披露招募说明书的当日登载于指定报刊和网站上。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基金管理人将在基金合同生效的次日在指定报刊和网站上登载基金合同生效公告。基金合同生效公告中将说明基金募集情况。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1）《基金合同》生效后，在开始办理基金份额申购或者赎回前，基金管理人应当至少每周在指定网站披露一次A/B类基金份额和C类基金份额所对应的基金份额净值和基金份额累计净值；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开始办理基金份额申购或者赎回后，基金管理人应当在不晚于每个开放日的次日，通过指定网站、销售机构网站或者营业网点披露开放日的A/B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3）基金管理人应当在不晚于半年度和年度最后一日的次日，在指定网站披露半年度和年度最后一日的A/B类基金份额和C类基金份额所对应的基金份额净值和基金份额累计净值。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7、基金份额申购、赎回价格公告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8、基金年度报告、基金中期报告、基金季度报告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4）《基金合同》生效不足2个月的，基金管理人可以不编制当期季度报告、中期报告或者年度报告。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9、临时报告与公告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在基金运作过程中发生如下可能对基金份额持有人权益或者基金份额的价格产生重大影响的事件时，有关信息披露义务人应当在2日内编制临时报告书，登载在指定报刊和指定网站上：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16）基金份额净值计价错误达基金份额净值百分之零点五；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12、实施侧袋机制期间的信息披露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（七）本基金信息披露事项以法律法规规定及本章节约定的内容为准。</w:t>
      </w:r>
    </w:p>
    <w:p>
      <w:pPr>
        <w:pStyle w:val="2"/>
        <w:snapToGrid w:val="0"/>
        <w:spacing w:before="240" w:beforeLines="0" w:after="0"/>
        <w:rPr>
          <w:rFonts w:ascii="宋体" w:hAnsi="宋体"/>
          <w:szCs w:val="30"/>
        </w:rPr>
      </w:pPr>
      <w:r>
        <w:br w:type="page"/>
      </w:r>
      <w:bookmarkStart w:id="38" w:name="_Toc256000045"/>
      <w:bookmarkStart w:id="39" w:name="_Toc256000018"/>
      <w:r>
        <w:rPr>
          <w:rFonts w:ascii="宋体" w:hAnsi="宋体"/>
          <w:sz w:val="30"/>
        </w:rPr>
        <w:t>十八、侧袋机制</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1、本基金实施侧袋机制的，管理费和托管费按主袋账户基金资产净值作为基数计提。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3、定期报告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2"/>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4、信用风险。基金所投资债券的发行人如果不能或拒绝支付到期本息，或者不能履行合约规定的其它义务，或者其信用等级降低，将会导致债券价格下降，进而造成基金资产损失。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5、购买力风险。基金投资于债券所获得的收益将主要通过现金形式来分配，而现金可能受通货膨胀的影响以致购买力下降，从而使基金的实际收益下降。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6、债券收益率曲线变动风险。是指收益率曲线没有按预期变化导致基金投资决策出现偏差。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经营风险。它与基金所投资债券的发行人的经营活动所引起的收入现金流的不确定性有关。债券发行人期间运营收入变化越大，经营风险就越大；反之，运营收入越稳定，经营风险就越小。此外，本基金可投资于股票，如果基金所投资的上市公司经营不善，可能导致其新股上市价格涨幅收窄甚至股价下跌，从而影响本基金参与股票投资的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（四）本基金特有的风险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1、因投资固定收益类资产而面临的固定收益类资产市场的系统性风险和个券风险；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2、因参与新股申购而面临的新股发行放缓甚至停滞，或者新股申购收益率下降甚至出现亏损，或者新股申购制度变更所带来的风险；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3、因少量投资可转债，投资股票、权证二级市场而承担一定程度权益类资产的系统性风险以及个别证券的价格波动。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（五）投资科创板股票的特定风险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（3）退市风险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（4）系统性风险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（5）政策风险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(3)变更基金投资目标、投资范围或投资策略（法律法规和中国证监会另有规定的除外）；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(5)更换基金管理人、基金托管人；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(6)提高基金管理人、基金托管人的报酬标准，提高销售服务费用标准。但根据适用的相关规定提高该等报酬标准的除外；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(8)对基金合同当事人权利、义务产生重大影响的其他事项；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(9)法律法规、基金合同或中国证监会规定的其他情形。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但出现下列情况时，可不经基金份额持有人大会决议，由基金管理人和基金托管人同意变更后公布，并报中国证监会备案：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(3)因相应的法律法规发生变动必须对基金合同进行修改；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(4)对基金合同的修改不涉及本基金合同当事人权利义务关系发生重大变化；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(5)基金合同的修改对基金份额持有人利益无实质性不利影响；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(6)按照法律法规或本基金合同规定不需召开基金份额持有人大会的其他情形。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2、关于变更基金合同的基金份额持有人大会决议应报中国证监会核准或备案，并于中国证监会核准或出具无异议意见后生效执行，并自生效之日起2日内在至少一种指定媒介公告。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（二）基金合同的终止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有下列情形之一的，本基金合同终止：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2、基金管理人因解散、破产、撤销等事由，不能继续担任基金管理人的职务，而在6个月内无其他适当的基金管理人承接其原有权利义务；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3、基金托管人因解散、破产、撤销等事由，不能继续担任基金托管人的职务，而在6个月内无其他适当的基金托管人承接其原有权利义务；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 基金合同生效后，连续90个工作日出现基金份额持有人数量不满200人的；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 基金合同生效后，连续90个工作日出现基金资产净值低于3000 万元的；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 基金合同生效后，连续90个工作日出现本基金前十大基金份额持有人持有的本基金份额数之和超过本基金总份额的90%的；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(1)基金合同终止时，成立基金财产清算组，基金财产清算组在中国证监会的监督下进行基金清算。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(2)基金财产清算组成员由基金管理人、基金托管人、具有从事证券相关业务资格的注册会计师、律师以及中国证监会指定的人员组成。基金财产清算组可以聘用必要的工作人员。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(3)基金财产清算组负责基金财产的保管、清理、估价、变现和分配。基金财产清算组可以依法进行必要的民事活动。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基金合同终止，应当按法律法规和本基金合同的有关规定对基金财产进行清算。基金财产清算程序主要包括：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(1)基金合同终止后，发布基金财产清算公告；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(2)基金合同终止时，由基金财产清算组统一接管基金财产；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(4)对基金财产进行估价和变现；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(6)聘请律师事务所出具法律意见书；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(7)将基金财产清算结果报告中国证监会；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(8)公布基金财产清算结果；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清算费用是指基金财产清算组在进行基金财产清算过程中发生的所有合理费用，清算费用由基金财产清算组优先从基金财产中支付。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4、基金财产按下列顺序清偿：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(1)支付清算费用；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(2)交纳所欠税款；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(3)清偿基金债务；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基金财产未按前款(1)－(3)项规定清偿前，不分配给基金份额持有人。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pStyle w:val="2"/>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（一）基金合同当事人的权利与义务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根据《基金法》及其他有关法律法规，基金管理人的权利为：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(1)自本基金合同生效之日起，依照有关法律法规和本基金合同的规定独立运用基金财产；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(2)依照基金合同获得基金管理费以及法律法规规定或监管部门批准的其他收入；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(3)发售基金份额；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(4)依照有关规定行使因基金财产投资于证券所产生的权利；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(7)在基金合同约定的范围内，拒绝或暂停受理申购和赎回申请；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(8)在法律法规允许的前提下，为基金的利益依法为基金进行融资、融券；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(9)自行担任或选择、更换注册登记机构，获取基金份额持有人名册，并对注册登记机构的代理行为进行必要的监督和检查；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(10)选择、更换代销机构，并依据基金销售服务代理协议和有关法律法规，对其行为进行必要的监督和检查；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(11)选择、更换律师事务所、会计师事务所、证券经纪商或其他为基金提供服务的外部机构；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(14)法律法规和基金合同规定的其他权利。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根据《基金法》及其他有关法律法规，基金管理人的义务为：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(1)依法募集基金，办理或者委托经中国证监会认定的其他机构代为办理基金份额的发售、申购、赎回和登记事宜；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(3)自基金合同生效之日起，以诚实信用、勤勉尽责的原则管理和运用基金财产；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(9)采取适当合理的措施使计算基金份额认购、申购、赎回和注销价格的方法符合基金合同等法律文件的规定；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(10)按规定受理申购和赎回申请，及时、足额支付赎回款项；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(14)保守基金商业秘密，不得泄露基金投资计划、投资意向等，除《基金法》、基金合同及其他有关规定另有规定外，在基金信息公开披露前应予保密，不得向他人泄露；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(21)基金托管人违反基金合同造成基金财产损失时，应为基金份额持有人利益向基金托管人追偿；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(22)按规定向基金托管人提供基金份额持有人名册资料；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(24)执行生效的基金份额持有人大会决议；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(25)不从事任何有损基金及其他基金当事人利益的活动；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(27)法律法规、中国证监会和基金合同规定的其他义务。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根据《基金法》及其他有关法律法规，基金托管人的权利为：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(1)依基金合同约定获得基金托管费以及法律法规规定或监管部门批准的其他收入；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(2)监督基金管理人对本基金的投资运作；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(3)自本基金合同生效之日起，依法保管基金资产；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(4)在基金管理人更换时，提名新任基金管理人；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(7)按规定取得基金份额持有人名册资料；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(8)法律法规和基金合同规定的其他权利。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根据《基金法》及其他有关法律法规，基金托管人的义务为：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(3)对所托管的不同基金财产分别设置账户，确保基金财产的完整与独立；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(6)按规定开设基金财产的资金账户和证券账户；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(7)保守基金商业秘密，除《基金法》、基金合同及其他有关规定另有规定外，在基金信息公开披露前应予保密，不得向他人泄露；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(9)保存基金托管业务活动的记录、账册、报表和其他相关资料；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(12)复核、审查基金管理人计算的基金资产净值、基金份额净值、基金份额申购、赎回价格；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(13)按照规定监督基金管理人的投资运作；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(16)按照规定召集基金份额持有人大会或配合基金管理人、基金份额持有人依法自行召集基金份额持有人大会；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(17)因违反基金合同导致基金财产损失，应承担赔偿责任，其赔偿责任不因其退任而免除；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(18)基金管理人因违反基金合同造成基金财产损失时，应为基金向基金管理人追偿；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(20)面临解散、依法被撤销或者被依法宣告破产时，及时报告中国证监会和中国银监会，并通知基金管理人；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(22)不从事任何有损基金及其他基金当事人利益的活动；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(24)法律法规、中国证监会和基金合同规定的其他义务。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（1）根据《基金法》及其他有关法律法规，基金份额持有人的权利为：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3)依法申请赎回其持有的基金份额；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8)对基金管理人、基金托管人、基金份额发售机构损害其合法权益的行为依法提起诉讼；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9)法律法规和基金合同规定的其他权利。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同一基金份额类别的每份基金份额具有同等的合法权益。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（2）根据《基金法》及其他有关法律法规，基金份额持有人的义务为：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1)遵守法律法规、基金合同及其他有关规定；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2)交纳基金认购、申购款项及法律法规和基金合同所规定的费用；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4)不从事任何有损基金及其他基金份额持有人合法权益的活动；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5)执行生效的基金份额持有人大会决议；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6)返还在基金交易过程中因任何原因，自基金管理人及基金管理人的代理人、基金托管人、代销机构、其他基金份额持有人处获得的不当得利；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7)法律法规和基金合同规定的其他义务。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6、本基金合同当事各方的权利义务以本基金合同为依据，不因基金财产账户名称而有所改变。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基金份额持有人大会由基金份额持有人组成。基金份额持有人持有的每一基金份额具有同等的投票权。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经基金管理人、基金托管人或持有基金份额10%以上(含10%，下同)的基金份额持有人(以基金管理人收到提议当日的基金份额计算，下同)提议时，应当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4)变更基金投资目标、投资范围或投资策略（法律法规和中国证监会另有规定的除外）；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6)更换基金管理人、基金托管人；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7)提高基金管理人、基金托管人的报酬标准，提高销售服务费用标准。但法律法规要求提高该等报酬标准的除外；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9)对基金合同当事人权利、义务产生重大影响的其他事项；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10)法律法规、基金合同或中国证监会规定的其他情形。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(2)出现以下情形之一的，可由基金管理人和基金托管人协商后修改基金合同，不需召开基金份额持有人大会：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3)因相应的法律法规发生变动必须对基金合同进行修改；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4)对基金合同的修改不涉及本基金合同当事人权利义务关系发生重大变化；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5)基金合同的修改对基金份额持有人利益无实质性不利影响；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6)按照法律法规或本基金合同规定不需召开基金份额持有人大会的其他情形。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 基金合同生效后，出现以下事由情形之一时，终止基金合同不需要召开基金份额持有人大会：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1)连续90个工作日出现基金份额持有人数量不满200人的；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2)连续90个工作日出现基金资产净值低于3000 万元的；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1)会议召开的时间、地点和出席方式；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2)会议拟审议的主要事项；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5)有权出席基金份额持有人大会的基金份额持有人权益登记日；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6)代理投票的授权委托证明的内容要求(包括但不限于代理人身份、代理权限和代理有效期限等)、送达时间和地点；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8)会务常设联系人姓名、电话；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1)基金份额持有人大会的召开方式包括现场开会、通讯方式开会或法律法规和监管机关允许的其他方式。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2)会议的召开方式由会议召集人确定，但更换基金管理人和基金托管人必须以现场开会方式召开。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3)现场开会由基金份额持有人本人出席或通过授权委托证明委派其代理人出席，现场开会时基金管理人和基金托管人的授权代表应当出席，如基金管理人或基金托管人拒不派代表出席的，不影响表决效力。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4)通讯方式开会指按照本基金合同的相关规定以通讯的书面方式进行表决。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5)会议的召开方式由召集人确定。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(2)召开基金份额持有人大会的条件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在同时符合以下条件时，现场会议方可举行：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①对到会者在权益登记日持有基金份额的统计显示，全部有效凭证所对应的基金份额应占权益登记日基金总份额的50%以上(含50%，下同)；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在同时符合以下条件时，通讯会议方可举行：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①召集人按本基金合同规定公布会议通知后，在2个工作日内连续公布相关提示性公告；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②召集人按基金合同规定通知基金托管人或/和基金管理人(分别或共同称为“监督人”)到指定地点对书面表决意见的计票进行监督；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③召集人在监督人和公证机关的监督下按照会议通知规定的方式收取和统计基金份额持有人的书面表决意见，如基金管理人或基金托管人经通知拒不到场监督的，不影响表决效力；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④本人直接出具书面意见和授权他人代表出具书面意见的基金份额持有人所代表的基金份额占权益登记日基金总份额的50%以上；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⑤直接出具书面意见的基金份额持有人或受托代表他人出具书面意见的代理人提交的持有基金份额的凭证、授权委托证明等文件符合法律法规、基金合同和会议通知的规定，并与注册登记机构记录相符。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1)议事内容为本基金合同规定的召开基金份额持有人大会事由所涉及的内容。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3)对于基金份额持有人提交的提案，大会召集人应当按照以下原则对提案进行审核：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召集人应当制作出席会议人员的签名册。签名册载明参加会议人员姓名(或单位名称)、身份证号码、持有或代表有表决权的基金份额数量、委托人姓名(或单位名称)等事项。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2)通讯方式开会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6、决议形成的条件、表决方式、程序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(1)基金份额持有人所持每一基金份额享有平等的表决权。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一般决议须经出席会议的基金份额持有人(或其代理人)所持表决权的50%以上通过方为有效，除下列2)所规定的须以特别决议通过事项以外的其他事项均以一般决议的方式通过；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特别决议须经出席会议的基金份额持有人(或其代理人)所持表决权的三分之二以上(含三分之二)通过方为有效；涉及更换基金管理人、更换基金托管人、转换基金运作方式、终止基金合同必须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3)基金份额持有人大会决定的事项，应当依法报中国证监会核准或者备案，并予以公告。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（2）通讯方式开会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8、实施侧袋机制期间基金份额持有人大会的特殊约定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同一主侧袋账户内的每份基金份额具有平等的表决权。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（三）基金合同的变更与终止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(3)变更基金投资目标、投资范围或投资策略（法律法规和中国证监会另有规定的除外）；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(5)更换基金管理人、基金托管人；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(6)提高基金管理人、基金托管人的报酬标准，提高销售服务费用标准。但根据适用的相关规定提高该等报酬标准的除外；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(8)对基金合同当事人权利、义务产生重大影响的其他事项；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(9)法律法规、基金合同或中国证监会规定的其他情形。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但出现下列情况时，可不经基金份额持有人大会决议，由基金管理人和基金托管人同意变更后公布，并报中国证监会备案：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(1)调低基金管理费、基金托管费、销售服务费和其他应由基金份额持有人承担的费用；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(2)在法律法规和本基金合同规定的范围内调整基金的申购费率、调低赎回费率，变更或增加收费方式；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(3)因相应的法律法规发生变动必须对基金合同进行修改；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(4)对基金合同的修改不涉及本基金合同当事人权利义务关系发生重大变化；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(5)基金合同的修改对基金份额持有人利益无实质性不利影响；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(6)按照法律法规或本基金合同规定不需召开基金份额持有人大会的其他情形。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关于变更基金合同的基金份额持有人大会决议应报中国证监会核准或备案，并于中国证监会核准或出具无异议意见后生效执行，并自生效之日起2日内在至少一种指定媒介公告。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有下列情形之一的，本基金合同终止：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(2)基金管理人因解散、破产、撤销等事由，不能继续担任基金管理人的职务，而在6个月内无其他适当的基金管理人承接其原有权利义务；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(3)基金托管人因解散、破产、撤销等事由，不能继续担任基金托管人的职务，而在6个月内无其他适当的基金托管人承接其原有权利义务；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(4)基金合同生效后，连续90个工作日出现基金份额持有人数量不满200人的；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(5)基金合同生效后，连续90个工作日出现基金资产净值低于3000 万元的；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(6)基金合同生效后，连续90个工作日出现本基金前十大基金份额持有人持有的本基金份额数之和超过本基金总份额的90%的；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（四）争议的处理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本基金合同受中国法律管辖。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（五）基金合同存放及投资人取得基金合同的方式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1、本基金合同正本一式八份，除中国证监会和中国银监会各持两份外，基金管理人和基金托管人各持有两份。每份均具有同等的法律效力。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2、本基金合同可印制成册，供投资人在基金管理人、基金托管人、代销机构和注册登记机构办公场所查阅，但其效力应以基金合同正本为准。</w:t>
      </w:r>
    </w:p>
    <w:p>
      <w:pPr>
        <w:pStyle w:val="2"/>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 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批准设立机关及批准设立文号：中国证监会证监基金字[2005]128号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注册资本：贰亿元人民币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经营范围：基金募集、基金销售、资产管理和中国证监会许可的其它业务。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名称：中国建设银行股份有限公司(简称：中国建设银行)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住所：北京市西城区金融大街25号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办公地址：北京市西城区闹市口大街1号院1号楼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邮政编码：100033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法定代表人：田国立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成立日期：2004年09月17日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基金托管业务批准文号：中国证监会证监基字[1998]12号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注册资本：贰仟伍佰亿壹仟零玖拾柒万柒仟肆佰捌拾陆元整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监会等监管部门批准的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(1)本基金持有一家上市公司的股票，其市值不超过基金资产净值的10%；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(2)本基金持有的全部权证，其市值不得超过基金资产净值的3%；本基金在任何交易日买入权证的总金额，不得超过上一交易日基金资产净值的0.5%；法律法规或监管部门另有规定的，遵从其规定。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(3)本基金进入全国银行间同业市场进行债券回购的资金余额不得超过基金资产净值的40%；本基金进入全国银行间同业市场进行债券回购的最长期限为1年,债券回购到期后不得展期；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(4)本基金投资于固定收益类资产的比例不低于基金资产的80%；对股票、权证等权益类资产的投资比例不高于基金资产的20%；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全部资产支持证券，其市值不得超过基金资产净值的20%；本基金持有的同一(指同一信用级别)资产支持证券的比例，不得超过该资产支持证券规模的10%；本基金投资于同一原始权益人的各类资产支持证券的比例，不得超过基金资产净值的10%；中国证监会规定的特殊品种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(12)本基金持有的所有流通受限证券，其公允价值不得超过本基金资产净值的15%；本基金持有的同一流通受限证券，其公允价值不得超过本基金资产净值的2%。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如果法律法规对上述投资组合比例限制进行变更的，以变更后的规定为准。法律法规或监管部门取消上述限制，如适用于本基金，则本基金投资不再受相关限制。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(6)、(8)、(10)、(11)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5、基金托管人根据有关法律法规的规定及基金合同的约定，对基金管理人投资流通受限证券进行监督。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本基金投资的受限证券限于可由中国证券登记结算有限责任公司或中央国债登记结算有限责任公司负责登记和存管，并可在证券交易所或全国银行间债券市场交易的证券。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本基金投资受限证券，不得预付任何形式的保证金。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1）中国证监会批准发行非公开发行股票的批准文件。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2）非公开发行股票有关发行数量、发行价格、锁定期等发行资料。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4）基金拟认购的数量、价格、总成本、账面价值。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本基金有关投资受限证券比例如违反有关限制规定，在合理期限内未能进行及时调整，基金管理人应在两个工作日内编制临时报告书，予以公告。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（5）基金托管人根据有关规定有权对基金管理人进行以下事项监督：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1）本基金投资受限证券时的法律法规遵守情况。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2）在基金投资受限证券管理工作方面有关制度、流动性风险处置预案的建立与完善情况。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3）有关比例限制的执行情况。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4）信息披露情况。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（6）相关法律法规对基金投资受限证券有新规定的，从其规定。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（1）基金财产应独立于基金管理人、基金托管人的固有财产。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（3）基金托管人按照规定开设基金财产的资金账户和证券账户。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2、基金募集期间及募集资金的验资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（1）基金募集期间认购款项应存于专用账户。该账户由基金管理人委托的注册登记机构开立并管理。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满或基金停止募集时，募集的基金份额总额、基金募集金额、基金份额持有人人数符合《基金法》、《运作办法》等有关规定后，基金管理人应将募集到的基金财产的全部资金划入基金托管人为基金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（3）若基金募集期限届满，未能达到基金合同生效的条件，由基金管理人按规定办理退款等事宜。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3、基金资金账户的开立和管理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（1）基金托管人可以本基金的名义在其营业机构开立基金的银行账户，并根据基金管理人合法合规的指令办理资金收付。本基金的银行预留印鉴由基金托管人保管和使用。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（3）基金银行账户的开立和管理应符合中国银监会的有关规定。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（4）在符合法律法规规定的条件下，基金托管人可以通过基金托管人专用账户办理基金资产的支付。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4、基金证券账户和结算备付金账户的开立和管理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（1）基金托管人在中国证券登记结算有限责任公司上海分公司、深圳分公司为基金开立基金托管人与基金联名的证券账户。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5、债券托管专户的开设和管理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基金托管人根据中国人民银行、中央国债登记结算有限责任公司的有关规定，以基金的名义在中央国债登记结算有限责任公司开立债券托管账户，并代表基金进行银行间市场债券的结算。基金管理人和基金托管人共同代表基金签订全国银行间债券市场债券回购主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6、其他账户的开立和管理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（1）因业务发展需要而开立的其他账户，可以根据法律法规和基金合同的规定，由基金托管人负责开立。新账户按有关规定使用并管理。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（2）法律法规等有关规定对相关账户的开立和管理另有规定的，从其规定办理。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7、基金财产投资的有关有价凭证等的保管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（五）基金资产净值计算和会计核算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1、基金资产净值的计算、复核与完成的时间及程序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基金资产净值是指基金资产总值减去负债后的金额。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基金份额净值是指基金资产净值除以基金份额总数，基金份额净值的计算，精确到0.0001元，小数点后第五位四舍五入，国家另有规定的，从其规定。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基金管理人每个工作日分别计算本基金A/B类基金份额和C类基金份额的基金资产净值及基金份额净值，经基金托管人复核，按规定公告。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（2）复核程序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基金管理人每工作日对基金资产进行估值后，将本基金A/B类基金份额和C类基金份额的基金份额净值结果发送基金托管人，经基金托管人复核无误后，由基金管理人按照法律法规规定对外公布。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2、基金资产估值方法和特殊情形的处理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基金所拥有的股票、权证、债券和银行存款本息、应收款项、其它投资等资产和负债。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①送股、转增股、配股和公开增发的新股，按估值日在证券交易所挂牌的同一股票的估值方法估值；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②首次公开发行未上市的股票、债券和权证，采用估值技术确定公允价值，在估值技术难以可靠计量公允价值的情况下，按成本估值。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3）全国银行间债券市场交易的债券、资产支持证券等固定收益品种，采用估值技术确定公允价值。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4）同一债券同时在两个或两个以上市场交易的，按债券所处的市场分别估值。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1）基金管理人、基金托管人按估值方法的第5）项进行估值时，所造成的误差不作为基金份额净值错误处理。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交易所或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3、基金份额净值错误的处理方式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4、暂停估值与公告基金份额净值的情形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（1）基金投资所涉及的证券交易所遇法定节假日或因其他原因暂停营业时；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（3）占基金相当比例的投资品种的估值出现重大转变，而基金管理人为保障投资人的利益，已决定延迟估值；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（5）中国证监会和基金合同认定的其他情形。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5、实施侧袋机制期间的基金资产估值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按国家有关部门规定的会计制度执行。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7、基金账册的建立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8、基金财务报表与报告的编制和复核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（1）财务报表的编制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基金财务报表由基金管理人编制，基金托管人复核。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（2）报表复核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（3）财务报表的编制与复核时间安排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1）报表的编制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2）报表的复核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基金管理人应留足充分的时间，便于基金托管人复核相关报表及报告。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9、基金管理人应在编制季度报告、半年度报告或者年度报告之前及时向基金托管人提供基金业绩比较基准的基础数据和编制结果。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（六）基金份额持有人名册的的登记与保管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（八）托管协议的变更与终止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1、托管协议的变更程序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2、基金托管协议终止的情形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（2）基金托管人解散、依法被撤销、破产或由其他基金托管人接管基金资产；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（3）基金管理人解散、依法被撤销、破产或由其他基金管理人接管基金管理权；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（4）发生法律法规或基金合同规定的终止事项。</w:t>
      </w:r>
    </w:p>
    <w:p>
      <w:pPr>
        <w:pStyle w:val="2"/>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本基金管理人承诺为基金份额持有人提供一系列的服务。本基金管理人根据基金份额持有人的需要和市场的变化，有权增加或变更服务项目。主要服务内容如下：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1、每次交易结束后，投资人可在T+2个工作日后通过销售机构的网点查询和打印确认单；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（二）网上直销服务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已开通基金网上直销业务，个人投资者可以直接通过本公司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申购、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（四）基金红利再投资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本基金收益分配时，投资人可以选择将当期分配所得的红利再投资于本基金，再投资红利按红利再投日（即除息日）除息后的基金份额净值自动转为基金份额，并免收申购费用。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本基金已开通定期定额投资计划，具体实施方法请参见相关公告。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blPrEx>
          <w:tblCellMar>
            <w:top w:w="0" w:type="dxa"/>
            <w:left w:w="0" w:type="dxa"/>
            <w:bottom w:w="0" w:type="dxa"/>
            <w:right w:w="0" w:type="dxa"/>
          </w:tblCellMar>
        </w:tblPrEx>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交银施罗德双利债券证券投资基金（AB类份额）基金产品资料概要更新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交银施罗德双利债券证券投资基金2025年第3季度报告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交银施罗德基金管理有限公司关于交银施罗德双利债券证券投资基金分红公告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交银施罗德基金管理有限公司关于暂停旗下基金在中国农业银行股份有限公司办理定期定额赎回业务的公告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交银施罗德双利债券证券投资基金2026年第1季度报告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交银施罗德双利债券证券投资基金2026年第2季度报告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交银施罗德双利债券证券投资基金2026年中期报告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2" w:name="_Toc256000052"/>
      <w:bookmarkStart w:id="53" w:name="_Toc256000025"/>
      <w:r>
        <w:rPr>
          <w:rFonts w:ascii="宋体" w:hAnsi="宋体"/>
          <w:sz w:val="30"/>
        </w:rPr>
        <w:t>二十五、招募说明书的存放及查阅方式</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的办公场所，投资人可在办公时间查阅；投资者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4" w:name="_Toc256000053"/>
      <w:bookmarkStart w:id="55" w:name="_Toc256000026"/>
      <w:r>
        <w:rPr>
          <w:rFonts w:ascii="宋体" w:hAnsi="宋体"/>
          <w:sz w:val="30"/>
        </w:rPr>
        <w:t>二十六、备查文件</w:t>
      </w:r>
      <w:bookmarkEnd w:id="54"/>
      <w:bookmarkEnd w:id="5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（一）中国证监会核准交银施罗德双利债券证券投资基金募集的文件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（二）《交银施罗德双利债券证券投资基金基金合同》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（三）《交银施罗德双利债券证券投资基金托管协议》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（六）关于申请募集交银施罗德双利债券证券投资基金之法律意见书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0" o:spid="_x0000_s2050"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1" o:spid="_x0000_s2051"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162</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交银施罗德双利债券证券投资基金招募说明书（更新）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交银施罗德双利债券证券投资基金招募说明书（更新）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521E5C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uiPriority w:val="99"/>
    <w:rPr>
      <w:rFonts w:ascii="宋体"/>
      <w:sz w:val="18"/>
      <w:szCs w:val="18"/>
    </w:rPr>
  </w:style>
  <w:style w:type="paragraph" w:styleId="6">
    <w:name w:val="annotation text"/>
    <w:basedOn w:val="1"/>
    <w:link w:val="32"/>
    <w:unhideWhenUsed/>
    <w:uiPriority w:val="0"/>
    <w:pPr>
      <w:jc w:val="left"/>
    </w:pPr>
  </w:style>
  <w:style w:type="paragraph" w:styleId="7">
    <w:name w:val="Balloon Text"/>
    <w:basedOn w:val="1"/>
    <w:semiHidden/>
    <w:qFormat/>
    <w:uiPriority w:val="0"/>
    <w:rPr>
      <w:sz w:val="18"/>
      <w:szCs w:val="18"/>
    </w:rPr>
  </w:style>
  <w:style w:type="paragraph" w:styleId="8">
    <w:name w:val="footer"/>
    <w:basedOn w:val="1"/>
    <w:link w:val="37"/>
    <w:unhideWhenUsed/>
    <w:qFormat/>
    <w:uiPriority w:val="99"/>
    <w:pPr>
      <w:tabs>
        <w:tab w:val="center" w:pos="4153"/>
        <w:tab w:val="right" w:pos="8306"/>
      </w:tabs>
      <w:snapToGrid w:val="0"/>
      <w:jc w:val="left"/>
    </w:pPr>
    <w:rPr>
      <w:kern w:val="0"/>
      <w:sz w:val="18"/>
      <w:szCs w:val="18"/>
    </w:rPr>
  </w:style>
  <w:style w:type="paragraph" w:styleId="9">
    <w:name w:val="header"/>
    <w:basedOn w:val="1"/>
    <w:link w:val="34"/>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3"/>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qFormat/>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qFormat/>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uiPriority w:val="0"/>
    <w:rPr>
      <w:rFonts w:ascii="Cambria" w:hAnsi="Cambria"/>
      <w:b/>
      <w:kern w:val="28"/>
      <w:sz w:val="24"/>
      <w:szCs w:val="32"/>
    </w:rPr>
  </w:style>
  <w:style w:type="character" w:customStyle="1" w:styleId="31">
    <w:name w:val="txtcontent11"/>
    <w:qFormat/>
    <w:uiPriority w:val="0"/>
    <w:rPr>
      <w:rFonts w:hint="default" w:ascii="ˎ̥" w:hAnsi="ˎ̥"/>
      <w:color w:val="000000"/>
      <w:sz w:val="21"/>
      <w:szCs w:val="21"/>
    </w:rPr>
  </w:style>
  <w:style w:type="character" w:customStyle="1" w:styleId="32">
    <w:name w:val="批注文字 Char"/>
    <w:link w:val="6"/>
    <w:qFormat/>
    <w:uiPriority w:val="0"/>
    <w:rPr>
      <w:kern w:val="2"/>
      <w:sz w:val="21"/>
      <w:szCs w:val="22"/>
    </w:rPr>
  </w:style>
  <w:style w:type="character" w:customStyle="1" w:styleId="33">
    <w:name w:val="批注主题 Char"/>
    <w:link w:val="13"/>
    <w:semiHidden/>
    <w:uiPriority w:val="99"/>
    <w:rPr>
      <w:b/>
      <w:bCs/>
      <w:kern w:val="2"/>
      <w:sz w:val="21"/>
      <w:szCs w:val="22"/>
    </w:rPr>
  </w:style>
  <w:style w:type="character" w:customStyle="1" w:styleId="34">
    <w:name w:val="页眉 Char"/>
    <w:link w:val="9"/>
    <w:uiPriority w:val="99"/>
    <w:rPr>
      <w:sz w:val="18"/>
      <w:szCs w:val="18"/>
    </w:rPr>
  </w:style>
  <w:style w:type="character" w:customStyle="1" w:styleId="35">
    <w:name w:val="副标题 Char"/>
    <w:link w:val="11"/>
    <w:qFormat/>
    <w:uiPriority w:val="0"/>
    <w:rPr>
      <w:rFonts w:ascii="Cambria" w:hAnsi="Cambria" w:cs="Times New Roman"/>
      <w:b/>
      <w:bCs/>
      <w:kern w:val="28"/>
      <w:sz w:val="32"/>
      <w:szCs w:val="32"/>
    </w:rPr>
  </w:style>
  <w:style w:type="character" w:customStyle="1" w:styleId="36">
    <w:name w:val="文档结构图 Char"/>
    <w:link w:val="5"/>
    <w:semiHidden/>
    <w:uiPriority w:val="99"/>
    <w:rPr>
      <w:rFonts w:ascii="宋体"/>
      <w:kern w:val="2"/>
      <w:sz w:val="18"/>
      <w:szCs w:val="18"/>
    </w:rPr>
  </w:style>
  <w:style w:type="character" w:customStyle="1" w:styleId="37">
    <w:name w:val="页脚 Char"/>
    <w:link w:val="8"/>
    <w:uiPriority w:val="99"/>
    <w:rPr>
      <w:sz w:val="18"/>
      <w:szCs w:val="18"/>
    </w:rPr>
  </w:style>
  <w:style w:type="character" w:customStyle="1" w:styleId="38">
    <w:name w:val="标题 2 Char"/>
    <w:link w:val="3"/>
    <w:semiHidden/>
    <w:uiPriority w:val="9"/>
    <w:rPr>
      <w:rFonts w:ascii="Cambria" w:hAnsi="Cambria" w:eastAsia="宋体" w:cs="Times New Roman"/>
      <w:b/>
      <w:bCs/>
      <w:kern w:val="2"/>
      <w:sz w:val="32"/>
      <w:szCs w:val="32"/>
    </w:rPr>
  </w:style>
  <w:style w:type="character" w:customStyle="1" w:styleId="39">
    <w:name w:val="标题 4 Char"/>
    <w:link w:val="4"/>
    <w:semiHidden/>
    <w:uiPriority w:val="9"/>
    <w:rPr>
      <w:rFonts w:ascii="Cambria" w:hAnsi="Cambria" w:eastAsia="宋体" w:cs="Times New Roman"/>
      <w:b/>
      <w:bCs/>
      <w:kern w:val="2"/>
      <w:sz w:val="28"/>
      <w:szCs w:val="28"/>
    </w:rPr>
  </w:style>
  <w:style w:type="character" w:customStyle="1" w:styleId="40">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163</Pages>
  <Words>13948</Words>
  <Characters>79510</Characters>
  <Lines>662</Lines>
  <Paragraphs>186</Paragraphs>
  <TotalTime>1</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2026-09-29T01:06:36Z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CCD342BEA8EB4E298DDB41034538B1EA</vt:lpwstr>
  </property>
</Properties>
</file>