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黑体" w:hAnsi="黑体" w:eastAsia="黑体"/>
          <w:b/>
          <w:sz w:val="36"/>
        </w:rPr>
      </w:pPr>
      <w:r>
        <w:rPr>
          <w:rFonts w:hint="eastAsia" w:ascii="黑体" w:hAnsi="黑体" w:eastAsia="黑体"/>
          <w:b/>
          <w:sz w:val="36"/>
        </w:rPr>
        <w:t>交银施罗德臻享多资产三个月持有期混合型基金中基金（FOF）（A类份额）</w:t>
      </w:r>
    </w:p>
    <w:p>
      <w:pPr>
        <w:spacing w:after="0"/>
        <w:jc w:val="center"/>
        <w:rPr>
          <w:rFonts w:ascii="黑体" w:hAnsi="黑体" w:eastAsia="黑体"/>
          <w:b/>
          <w:sz w:val="36"/>
        </w:rPr>
      </w:pPr>
      <w:r>
        <w:rPr>
          <w:rFonts w:hint="eastAsia" w:ascii="黑体" w:hAnsi="黑体" w:eastAsia="黑体"/>
          <w:b/>
          <w:sz w:val="36"/>
        </w:rPr>
        <w:t>基金产品资料概要更新</w:t>
      </w:r>
    </w:p>
    <w:p>
      <w:pPr>
        <w:spacing w:after="0"/>
        <w:jc w:val="right"/>
        <w:rPr>
          <w:rFonts w:hint="eastAsia" w:ascii="仿宋_GB2312" w:eastAsia="仿宋_GB2312"/>
          <w:kern w:val="0"/>
          <w:sz w:val="21"/>
          <w:szCs w:val="21"/>
        </w:rPr>
      </w:pPr>
      <w:r>
        <w:rPr>
          <w:rFonts w:hint="eastAsia" w:ascii="仿宋_GB2312" w:eastAsia="仿宋_GB2312"/>
          <w:sz w:val="21"/>
        </w:rPr>
        <w:t>编制日期：</w:t>
      </w:r>
      <w:r>
        <w:rPr>
          <w:rFonts w:hint="eastAsia" w:ascii="Times New Roman" w:hAnsi="Times New Roman" w:eastAsia="Times New Roman" w:cs="Times New Roman"/>
          <w:kern w:val="0"/>
          <w:sz w:val="21"/>
          <w:szCs w:val="21"/>
        </w:rPr>
        <w:t>2026-09-02</w:t>
      </w:r>
    </w:p>
    <w:p>
      <w:pPr>
        <w:spacing w:after="0" w:line="380" w:lineRule="exact"/>
        <w:jc w:val="center"/>
        <w:rPr>
          <w:rFonts w:hint="eastAsia" w:ascii="仿宋_GB2312" w:eastAsia="仿宋_GB2312"/>
          <w:b/>
          <w:iCs/>
          <w:sz w:val="21"/>
          <w:szCs w:val="21"/>
        </w:rPr>
      </w:pPr>
      <w:r>
        <w:rPr>
          <w:rFonts w:hint="eastAsia" w:ascii="仿宋_GB2312" w:eastAsia="仿宋_GB2312"/>
          <w:sz w:val="21"/>
        </w:rPr>
        <w:t>送出日期：</w:t>
      </w:r>
      <w:r>
        <w:rPr>
          <w:rFonts w:hint="eastAsia" w:ascii="Times New Roman" w:hAnsi="Times New Roman" w:eastAsia="Times New Roman" w:cs="Times New Roman"/>
          <w:kern w:val="0"/>
          <w:sz w:val="21"/>
          <w:szCs w:val="21"/>
        </w:rPr>
        <w:t>2026-10-09</w:t>
      </w:r>
      <w:r>
        <w:rPr>
          <w:rFonts w:hint="eastAsia" w:ascii="仿宋" w:hAnsi="仿宋" w:cs="仿宋"/>
          <w:b/>
          <w:iCs/>
          <w:sz w:val="21"/>
          <w:szCs w:val="21"/>
        </w:rPr>
        <w:t xml:space="preserve"> </w:t>
      </w:r>
    </w:p>
    <w:p>
      <w:pPr>
        <w:autoSpaceDE w:val="0"/>
        <w:autoSpaceDN w:val="0"/>
        <w:adjustRightInd w:val="0"/>
        <w:spacing w:after="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spacing w:after="0"/>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spacing w:after="0"/>
        <w:jc w:val="left"/>
        <w:rPr>
          <w:rFonts w:ascii="仿宋_GB2312" w:hAnsi="宋体" w:eastAsia="仿宋_GB2312" w:cs="宋体"/>
          <w:b/>
          <w:kern w:val="0"/>
          <w:sz w:val="21"/>
          <w:szCs w:val="21"/>
        </w:rPr>
      </w:pPr>
      <w:r>
        <w:rPr>
          <w:rFonts w:hint="eastAsia" w:ascii="仿宋_GB2312" w:hAnsi="宋体" w:eastAsia="仿宋_GB2312" w:cs="宋体"/>
          <w:b/>
          <w:kern w:val="0"/>
          <w:sz w:val="21"/>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widowControl/>
              <w:spacing w:after="0" w:line="240" w:lineRule="auto"/>
              <w:jc w:val="left"/>
              <w:rPr>
                <w:rFonts w:ascii="仿宋_GB2312" w:eastAsia="仿宋_GB2312"/>
                <w:sz w:val="21"/>
                <w:szCs w:val="21"/>
              </w:rPr>
            </w:pPr>
            <w:r>
              <w:rPr>
                <w:rFonts w:hint="eastAsia" w:ascii="仿宋_GB2312" w:eastAsia="仿宋_GB2312"/>
                <w:sz w:val="21"/>
                <w:szCs w:val="21"/>
              </w:rPr>
              <w:t>基金简称</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交银臻享多资产三个月持有期混合（FOF）A</w:t>
            </w:r>
          </w:p>
        </w:tc>
        <w:tc>
          <w:tcPr>
            <w:tcW w:w="3649" w:type="dxa"/>
            <w:vAlign w:val="center"/>
          </w:tcPr>
          <w:p>
            <w:pPr>
              <w:spacing w:after="0" w:line="240" w:lineRule="auto"/>
              <w:rPr>
                <w:rFonts w:ascii="仿宋_GB2312" w:eastAsia="仿宋_GB2312"/>
                <w:sz w:val="21"/>
                <w:szCs w:val="21"/>
              </w:rPr>
            </w:pPr>
            <w:r>
              <w:rPr>
                <w:rFonts w:hint="eastAsia" w:ascii="仿宋_GB2312" w:eastAsia="仿宋_GB2312"/>
                <w:sz w:val="21"/>
                <w:szCs w:val="21"/>
              </w:rPr>
              <w:t>基金代码</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025313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基金管理人</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交银施罗德基金管理有限公司</w:t>
            </w:r>
          </w:p>
        </w:tc>
        <w:tc>
          <w:tcPr>
            <w:tcW w:w="3649"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基金托管人</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基金合同生效日</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2025-11-13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基金类型</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基金中基金</w:t>
            </w:r>
          </w:p>
        </w:tc>
        <w:tc>
          <w:tcPr>
            <w:tcW w:w="3649"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交易币种</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运作方式</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其他开放式</w:t>
            </w:r>
          </w:p>
        </w:tc>
        <w:tc>
          <w:tcPr>
            <w:tcW w:w="3649"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开放频率</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restart"/>
          </w:tcPr>
          <w:p>
            <w:pPr>
              <w:spacing w:after="0" w:line="240" w:lineRule="auto"/>
              <w:jc w:val="left"/>
              <w:rPr>
                <w:rFonts w:hint="eastAsia" w:ascii="仿宋_GB2312" w:eastAsia="仿宋_GB2312"/>
                <w:sz w:val="21"/>
                <w:szCs w:val="21"/>
              </w:rPr>
            </w:pPr>
            <w:r>
              <w:rPr>
                <w:rFonts w:hint="eastAsia" w:ascii="仿宋_GB2312" w:eastAsia="仿宋_GB2312"/>
                <w:sz w:val="21"/>
                <w:szCs w:val="21"/>
              </w:rPr>
              <w:t>基金经理</w:t>
            </w:r>
          </w:p>
        </w:tc>
        <w:tc>
          <w:tcPr>
            <w:tcW w:w="1601" w:type="dxa"/>
            <w:vMerge w:val="restart"/>
          </w:tcPr>
          <w:p>
            <w:pPr>
              <w:spacing w:after="0" w:line="240" w:lineRule="auto"/>
              <w:jc w:val="left"/>
              <w:rPr>
                <w:rFonts w:hint="eastAsia" w:ascii="仿宋_GB2312" w:eastAsia="仿宋_GB2312"/>
                <w:sz w:val="21"/>
                <w:szCs w:val="21"/>
              </w:rPr>
            </w:pPr>
            <w:r>
              <w:rPr>
                <w:rFonts w:hint="eastAsia" w:ascii="仿宋_GB2312" w:eastAsia="仿宋_GB2312"/>
                <w:sz w:val="21"/>
                <w:szCs w:val="21"/>
              </w:rPr>
              <w:t>刘迪</w:t>
            </w:r>
          </w:p>
        </w:tc>
        <w:tc>
          <w:tcPr>
            <w:tcW w:w="3000"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开始担任本基金基金经理的日期</w:t>
            </w:r>
          </w:p>
        </w:tc>
        <w:tc>
          <w:tcPr>
            <w:tcW w:w="2000"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2025-11-13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spacing w:after="0" w:line="240" w:lineRule="auto"/>
              <w:jc w:val="left"/>
              <w:rPr>
                <w:rFonts w:hint="eastAsia" w:ascii="仿宋_GB2312" w:eastAsia="仿宋_GB2312"/>
                <w:sz w:val="21"/>
                <w:szCs w:val="21"/>
              </w:rPr>
            </w:pPr>
          </w:p>
        </w:tc>
        <w:tc>
          <w:tcPr>
            <w:tcW w:w="1601" w:type="dxa"/>
            <w:vMerge w:val="continue"/>
          </w:tcPr>
          <w:p>
            <w:pPr>
              <w:spacing w:after="0" w:line="240" w:lineRule="auto"/>
              <w:jc w:val="left"/>
              <w:rPr>
                <w:rFonts w:hint="eastAsia" w:ascii="仿宋_GB2312" w:eastAsia="仿宋_GB2312"/>
                <w:sz w:val="21"/>
                <w:szCs w:val="21"/>
              </w:rPr>
            </w:pPr>
          </w:p>
        </w:tc>
        <w:tc>
          <w:tcPr>
            <w:tcW w:w="3649"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证券从业日期</w:t>
            </w:r>
          </w:p>
        </w:tc>
        <w:tc>
          <w:tcPr>
            <w:tcW w:w="1275"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2015-07-01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其他</w:t>
            </w:r>
          </w:p>
        </w:tc>
        <w:tc>
          <w:tcPr>
            <w:tcW w:w="6525" w:type="dxa"/>
            <w:gridSpan w:val="3"/>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spacing w:after="0"/>
        <w:jc w:val="left"/>
        <w:rPr>
          <w:rFonts w:hint="eastAsia" w:ascii="仿宋_GB2312" w:eastAsia="仿宋_GB2312"/>
          <w:sz w:val="21"/>
          <w:szCs w:val="21"/>
        </w:rPr>
      </w:pPr>
      <w:r>
        <w:rPr>
          <w:rFonts w:hint="eastAsia" w:ascii="仿宋_GB2312" w:hAnsi="仿宋_GB2312" w:eastAsia="仿宋_GB2312" w:cs="仿宋_GB2312"/>
          <w:kern w:val="0"/>
          <w:sz w:val="21"/>
          <w:szCs w:val="21"/>
        </w:rPr>
        <w:t>注：</w:t>
      </w:r>
      <w:r>
        <w:rPr>
          <w:rFonts w:hint="eastAsia" w:ascii="仿宋_GB2312" w:eastAsia="仿宋_GB2312"/>
          <w:sz w:val="21"/>
          <w:szCs w:val="21"/>
        </w:rPr>
        <w:t>本基金为偏债混合型基金中基金。</w:t>
      </w:r>
    </w:p>
    <w:p>
      <w:pPr>
        <w:spacing w:after="0"/>
        <w:jc w:val="left"/>
        <w:rPr>
          <w:rFonts w:ascii="仿宋_GB2312" w:hAnsi="宋体" w:eastAsia="仿宋_GB2312" w:cs="宋体"/>
          <w:b/>
          <w:kern w:val="0"/>
          <w:sz w:val="21"/>
          <w:szCs w:val="21"/>
        </w:rPr>
      </w:pPr>
      <w:r>
        <w:rPr>
          <w:rFonts w:hint="eastAsia" w:ascii="仿宋_GB2312" w:hAnsi="宋体" w:eastAsia="仿宋_GB2312" w:cs="宋体"/>
          <w:b/>
          <w:kern w:val="0"/>
          <w:sz w:val="21"/>
          <w:szCs w:val="21"/>
        </w:rPr>
        <w:t>二、基金投资与净值表现</w:t>
      </w:r>
    </w:p>
    <w:p>
      <w:pPr>
        <w:spacing w:after="0"/>
        <w:jc w:val="left"/>
        <w:rPr>
          <w:rFonts w:ascii="仿宋_GB2312" w:eastAsia="仿宋_GB2312"/>
          <w:b/>
          <w:sz w:val="21"/>
          <w:szCs w:val="21"/>
        </w:rPr>
      </w:pPr>
      <w:r>
        <w:rPr>
          <w:rFonts w:hint="eastAsia" w:ascii="仿宋_GB2312" w:eastAsia="仿宋_GB2312"/>
          <w:b/>
          <w:sz w:val="21"/>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547"/>
        <w:gridCol w:w="652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widowControl/>
              <w:spacing w:after="0" w:line="240" w:lineRule="auto"/>
              <w:jc w:val="left"/>
              <w:rPr>
                <w:rFonts w:hint="eastAsia" w:ascii="仿宋_GB2312" w:eastAsia="仿宋_GB2312"/>
                <w:sz w:val="21"/>
                <w:szCs w:val="21"/>
              </w:rPr>
            </w:pPr>
            <w:r>
              <w:rPr>
                <w:rFonts w:hint="eastAsia" w:ascii="仿宋_GB2312" w:eastAsia="仿宋_GB2312"/>
                <w:sz w:val="21"/>
                <w:szCs w:val="21"/>
              </w:rPr>
              <w:t>投资目标</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本基金为基金中基金，在严格控制风险的前提下，充分发挥专业研究与管理能力，力争为投资者提供长期稳健的投资回报。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投资范围</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本基金的投资范围为具有良好流动性的金融工具，包括经中国证监会依法核准或注册的公开募集证券投资基金（含ETF和LOF、香港互认基金、QDII基金、商品基金（包括商品期货基金和黄金ETF）、公开募集基础设施证券投资基金（以下简称“公募REITs”））、国内依法发行上市的股票（含创业板、科创板及其他经中国证监会核准或注册上市的股票、存托凭证）、内地与香港股票市场交易互联互通机制允许买卖的香港证券市场股票和交易型开放式基金（以下分别简称“港股通股票”、“港股通ETF”）、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如法律法规或监管机构以后允许基金投资其他品种，基金管理人在履行适当程序后，可以将其纳入投资范围。</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基金的投资组合比例为：本基金投资于经中国证监会依法核准或注册的公开募集证券投资基金的基金份额的资产不低于本基金资产的80%；投资于股票（含存托凭证）、股票型基金（包括股票指数基金）、混合型基金等权益类资产占基金资产的比例为5%-40%（其中，投资于境内股票、股票型基金、计入权益类资产的混合型基金占基金资产的比例不低于5%，投资于港股通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上述混合型基金需符合下列两个条件之一：</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1、基金合同中约定股票投资占基金资产的比例不低于60%的混合型基金；</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2、最近四个季度披露的股票投资占基金资产的比例均不低于60%的混合型基金。</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主要投资策略</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本基金投资策略主要分为以下六个部分：</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1、大类资产配置；2、基金投资策略；3、股票投资策略；4、港股通股票及港股通ETF投资策略；5、债券投资策略；6、资产支持证券投资策略。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业绩比较基准</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中证800指数收益率×15%+中证港股通综合指数（人民币）收益率×2%+上海黄金交易所Au99.99现货实盘合约收益率×3%+中证纯债债券型基金指数收益率×75%+人民币银行活期存款利率（税后）×5%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风险收益特征</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本基金为混合型基金中基金，其预期风险与预期收益理论上高于债券型基金、债券型基金中基金、货币市场基金和货币型基金中基金，低于股票型基金和股票型基金中基金。</w:t>
            </w:r>
          </w:p>
        </w:tc>
      </w:tr>
    </w:tbl>
    <w:p>
      <w:pPr>
        <w:spacing w:after="0"/>
        <w:jc w:val="left"/>
        <w:rPr>
          <w:rFonts w:hint="eastAsia" w:ascii="仿宋_GB2312" w:eastAsia="仿宋_GB2312"/>
          <w:sz w:val="21"/>
          <w:szCs w:val="21"/>
        </w:rPr>
      </w:pPr>
      <w:r>
        <w:rPr>
          <w:rFonts w:hint="eastAsia" w:ascii="仿宋_GB2312" w:eastAsia="仿宋_GB2312"/>
          <w:sz w:val="21"/>
          <w:szCs w:val="21"/>
        </w:rPr>
        <w:t>注：详见《交银施罗德臻享多资产三个月持有期混合型基金中基金(FOF)招募说明书》“基金的投资”。</w:t>
      </w:r>
    </w:p>
    <w:p>
      <w:pPr>
        <w:spacing w:after="0"/>
        <w:jc w:val="left"/>
        <w:rPr>
          <w:rFonts w:hint="eastAsia" w:ascii="仿宋_GB2312" w:eastAsia="仿宋_GB2312"/>
          <w:b/>
          <w:sz w:val="21"/>
          <w:szCs w:val="21"/>
        </w:rPr>
      </w:pPr>
      <w:r>
        <w:rPr>
          <w:rFonts w:hint="eastAsia" w:ascii="仿宋_GB2312" w:eastAsia="仿宋_GB2312"/>
          <w:b/>
          <w:sz w:val="21"/>
          <w:szCs w:val="21"/>
        </w:rPr>
        <w:t>（二）投资组合资产配置图表/区域配置图表</w:t>
      </w:r>
    </w:p>
    <w:p>
      <w:pPr>
        <w:spacing w:after="0"/>
        <w:jc w:val="center"/>
        <w:rPr>
          <w:rFonts w:ascii="仿宋_GB2312" w:eastAsia="仿宋_GB2312"/>
          <w:b/>
          <w:sz w:val="21"/>
          <w:szCs w:val="21"/>
        </w:rPr>
      </w:pPr>
      <w:r>
        <w:rPr>
          <w:rFonts w:ascii="仿宋_GB2312" w:hAnsi="仿宋_GB2312"/>
          <w:kern w:val="0"/>
          <w:sz w:val="21"/>
        </w:rPr>
        <w:pict>
          <v:shape id="_x0000_i1025" o:spt="75" type="#_x0000_t75" style="height:250pt;width:454pt;" filled="f" o:preferrelative="t" stroked="f" coordsize="21600,21600">
            <v:path/>
            <v:fill on="f" focussize="0,0"/>
            <v:stroke on="f" joinstyle="miter"/>
            <v:imagedata r:id="rId4" o:title="1521256610242020828"/>
            <o:lock v:ext="edit" aspectratio="t"/>
            <w10:wrap type="none"/>
            <w10:anchorlock/>
          </v:shape>
        </w:pict>
      </w:r>
    </w:p>
    <w:p>
      <w:pPr>
        <w:spacing w:after="0"/>
        <w:ind w:firstLine="420"/>
        <w:jc w:val="left"/>
        <w:rPr>
          <w:rFonts w:hint="eastAsia" w:ascii="仿宋_GB2312" w:eastAsia="仿宋_GB2312"/>
          <w:sz w:val="21"/>
          <w:szCs w:val="21"/>
        </w:rPr>
      </w:pPr>
      <w:r>
        <w:rPr>
          <w:rFonts w:hint="eastAsia" w:ascii="仿宋_GB2312" w:eastAsia="仿宋_GB2312"/>
          <w:sz w:val="21"/>
          <w:szCs w:val="21"/>
        </w:rPr>
        <w:t>注：由于四舍五入的原因，分项之和与合计项之间可能存在尾差。</w:t>
      </w:r>
    </w:p>
    <w:p>
      <w:pPr>
        <w:spacing w:after="0"/>
        <w:jc w:val="left"/>
        <w:rPr>
          <w:rFonts w:hint="eastAsia" w:ascii="仿宋_GB2312" w:hAnsi="仿宋_GB2312" w:eastAsia="仿宋_GB2312" w:cs="仿宋_GB2312"/>
          <w:b/>
          <w:sz w:val="21"/>
          <w:szCs w:val="21"/>
        </w:rPr>
      </w:pPr>
      <w:r>
        <w:rPr>
          <w:rFonts w:hint="eastAsia" w:ascii="仿宋_GB2312" w:eastAsia="仿宋_GB2312"/>
          <w:b/>
          <w:sz w:val="21"/>
          <w:szCs w:val="21"/>
        </w:rPr>
        <w:t>（三）自基金合同生效以来/最近十年（孰短）基金每年的净值增长率及与同期业绩比较基准的比较图</w:t>
      </w:r>
    </w:p>
    <w:p>
      <w:pPr>
        <w:spacing w:after="0"/>
        <w:jc w:val="center"/>
        <w:rPr>
          <w:rFonts w:ascii="仿宋_GB2312" w:eastAsia="仿宋_GB2312"/>
          <w:b/>
          <w:sz w:val="21"/>
          <w:szCs w:val="21"/>
        </w:rPr>
      </w:pPr>
      <w:r>
        <w:rPr>
          <w:rFonts w:ascii="仿宋_GB2312" w:hAnsi="仿宋_GB2312"/>
          <w:kern w:val="0"/>
          <w:sz w:val="21"/>
        </w:rPr>
        <w:pict>
          <v:shape id="_x0000_i1026" o:spt="75" type="#_x0000_t75" style="height:160pt;width:500pt;" filled="f" o:preferrelative="t" stroked="f" coordsize="21600,21600">
            <v:path/>
            <v:fill on="f" focussize="0,0"/>
            <v:stroke on="f" joinstyle="miter"/>
            <v:imagedata r:id="rId5" o:title="1521256610242020828"/>
            <o:lock v:ext="edit" aspectratio="t"/>
            <w10:wrap type="none"/>
            <w10:anchorlock/>
          </v:shape>
        </w:pict>
      </w:r>
    </w:p>
    <w:p>
      <w:pPr>
        <w:spacing w:after="0"/>
        <w:ind w:firstLine="420"/>
        <w:jc w:val="left"/>
        <w:rPr>
          <w:rFonts w:hint="eastAsia" w:ascii="仿宋_GB2312" w:eastAsia="仿宋_GB2312"/>
          <w:sz w:val="21"/>
          <w:szCs w:val="21"/>
        </w:rPr>
      </w:pPr>
      <w:r>
        <w:rPr>
          <w:rFonts w:hint="eastAsia" w:ascii="仿宋_GB2312" w:eastAsia="仿宋_GB2312"/>
          <w:sz w:val="21"/>
          <w:szCs w:val="21"/>
        </w:rPr>
        <w:t>注：1、净值表现数据的截止日为2025年12月31日；</w:t>
      </w:r>
    </w:p>
    <w:p>
      <w:pPr>
        <w:spacing w:after="0"/>
        <w:ind w:left="420" w:firstLine="420" w:firstLineChars="200"/>
        <w:jc w:val="left"/>
        <w:rPr>
          <w:rFonts w:hint="eastAsia" w:ascii="仿宋_GB2312" w:eastAsia="仿宋_GB2312"/>
          <w:sz w:val="21"/>
          <w:szCs w:val="21"/>
        </w:rPr>
      </w:pPr>
      <w:r>
        <w:rPr>
          <w:rFonts w:hint="eastAsia" w:ascii="仿宋_GB2312" w:eastAsia="仿宋_GB2312"/>
          <w:sz w:val="21"/>
          <w:szCs w:val="21"/>
        </w:rPr>
        <w:t>2、本基金合同于2025年11月13日生效，合同生效当年净值增长率按实际存续期计算；</w:t>
      </w:r>
    </w:p>
    <w:p>
      <w:pPr>
        <w:spacing w:after="0"/>
        <w:ind w:left="420" w:firstLine="420" w:firstLineChars="200"/>
        <w:jc w:val="left"/>
        <w:rPr>
          <w:rFonts w:hint="eastAsia" w:ascii="仿宋_GB2312" w:eastAsia="仿宋_GB2312"/>
          <w:sz w:val="21"/>
          <w:szCs w:val="21"/>
        </w:rPr>
      </w:pPr>
      <w:r>
        <w:rPr>
          <w:rFonts w:hint="eastAsia" w:ascii="仿宋_GB2312" w:eastAsia="仿宋_GB2312"/>
          <w:sz w:val="21"/>
          <w:szCs w:val="21"/>
        </w:rPr>
        <w:t>3、基金的过往业绩不代表未来表现。</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三、投资本基金涉及的费用</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（一）基金销售相关费用</w:t>
      </w:r>
    </w:p>
    <w:p>
      <w:pPr>
        <w:spacing w:after="0"/>
        <w:jc w:val="left"/>
        <w:rPr>
          <w:rFonts w:ascii="仿宋_GB2312" w:eastAsia="仿宋_GB2312"/>
          <w:sz w:val="21"/>
          <w:szCs w:val="21"/>
        </w:rPr>
      </w:pPr>
      <w:r>
        <w:rPr>
          <w:rFonts w:hint="eastAsia" w:ascii="仿宋_GB2312" w:eastAsia="仿宋_GB2312"/>
          <w:sz w:val="21"/>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spacing w:after="0" w:line="240" w:lineRule="auto"/>
              <w:jc w:val="left"/>
              <w:rPr>
                <w:rFonts w:hint="eastAsia" w:ascii="仿宋_GB2312" w:hAnsi="宋体" w:eastAsia="仿宋_GB2312" w:cs="宋体"/>
                <w:b/>
                <w:sz w:val="21"/>
                <w:szCs w:val="21"/>
              </w:rPr>
            </w:pPr>
            <w:r>
              <w:rPr>
                <w:rFonts w:hint="eastAsia" w:ascii="仿宋_GB2312" w:hAnsi="宋体" w:eastAsia="仿宋_GB2312" w:cs="宋体"/>
                <w:b/>
                <w:kern w:val="0"/>
                <w:sz w:val="21"/>
                <w:szCs w:val="21"/>
              </w:rPr>
              <w:t>费用类型</w:t>
            </w:r>
          </w:p>
        </w:tc>
        <w:tc>
          <w:tcPr>
            <w:tcW w:w="2409" w:type="dxa"/>
            <w:vAlign w:val="center"/>
          </w:tcPr>
          <w:p>
            <w:pPr>
              <w:spacing w:after="0" w:line="240" w:lineRule="auto"/>
              <w:rPr>
                <w:rFonts w:ascii="仿宋_GB2312" w:eastAsia="仿宋_GB2312"/>
                <w:sz w:val="21"/>
                <w:szCs w:val="21"/>
              </w:rPr>
            </w:pPr>
            <w:r>
              <w:rPr>
                <w:rFonts w:hint="eastAsia" w:ascii="仿宋_GB2312" w:eastAsia="仿宋_GB2312"/>
                <w:b/>
                <w:sz w:val="21"/>
                <w:szCs w:val="21"/>
              </w:rPr>
              <w:t>份额（S）或金额（M）/持有期限（N）</w:t>
            </w:r>
          </w:p>
        </w:tc>
        <w:tc>
          <w:tcPr>
            <w:tcW w:w="1843" w:type="dxa"/>
            <w:vAlign w:val="center"/>
          </w:tcPr>
          <w:p>
            <w:pPr>
              <w:spacing w:after="0" w:line="240" w:lineRule="auto"/>
              <w:jc w:val="center"/>
              <w:rPr>
                <w:rFonts w:hint="eastAsia" w:ascii="仿宋_GB2312" w:hAnsi="宋体" w:eastAsia="仿宋_GB2312" w:cs="宋体"/>
                <w:b/>
                <w:sz w:val="21"/>
                <w:szCs w:val="21"/>
              </w:rPr>
            </w:pPr>
            <w:r>
              <w:rPr>
                <w:rFonts w:hint="eastAsia" w:ascii="仿宋_GB2312" w:hAnsi="宋体" w:eastAsia="仿宋_GB2312" w:cs="宋体"/>
                <w:b/>
                <w:sz w:val="21"/>
                <w:szCs w:val="21"/>
              </w:rPr>
              <w:t>收费方式/费率</w:t>
            </w:r>
          </w:p>
        </w:tc>
        <w:tc>
          <w:tcPr>
            <w:tcW w:w="2126" w:type="dxa"/>
            <w:vAlign w:val="center"/>
          </w:tcPr>
          <w:p>
            <w:pPr>
              <w:widowControl/>
              <w:spacing w:after="0" w:line="240" w:lineRule="auto"/>
              <w:jc w:val="center"/>
              <w:rPr>
                <w:rFonts w:hint="eastAsia" w:ascii="仿宋_GB2312" w:hAnsi="宋体" w:eastAsia="仿宋_GB2312" w:cs="宋体"/>
                <w:b/>
                <w:sz w:val="21"/>
                <w:szCs w:val="21"/>
              </w:rPr>
            </w:pPr>
            <w:r>
              <w:rPr>
                <w:rFonts w:hint="eastAsia" w:ascii="仿宋_GB2312" w:hAnsi="宋体" w:eastAsia="仿宋_GB2312" w:cs="宋体"/>
                <w:b/>
                <w:kern w:val="0"/>
                <w:sz w:val="21"/>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400" w:type="dxa"/>
            <w:vMerge w:val="restart"/>
            <w:vAlign w:val="center"/>
          </w:tcPr>
          <w:p>
            <w:pPr>
              <w:widowControl/>
              <w:spacing w:after="0" w:line="240" w:lineRule="auto"/>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申购费（前收费）</w:t>
            </w:r>
          </w:p>
        </w:tc>
        <w:tc>
          <w:tcPr>
            <w:tcW w:w="2409"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M＜100万元</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0.8%</w:t>
            </w:r>
          </w:p>
        </w:tc>
        <w:tc>
          <w:tcPr>
            <w:tcW w:w="2126" w:type="dxa"/>
            <w:vAlign w:val="center"/>
          </w:tcPr>
          <w:p>
            <w:pPr>
              <w:widowControl/>
              <w:spacing w:after="0" w:line="240" w:lineRule="auto"/>
              <w:jc w:val="center"/>
              <w:rPr>
                <w:rFonts w:hint="eastAsia" w:ascii="仿宋_GB2312" w:hAnsi="宋体" w:eastAsia="仿宋_GB2312" w:cs="宋体"/>
                <w:kern w:val="0"/>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spacing w:after="0" w:line="240" w:lineRule="auto"/>
              <w:jc w:val="left"/>
              <w:rPr>
                <w:rFonts w:hint="eastAsia" w:ascii="仿宋_GB2312" w:hAnsi="宋体" w:eastAsia="仿宋_GB2312" w:cs="宋体"/>
                <w:kern w:val="0"/>
                <w:sz w:val="21"/>
                <w:szCs w:val="21"/>
              </w:rPr>
            </w:pPr>
          </w:p>
        </w:tc>
        <w:tc>
          <w:tcPr>
            <w:tcW w:w="2409"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100万元≤M＜200万元</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0.6%</w:t>
            </w:r>
          </w:p>
        </w:tc>
        <w:tc>
          <w:tcPr>
            <w:tcW w:w="2126" w:type="dxa"/>
            <w:vAlign w:val="center"/>
          </w:tcPr>
          <w:p>
            <w:pPr>
              <w:widowControl/>
              <w:spacing w:after="0" w:line="240" w:lineRule="auto"/>
              <w:jc w:val="center"/>
              <w:rPr>
                <w:rFonts w:hint="eastAsia" w:ascii="仿宋_GB2312" w:hAnsi="宋体" w:eastAsia="仿宋_GB2312" w:cs="宋体"/>
                <w:kern w:val="0"/>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spacing w:after="0" w:line="240" w:lineRule="auto"/>
              <w:jc w:val="left"/>
              <w:rPr>
                <w:rFonts w:hint="eastAsia" w:ascii="仿宋_GB2312" w:hAnsi="宋体" w:eastAsia="仿宋_GB2312" w:cs="宋体"/>
                <w:kern w:val="0"/>
                <w:sz w:val="21"/>
                <w:szCs w:val="21"/>
              </w:rPr>
            </w:pPr>
          </w:p>
        </w:tc>
        <w:tc>
          <w:tcPr>
            <w:tcW w:w="2409"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200万元≤M＜500万元</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0.4%</w:t>
            </w:r>
          </w:p>
        </w:tc>
        <w:tc>
          <w:tcPr>
            <w:tcW w:w="2126" w:type="dxa"/>
            <w:vAlign w:val="center"/>
          </w:tcPr>
          <w:p>
            <w:pPr>
              <w:widowControl/>
              <w:spacing w:after="0" w:line="240" w:lineRule="auto"/>
              <w:jc w:val="center"/>
              <w:rPr>
                <w:rFonts w:hint="eastAsia" w:ascii="仿宋_GB2312" w:hAnsi="宋体" w:eastAsia="仿宋_GB2312" w:cs="宋体"/>
                <w:kern w:val="0"/>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spacing w:after="0" w:line="240" w:lineRule="auto"/>
              <w:jc w:val="left"/>
              <w:rPr>
                <w:rFonts w:hint="eastAsia" w:ascii="仿宋_GB2312" w:hAnsi="宋体" w:eastAsia="仿宋_GB2312" w:cs="宋体"/>
                <w:kern w:val="0"/>
                <w:sz w:val="21"/>
                <w:szCs w:val="21"/>
              </w:rPr>
            </w:pPr>
          </w:p>
        </w:tc>
        <w:tc>
          <w:tcPr>
            <w:tcW w:w="2409"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500万元≤M</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1000元每笔</w:t>
            </w:r>
          </w:p>
        </w:tc>
        <w:tc>
          <w:tcPr>
            <w:tcW w:w="2126" w:type="dxa"/>
            <w:vAlign w:val="center"/>
          </w:tcPr>
          <w:p>
            <w:pPr>
              <w:widowControl/>
              <w:spacing w:after="0" w:line="240" w:lineRule="auto"/>
              <w:jc w:val="center"/>
              <w:rPr>
                <w:rFonts w:hint="eastAsia" w:ascii="仿宋_GB2312" w:hAnsi="宋体" w:eastAsia="仿宋_GB2312" w:cs="宋体"/>
                <w:kern w:val="0"/>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spacing w:after="0" w:line="240" w:lineRule="auto"/>
              <w:jc w:val="center"/>
              <w:rPr>
                <w:rFonts w:hint="eastAsia" w:ascii="仿宋_GB2312" w:hAnsi="宋体" w:eastAsia="仿宋_GB2312" w:cs="宋体"/>
                <w:kern w:val="0"/>
                <w:sz w:val="21"/>
                <w:szCs w:val="21"/>
              </w:rPr>
            </w:pPr>
            <w:r>
              <w:rPr>
                <w:rFonts w:hint="eastAsia" w:ascii="仿宋_GB2312" w:hAnsi="宋体" w:eastAsia="仿宋_GB2312" w:cs="宋体"/>
                <w:kern w:val="0"/>
                <w:sz w:val="21"/>
                <w:szCs w:val="21"/>
              </w:rPr>
              <w:t>赎回费</w:t>
            </w:r>
          </w:p>
        </w:tc>
        <w:tc>
          <w:tcPr>
            <w:tcW w:w="2409" w:type="dxa"/>
          </w:tcPr>
          <w:p>
            <w:pPr>
              <w:spacing w:after="0" w:line="240" w:lineRule="auto"/>
              <w:jc w:val="center"/>
              <w:rPr>
                <w:rFonts w:hint="eastAsia" w:ascii="仿宋_GB2312" w:hAnsi="宋体" w:eastAsia="仿宋_GB2312" w:cs="宋体"/>
                <w:sz w:val="21"/>
                <w:szCs w:val="21"/>
              </w:rPr>
            </w:pPr>
            <w:r>
              <w:rPr>
                <w:rFonts w:ascii="仿宋_GB2312" w:eastAsia="仿宋_GB2312"/>
                <w:szCs w:val="21"/>
              </w:rPr>
              <w:t>90</w:t>
            </w:r>
            <w:r>
              <w:rPr>
                <w:rFonts w:hint="eastAsia" w:ascii="仿宋_GB2312" w:eastAsia="仿宋_GB2312"/>
                <w:szCs w:val="21"/>
              </w:rPr>
              <w:t>天≤</w:t>
            </w:r>
            <w:bookmarkStart w:id="0" w:name="_GoBack"/>
            <w:bookmarkEnd w:id="0"/>
            <w:r>
              <w:rPr>
                <w:rFonts w:hint="eastAsia" w:ascii="仿宋_GB2312" w:hAnsi="宋体" w:eastAsia="仿宋_GB2312" w:cs="宋体"/>
                <w:sz w:val="21"/>
                <w:szCs w:val="21"/>
              </w:rPr>
              <w:t>N＜180天</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0.5%</w:t>
            </w:r>
          </w:p>
        </w:tc>
        <w:tc>
          <w:tcPr>
            <w:tcW w:w="1843" w:type="dxa"/>
            <w:vAlign w:val="center"/>
          </w:tcPr>
          <w:p>
            <w:pPr>
              <w:spacing w:after="0" w:line="240" w:lineRule="auto"/>
              <w:jc w:val="center"/>
              <w:rPr>
                <w:rFonts w:hint="eastAsia" w:ascii="仿宋_GB2312" w:hAnsi="宋体" w:eastAsia="仿宋_GB2312" w:cs="宋体"/>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spacing w:after="0" w:line="240" w:lineRule="auto"/>
              <w:jc w:val="left"/>
              <w:rPr>
                <w:rFonts w:hint="eastAsia" w:ascii="仿宋_GB2312" w:hAnsi="仿宋_GB2312" w:eastAsia="仿宋_GB2312" w:cs="仿宋_GB2312"/>
                <w:kern w:val="0"/>
                <w:sz w:val="21"/>
                <w:szCs w:val="21"/>
              </w:rPr>
            </w:pPr>
          </w:p>
        </w:tc>
        <w:tc>
          <w:tcPr>
            <w:tcW w:w="3000" w:type="dxa"/>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180天≤N</w:t>
            </w:r>
          </w:p>
        </w:tc>
        <w:tc>
          <w:tcPr>
            <w:tcW w:w="1843" w:type="dxa"/>
            <w:vAlign w:val="center"/>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0</w:t>
            </w:r>
          </w:p>
        </w:tc>
        <w:tc>
          <w:tcPr>
            <w:tcW w:w="1843" w:type="dxa"/>
            <w:vAlign w:val="center"/>
          </w:tcPr>
          <w:p>
            <w:pPr>
              <w:spacing w:after="0" w:line="240" w:lineRule="auto"/>
              <w:jc w:val="center"/>
              <w:rPr>
                <w:rFonts w:hint="eastAsia" w:ascii="仿宋_GB2312" w:hAnsi="仿宋_GB2312" w:eastAsia="仿宋_GB2312" w:cs="仿宋_GB2312"/>
                <w:sz w:val="21"/>
                <w:szCs w:val="21"/>
              </w:rPr>
            </w:pPr>
          </w:p>
        </w:tc>
      </w:tr>
    </w:tbl>
    <w:p>
      <w:pPr>
        <w:spacing w:after="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1、对于不受最短持有期限制的红利再投资所得基金份额，对持续持有期少于7日的投资者收取1.5%的赎回费，并全额计入基金财产。2、本基金管理人对养老金客户实施特定申购费率，请详见本基金招募说明书。销售机构若有其他费率优惠请见基金管理人或其他销售机构的有关公告或通知。</w:t>
      </w:r>
    </w:p>
    <w:p>
      <w:pPr>
        <w:spacing w:after="0"/>
        <w:jc w:val="left"/>
        <w:rPr>
          <w:rFonts w:hint="eastAsia" w:ascii="仿宋_GB2312" w:hAnsi="仿宋_GB2312" w:eastAsia="仿宋_GB2312" w:cs="仿宋_GB2312"/>
          <w:b/>
          <w:sz w:val="21"/>
          <w:szCs w:val="21"/>
        </w:rPr>
      </w:pPr>
      <w:r>
        <w:rPr>
          <w:rFonts w:hint="eastAsia" w:ascii="仿宋_GB2312" w:eastAsia="仿宋_GB2312"/>
          <w:b/>
          <w:sz w:val="21"/>
          <w:szCs w:val="21"/>
        </w:rPr>
        <w:t>（二）基金运作相关费用</w:t>
      </w:r>
    </w:p>
    <w:p>
      <w:pPr>
        <w:spacing w:after="0"/>
        <w:jc w:val="left"/>
        <w:rPr>
          <w:rFonts w:hint="eastAsia" w:ascii="仿宋_GB2312" w:eastAsia="仿宋_GB2312"/>
          <w:b/>
          <w:sz w:val="21"/>
          <w:szCs w:val="21"/>
        </w:rPr>
      </w:pPr>
      <w:r>
        <w:rPr>
          <w:rFonts w:hint="eastAsia" w:ascii="仿宋_GB2312" w:eastAsia="仿宋_GB2312"/>
          <w:sz w:val="21"/>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809"/>
        <w:gridCol w:w="2886"/>
        <w:gridCol w:w="281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ascii="仿宋_GB2312" w:eastAsia="仿宋_GB2312"/>
                <w:b/>
                <w:sz w:val="21"/>
                <w:szCs w:val="21"/>
              </w:rPr>
            </w:pPr>
            <w:r>
              <w:rPr>
                <w:rFonts w:ascii="仿宋_GB2312" w:eastAsia="仿宋_GB2312"/>
                <w:b/>
                <w:sz w:val="21"/>
                <w:szCs w:val="21"/>
              </w:rPr>
              <w:t>费用类别</w:t>
            </w:r>
          </w:p>
        </w:tc>
        <w:tc>
          <w:tcPr>
            <w:tcW w:w="3080" w:type="dxa"/>
            <w:vAlign w:val="center"/>
          </w:tcPr>
          <w:p>
            <w:pPr>
              <w:spacing w:after="0" w:line="240" w:lineRule="auto"/>
              <w:rPr>
                <w:rFonts w:ascii="仿宋_GB2312" w:eastAsia="仿宋_GB2312"/>
                <w:b/>
                <w:sz w:val="21"/>
                <w:szCs w:val="21"/>
              </w:rPr>
            </w:pPr>
            <w:r>
              <w:rPr>
                <w:rFonts w:ascii="仿宋_GB2312" w:eastAsia="仿宋_GB2312"/>
                <w:b/>
                <w:sz w:val="21"/>
                <w:szCs w:val="21"/>
              </w:rPr>
              <w:t>收费方式/年费率或金额</w:t>
            </w:r>
          </w:p>
        </w:tc>
        <w:tc>
          <w:tcPr>
            <w:tcW w:w="2542" w:type="dxa"/>
          </w:tcPr>
          <w:p>
            <w:pPr>
              <w:spacing w:after="0" w:line="240" w:lineRule="auto"/>
              <w:rPr>
                <w:rFonts w:ascii="仿宋_GB2312" w:eastAsia="仿宋_GB2312"/>
                <w:b/>
                <w:sz w:val="21"/>
                <w:szCs w:val="21"/>
              </w:rPr>
            </w:pPr>
            <w:r>
              <w:rPr>
                <w:rFonts w:ascii="仿宋_GB2312" w:eastAsia="仿宋_GB2312"/>
                <w:b/>
                <w:sz w:val="21"/>
                <w:szCs w:val="21"/>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管理费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0.60%</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托管费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0.17%</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销售服务费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审计费用</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50000.00</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信息披露费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120000.00</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指数许可使用费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其他费用</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详见本基金招募说明书“基金的费用与税收”部分</w:t>
            </w:r>
          </w:p>
        </w:tc>
        <w:tc>
          <w:tcPr>
            <w:tcW w:w="3078" w:type="dxa"/>
          </w:tcPr>
          <w:p>
            <w:pPr>
              <w:spacing w:after="0" w:line="240" w:lineRule="auto"/>
              <w:rPr>
                <w:rFonts w:hint="eastAsia" w:ascii="仿宋_GB2312" w:eastAsia="仿宋_GB2312"/>
                <w:sz w:val="21"/>
                <w:szCs w:val="21"/>
              </w:rPr>
            </w:pPr>
          </w:p>
        </w:tc>
      </w:tr>
    </w:tbl>
    <w:p>
      <w:pPr>
        <w:spacing w:after="0"/>
        <w:jc w:val="left"/>
        <w:rPr>
          <w:rFonts w:hint="eastAsia" w:ascii="仿宋_GB2312" w:eastAsia="仿宋_GB2312"/>
          <w:sz w:val="21"/>
          <w:szCs w:val="21"/>
        </w:rPr>
      </w:pPr>
      <w:r>
        <w:rPr>
          <w:rFonts w:hint="eastAsia" w:ascii="仿宋_GB2312" w:eastAsia="仿宋_GB2312"/>
          <w:sz w:val="21"/>
          <w:szCs w:val="21"/>
        </w:rPr>
        <w:t>注：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spacing w:after="0"/>
        <w:jc w:val="left"/>
        <w:rPr>
          <w:rFonts w:hint="eastAsia" w:ascii="仿宋_GB2312" w:eastAsia="仿宋_GB2312"/>
          <w:b/>
          <w:sz w:val="21"/>
          <w:szCs w:val="21"/>
        </w:rPr>
      </w:pPr>
      <w:r>
        <w:rPr>
          <w:rFonts w:hint="eastAsia" w:ascii="仿宋_GB2312" w:eastAsia="仿宋_GB2312"/>
          <w:b/>
          <w:sz w:val="21"/>
          <w:szCs w:val="21"/>
        </w:rPr>
        <w:t>（三）基金运作综合费用测算</w:t>
      </w:r>
    </w:p>
    <w:p>
      <w:pPr>
        <w:spacing w:after="0"/>
        <w:jc w:val="left"/>
        <w:rPr>
          <w:rFonts w:hint="eastAsia" w:ascii="仿宋_GB2312" w:eastAsia="仿宋_GB2312"/>
          <w:b/>
          <w:sz w:val="21"/>
          <w:szCs w:val="21"/>
        </w:rPr>
      </w:pPr>
      <w:r>
        <w:rPr>
          <w:rFonts w:hint="eastAsia" w:ascii="仿宋_GB2312" w:eastAsia="仿宋_GB2312"/>
          <w:sz w:val="21"/>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b/>
                <w:sz w:val="21"/>
                <w:szCs w:val="21"/>
              </w:rPr>
            </w:pPr>
          </w:p>
        </w:tc>
        <w:tc>
          <w:tcPr>
            <w:tcW w:w="5342" w:type="dxa"/>
          </w:tcPr>
          <w:p>
            <w:pPr>
              <w:spacing w:after="0" w:line="240" w:lineRule="auto"/>
              <w:rPr>
                <w:rFonts w:hint="eastAsia" w:ascii="仿宋_GB2312" w:eastAsia="仿宋_GB2312"/>
                <w:b/>
                <w:sz w:val="21"/>
                <w:szCs w:val="21"/>
              </w:rPr>
            </w:pPr>
            <w:r>
              <w:rPr>
                <w:rFonts w:hint="eastAsia" w:ascii="仿宋_GB2312" w:eastAsia="仿宋_GB2312"/>
                <w:b/>
                <w:sz w:val="21"/>
                <w:szCs w:val="21"/>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w:t>
            </w:r>
          </w:p>
        </w:tc>
      </w:tr>
    </w:tbl>
    <w:p>
      <w:pPr>
        <w:spacing w:after="0"/>
        <w:jc w:val="left"/>
        <w:rPr>
          <w:rFonts w:hint="eastAsia" w:ascii="仿宋" w:hAnsi="仿宋" w:eastAsia="仿宋" w:cs="仿宋"/>
          <w:sz w:val="21"/>
          <w:szCs w:val="21"/>
        </w:rPr>
      </w:pPr>
      <w:r>
        <w:rPr>
          <w:rFonts w:hint="eastAsia" w:ascii="仿宋_GB2312" w:eastAsia="仿宋_GB2312"/>
          <w:sz w:val="21"/>
          <w:szCs w:val="21"/>
        </w:rPr>
        <w:t>注：本基金尚未披露基金年报，暂不披露该内容。</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四、风险揭示与重要提示</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（一）风险揭示</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本基金不提供任何保证。投资者可能损失投资本金。</w:t>
      </w:r>
    </w:p>
    <w:p>
      <w:pPr>
        <w:spacing w:after="0"/>
        <w:ind w:firstLine="420"/>
        <w:jc w:val="left"/>
        <w:rPr>
          <w:rFonts w:hint="eastAsia" w:ascii="仿宋_GB2312" w:eastAsia="仿宋_GB2312"/>
          <w:sz w:val="21"/>
          <w:szCs w:val="21"/>
        </w:rPr>
      </w:pPr>
      <w:r>
        <w:rPr>
          <w:rFonts w:hint="eastAsia" w:ascii="仿宋_GB2312" w:eastAsia="仿宋_GB2312"/>
          <w:sz w:val="21"/>
          <w:szCs w:val="21"/>
        </w:rPr>
        <w:t>投资有风险，投资者购买基金时应认真阅读本基金的《招募说明书》等销售文件。</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基金份额持有人须了解并承受以下风险：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1、市场风险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（1）政策风险、（2）经济周期风险、（3）利率风险、（4）上市公司经营风险、（5）购买力风险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2、管理风险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3、流动性风险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4、信用风险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5、本基金的特有风险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本基金为混合型基金中基金，本基金投资于经中国证监会依法核准或注册的公开募集证券投资基金的基金份额的资产不低于本基金资产的80%；投资于股票（含存托凭证）、股票型基金（包括股票指数基金）、混合型基金等权益类资产占基金资产的比例为5%-40%（其中，投资于境内股票、股票型基金、计入权益类资产的混合型基金占基金资产的比例不低于5%，投资于港股通股票的比例占股票资产的0%-50%）；投资于QDII基金和香港互认基金的比例合计不超过基金资产的20%；投资于货币市场基金的比例不超过基金资产的15%；投资于商品基金（含商品期货基金和黄金ETF）的比例不超过基金资产的10%。因此本基金所持有的基金的业绩表现、持有基金的基金管理人水平等因素将影响到本基金的基金业绩表现。</w:t>
      </w:r>
    </w:p>
    <w:p>
      <w:pPr>
        <w:spacing w:after="0"/>
        <w:ind w:firstLine="420"/>
        <w:jc w:val="left"/>
        <w:rPr>
          <w:rFonts w:hint="eastAsia" w:ascii="仿宋_GB2312" w:eastAsia="仿宋_GB2312"/>
          <w:sz w:val="21"/>
          <w:szCs w:val="21"/>
        </w:rPr>
      </w:pPr>
      <w:r>
        <w:rPr>
          <w:rFonts w:hint="eastAsia" w:ascii="仿宋_GB2312" w:eastAsia="仿宋_GB2312"/>
          <w:sz w:val="21"/>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spacing w:after="0"/>
        <w:ind w:firstLine="420"/>
        <w:jc w:val="left"/>
        <w:rPr>
          <w:rFonts w:hint="eastAsia" w:ascii="仿宋_GB2312" w:eastAsia="仿宋_GB2312"/>
          <w:sz w:val="21"/>
          <w:szCs w:val="21"/>
        </w:rPr>
      </w:pPr>
      <w:r>
        <w:rPr>
          <w:rFonts w:hint="eastAsia" w:ascii="仿宋_GB2312" w:eastAsia="仿宋_GB2312"/>
          <w:sz w:val="21"/>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spacing w:after="0"/>
        <w:ind w:firstLine="420"/>
        <w:jc w:val="left"/>
        <w:rPr>
          <w:rFonts w:hint="eastAsia" w:ascii="仿宋_GB2312" w:eastAsia="仿宋_GB2312"/>
          <w:sz w:val="21"/>
          <w:szCs w:val="21"/>
        </w:rPr>
      </w:pPr>
      <w:r>
        <w:rPr>
          <w:rFonts w:hint="eastAsia" w:ascii="仿宋_GB2312" w:eastAsia="仿宋_GB2312"/>
          <w:sz w:val="21"/>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spacing w:after="0"/>
        <w:ind w:firstLine="420"/>
        <w:jc w:val="left"/>
        <w:rPr>
          <w:rFonts w:hint="eastAsia" w:ascii="仿宋_GB2312" w:eastAsia="仿宋_GB2312"/>
          <w:sz w:val="21"/>
          <w:szCs w:val="21"/>
        </w:rPr>
      </w:pPr>
      <w:r>
        <w:rPr>
          <w:rFonts w:hint="eastAsia" w:ascii="仿宋_GB2312" w:eastAsia="仿宋_GB2312"/>
          <w:sz w:val="21"/>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spacing w:after="0"/>
        <w:ind w:firstLine="420"/>
        <w:jc w:val="left"/>
        <w:rPr>
          <w:rFonts w:hint="eastAsia" w:ascii="仿宋_GB2312" w:eastAsia="仿宋_GB2312"/>
          <w:sz w:val="21"/>
          <w:szCs w:val="21"/>
        </w:rPr>
      </w:pPr>
      <w:r>
        <w:rPr>
          <w:rFonts w:hint="eastAsia" w:ascii="仿宋_GB2312" w:eastAsia="仿宋_GB2312"/>
          <w:sz w:val="21"/>
          <w:szCs w:val="21"/>
        </w:rPr>
        <w:t>（6）本基金的投资范围包括QDII基金，因此本基金可能间接面临海外市场风险、汇率风险、法律和政治风险、会计制度风险、税务风险等风险。并且，由于本基金可以投资于QDII基金，本基金的申购/赎回确认日、支付赎回款项日以及份额净值公告日等可能晚于一般基金。</w:t>
      </w:r>
    </w:p>
    <w:p>
      <w:pPr>
        <w:spacing w:after="0"/>
        <w:ind w:firstLine="420"/>
        <w:jc w:val="left"/>
        <w:rPr>
          <w:rFonts w:hint="eastAsia" w:ascii="仿宋_GB2312" w:eastAsia="仿宋_GB2312"/>
          <w:sz w:val="21"/>
          <w:szCs w:val="21"/>
        </w:rPr>
      </w:pPr>
      <w:r>
        <w:rPr>
          <w:rFonts w:hint="eastAsia" w:ascii="仿宋_GB2312" w:eastAsia="仿宋_GB2312"/>
          <w:sz w:val="21"/>
          <w:szCs w:val="21"/>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（8）本基金可投资创业板股票，创业板个股上市后的前五个交易日不设价格涨跌幅限制，第六个交易日开始涨跌幅限制比例为20%。</w:t>
      </w:r>
    </w:p>
    <w:p>
      <w:pPr>
        <w:spacing w:after="0"/>
        <w:ind w:firstLine="420"/>
        <w:jc w:val="left"/>
        <w:rPr>
          <w:rFonts w:hint="eastAsia" w:ascii="仿宋_GB2312" w:eastAsia="仿宋_GB2312"/>
          <w:sz w:val="21"/>
          <w:szCs w:val="21"/>
        </w:rPr>
      </w:pPr>
      <w:r>
        <w:rPr>
          <w:rFonts w:hint="eastAsia" w:ascii="仿宋_GB2312" w:eastAsia="仿宋_GB2312"/>
          <w:sz w:val="21"/>
          <w:szCs w:val="21"/>
        </w:rPr>
        <w:t>（9）投资资产支持证券的特定风险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（10）投资流通受限证券的特定风险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spacing w:after="0"/>
        <w:ind w:firstLine="420"/>
        <w:jc w:val="left"/>
        <w:rPr>
          <w:rFonts w:hint="eastAsia" w:ascii="仿宋_GB2312" w:eastAsia="仿宋_GB2312"/>
          <w:sz w:val="21"/>
          <w:szCs w:val="21"/>
        </w:rPr>
      </w:pPr>
      <w:r>
        <w:rPr>
          <w:rFonts w:hint="eastAsia" w:ascii="仿宋_GB2312" w:eastAsia="仿宋_GB2312"/>
          <w:sz w:val="21"/>
          <w:szCs w:val="21"/>
        </w:rPr>
        <w:t>（11）通过内地与香港股票市场交易互联互通机制投资于香港证券市场股票和交易型开放式基金的风险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本基金的投资范围包括港股通股票、港股通ETF，会面临港股通机制下因投资环境、投资标的、市场制度以及交易规则等差异带来的特有风险：1）投资于香港证券市场的特有风险 2）通过内地与香港股票市场交易互联互通机制投资的特有风险 3）本基金可根据投资策略需要或不同配置地市场环境的变化，选择将部分基金资产投资于港股通股票及港股通ETF或选择不将基金资产投资于港股通股票及港股通ETF，基金资产并非必然投资港股通股票及港股通ETF。</w:t>
      </w:r>
    </w:p>
    <w:p>
      <w:pPr>
        <w:spacing w:after="0"/>
        <w:ind w:firstLine="420"/>
        <w:jc w:val="left"/>
        <w:rPr>
          <w:rFonts w:hint="eastAsia" w:ascii="仿宋_GB2312" w:eastAsia="仿宋_GB2312"/>
          <w:sz w:val="21"/>
          <w:szCs w:val="21"/>
        </w:rPr>
      </w:pPr>
      <w:r>
        <w:rPr>
          <w:rFonts w:hint="eastAsia" w:ascii="仿宋_GB2312" w:eastAsia="仿宋_GB2312"/>
          <w:sz w:val="21"/>
          <w:szCs w:val="21"/>
        </w:rPr>
        <w:t>（12）投资香港互认基金的特有风险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香港互认基金是指依照香港法律在香港设立、运作和公开销售，并经中国证监会批准在内地公开销售的单位信托、互惠基金或者其他形式的集体投资计划，香港互认基金管理人委托内地符合条件的机构作为代理人办理基金在境内的相关业务。本基金可投资于香港互认基金，主要存在如下风险：1）香港互认基金境外投资风险 2）香港基金互认机制相关风险。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（13）投资公募REITs可能面临的风险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本基金根据投资策略需要或市场环境变化，可选择将部分基金资产投资于公募REITs，但本基金并非必然投资公募REITs投资公募REITs可能面临以下风险，包括但不限于：1）基金价格波动风险 2）基础设施项目运营风险 3）基金份额交易价格折溢价风险 4）流动性风险 5）终止上市风险 6）政策调整风险 7）利益冲突风险 8）估值风险 9）市场风险 10）公募REITs相关法律法规和交易所业务规则，可能根据市场情况进行修改，或者制定新的法律法规和业务规则，投资者应当及时予以关注和了解。</w:t>
      </w:r>
    </w:p>
    <w:p>
      <w:pPr>
        <w:spacing w:after="0"/>
        <w:ind w:firstLine="420"/>
        <w:jc w:val="left"/>
        <w:rPr>
          <w:rFonts w:hint="eastAsia" w:ascii="仿宋_GB2312" w:eastAsia="仿宋_GB2312"/>
          <w:sz w:val="21"/>
          <w:szCs w:val="21"/>
        </w:rPr>
      </w:pPr>
      <w:r>
        <w:rPr>
          <w:rFonts w:hint="eastAsia" w:ascii="仿宋_GB2312" w:eastAsia="仿宋_GB2312"/>
          <w:sz w:val="21"/>
          <w:szCs w:val="21"/>
        </w:rPr>
        <w:t>（14）本基金可投资于商品基金，因此将间接承担商品基金可能面临的商品价格波动风险、投资商品期货合约的风险、盯市风险等商品投资风险。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（15）投资科创板股票的特定风险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spacing w:after="0"/>
        <w:ind w:firstLine="420"/>
        <w:jc w:val="left"/>
        <w:rPr>
          <w:rFonts w:hint="eastAsia" w:ascii="仿宋_GB2312" w:eastAsia="仿宋_GB2312"/>
          <w:sz w:val="21"/>
          <w:szCs w:val="21"/>
        </w:rPr>
      </w:pPr>
      <w:r>
        <w:rPr>
          <w:rFonts w:hint="eastAsia" w:ascii="仿宋_GB2312" w:eastAsia="仿宋_GB2312"/>
          <w:sz w:val="21"/>
          <w:szCs w:val="21"/>
        </w:rPr>
        <w:t>（16）投资存托凭证的特定风险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本基金可根据投资策略需要或市场环境的变化，选择将部分基金资产投资于存托凭证或选择不将基金资产投资于存托凭证，基金资产并非必然投资存托凭证。</w:t>
      </w:r>
    </w:p>
    <w:p>
      <w:pPr>
        <w:spacing w:after="0"/>
        <w:ind w:firstLine="420"/>
        <w:jc w:val="left"/>
        <w:rPr>
          <w:rFonts w:hint="eastAsia" w:ascii="仿宋_GB2312" w:eastAsia="仿宋_GB2312"/>
          <w:sz w:val="21"/>
          <w:szCs w:val="21"/>
        </w:rPr>
      </w:pPr>
      <w:r>
        <w:rPr>
          <w:rFonts w:hint="eastAsia" w:ascii="仿宋_GB2312" w:eastAsia="仿宋_GB2312"/>
          <w:sz w:val="21"/>
          <w:szCs w:val="21"/>
        </w:rPr>
        <w:t>6、基金合同提前终止风险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本基金连续50个工作日出现基金份额持有人数量不满200人或基金资产净值低于5000万元情形时，基金合同终止，不需召开基金份额持有人大会。投资者可能面临基金合同提前终止的风险。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7、本基金法律文件风险收益特征表述与销售机构基金风险评价可能不一致的风险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spacing w:after="0"/>
        <w:ind w:firstLine="420"/>
        <w:jc w:val="left"/>
        <w:rPr>
          <w:rFonts w:hint="eastAsia" w:ascii="仿宋_GB2312" w:eastAsia="仿宋_GB2312"/>
          <w:sz w:val="21"/>
          <w:szCs w:val="21"/>
        </w:rPr>
      </w:pPr>
      <w:r>
        <w:rPr>
          <w:rFonts w:hint="eastAsia" w:ascii="仿宋_GB2312" w:eastAsia="仿宋_GB2312"/>
          <w:sz w:val="21"/>
          <w:szCs w:val="21"/>
        </w:rPr>
        <w:t>8、其他风险</w:t>
      </w:r>
    </w:p>
    <w:p>
      <w:pPr>
        <w:spacing w:after="0"/>
        <w:jc w:val="left"/>
        <w:rPr>
          <w:rFonts w:ascii="仿宋_GB2312" w:eastAsia="仿宋_GB2312"/>
          <w:b/>
          <w:sz w:val="21"/>
          <w:szCs w:val="21"/>
        </w:rPr>
      </w:pPr>
      <w:r>
        <w:rPr>
          <w:rFonts w:ascii="仿宋_GB2312" w:eastAsia="仿宋_GB2312"/>
          <w:b/>
          <w:sz w:val="21"/>
          <w:szCs w:val="21"/>
        </w:rPr>
        <w:t>（二）重要提示</w:t>
      </w:r>
    </w:p>
    <w:p>
      <w:pPr>
        <w:spacing w:after="0"/>
        <w:ind w:firstLine="420"/>
        <w:jc w:val="left"/>
        <w:rPr>
          <w:rFonts w:hint="eastAsia" w:ascii="仿宋_GB2312" w:eastAsia="仿宋_GB2312"/>
          <w:sz w:val="21"/>
          <w:szCs w:val="21"/>
        </w:rPr>
      </w:pPr>
      <w:r>
        <w:rPr>
          <w:rFonts w:hint="eastAsia" w:ascii="仿宋_GB2312" w:eastAsia="仿宋_GB2312"/>
          <w:sz w:val="21"/>
          <w:szCs w:val="21"/>
        </w:rPr>
        <w:t>中国证监会对本基金募集的核准或注册，并不表明其对本基金的价值和收益作出实质性判断或保证，也不表明投资于本基金没有风险。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基金管理人依照恪尽职守、诚实信用、谨慎勤勉的原则管理和运用基金财产，但不保证基金一定盈利，也不保证最低收益。</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spacing w:after="0"/>
        <w:ind w:firstLine="420"/>
        <w:jc w:val="left"/>
        <w:rPr>
          <w:rFonts w:hint="eastAsia" w:ascii="仿宋_GB2312" w:eastAsia="仿宋_GB2312"/>
          <w:sz w:val="21"/>
          <w:szCs w:val="21"/>
        </w:rPr>
      </w:pPr>
      <w:r>
        <w:rPr>
          <w:rFonts w:hint="eastAsia" w:ascii="仿宋_GB2312" w:eastAsia="仿宋_GB2312"/>
          <w:sz w:val="21"/>
          <w:szCs w:val="21"/>
        </w:rPr>
        <w:t>销售机构的风险等级评价与基金法律文件中风险收益特征的表述可能存在不同，投资人在购买本基金时需按照销售机构的要求完成风险承受能力与产品风险之间的匹配检验。</w:t>
      </w:r>
    </w:p>
    <w:p>
      <w:pPr>
        <w:spacing w:after="0"/>
        <w:ind w:firstLine="420"/>
        <w:jc w:val="left"/>
        <w:rPr>
          <w:rFonts w:hint="eastAsia" w:ascii="仿宋_GB2312" w:eastAsia="仿宋_GB2312"/>
          <w:sz w:val="21"/>
          <w:szCs w:val="21"/>
        </w:rPr>
      </w:pPr>
      <w:r>
        <w:rPr>
          <w:rFonts w:hint="eastAsia" w:ascii="仿宋_GB2312" w:hAnsi="仿宋_GB2312" w:eastAsia="仿宋_GB2312"/>
          <w:b/>
          <w:kern w:val="0"/>
          <w:sz w:val="21"/>
        </w:rPr>
        <w:t>▲▲因基金合同而产生的或与基金合同有关的一切争议，如经友好协商未能解决的，任何一方均有权将争议提交深圳国际仲裁院，按其届时有效的仲裁规则进行仲裁。仲裁地点为深圳市。</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spacing w:after="0"/>
        <w:jc w:val="left"/>
        <w:rPr>
          <w:rFonts w:ascii="仿宋_GB2312" w:eastAsia="仿宋_GB2312"/>
          <w:b/>
          <w:sz w:val="21"/>
          <w:szCs w:val="21"/>
        </w:rPr>
      </w:pPr>
      <w:r>
        <w:rPr>
          <w:rFonts w:ascii="仿宋_GB2312" w:eastAsia="仿宋_GB2312"/>
          <w:b/>
          <w:sz w:val="21"/>
          <w:szCs w:val="21"/>
        </w:rPr>
        <w:t>五、其他资料查询方式</w:t>
      </w:r>
    </w:p>
    <w:p>
      <w:pPr>
        <w:spacing w:after="0"/>
        <w:ind w:firstLine="420"/>
        <w:jc w:val="left"/>
        <w:rPr>
          <w:rFonts w:hint="eastAsia" w:ascii="仿宋_GB2312" w:eastAsia="仿宋_GB2312"/>
          <w:sz w:val="21"/>
          <w:szCs w:val="21"/>
        </w:rPr>
      </w:pPr>
      <w:r>
        <w:rPr>
          <w:rFonts w:hint="eastAsia" w:ascii="仿宋_GB2312" w:eastAsia="仿宋_GB2312"/>
          <w:sz w:val="21"/>
          <w:szCs w:val="21"/>
        </w:rPr>
        <w:t>以下资料详见交银施罗德基金官方网站[www.fund001.com][客服电话：400-700-5000]</w:t>
      </w:r>
    </w:p>
    <w:p>
      <w:pPr>
        <w:spacing w:after="0"/>
        <w:ind w:firstLine="420"/>
        <w:jc w:val="left"/>
        <w:rPr>
          <w:rFonts w:hint="eastAsia" w:ascii="仿宋_GB2312" w:eastAsia="仿宋_GB2312"/>
          <w:sz w:val="21"/>
          <w:szCs w:val="21"/>
        </w:rPr>
      </w:pPr>
      <w:r>
        <w:rPr>
          <w:rFonts w:hint="eastAsia" w:ascii="仿宋_GB2312" w:eastAsia="仿宋_GB2312"/>
          <w:sz w:val="21"/>
          <w:szCs w:val="21"/>
        </w:rPr>
        <w:t>●《交银施罗德臻享多资产三个月持有期混合型基金中基金（FOF）基金合同》、</w:t>
      </w:r>
    </w:p>
    <w:p>
      <w:pPr>
        <w:spacing w:after="0"/>
        <w:ind w:firstLine="420"/>
        <w:jc w:val="left"/>
        <w:rPr>
          <w:rFonts w:hint="eastAsia" w:ascii="仿宋_GB2312" w:eastAsia="仿宋_GB2312"/>
          <w:sz w:val="21"/>
          <w:szCs w:val="21"/>
        </w:rPr>
      </w:pPr>
      <w:r>
        <w:rPr>
          <w:rFonts w:hint="eastAsia" w:ascii="仿宋_GB2312" w:eastAsia="仿宋_GB2312"/>
          <w:sz w:val="21"/>
          <w:szCs w:val="21"/>
        </w:rPr>
        <w:t>《交银施罗德臻享多资产三个月持有期混合型基金中基金（FOF）托管协议》、</w:t>
      </w:r>
    </w:p>
    <w:p>
      <w:pPr>
        <w:spacing w:after="0"/>
        <w:ind w:firstLine="420"/>
        <w:jc w:val="left"/>
        <w:rPr>
          <w:rFonts w:hint="eastAsia" w:ascii="仿宋_GB2312" w:eastAsia="仿宋_GB2312"/>
          <w:sz w:val="21"/>
          <w:szCs w:val="21"/>
        </w:rPr>
      </w:pPr>
      <w:r>
        <w:rPr>
          <w:rFonts w:hint="eastAsia" w:ascii="仿宋_GB2312" w:eastAsia="仿宋_GB2312"/>
          <w:sz w:val="21"/>
          <w:szCs w:val="21"/>
        </w:rPr>
        <w:t>《交银施罗德臻享多资产三个月持有期混合型基金中基金（FOF）招募说明书》</w:t>
      </w:r>
    </w:p>
    <w:p>
      <w:pPr>
        <w:spacing w:after="0"/>
        <w:ind w:firstLine="420"/>
        <w:jc w:val="left"/>
        <w:rPr>
          <w:rFonts w:hint="eastAsia" w:ascii="仿宋_GB2312" w:eastAsia="仿宋_GB2312"/>
          <w:sz w:val="21"/>
          <w:szCs w:val="21"/>
        </w:rPr>
      </w:pPr>
      <w:r>
        <w:rPr>
          <w:rFonts w:hint="eastAsia" w:ascii="仿宋_GB2312" w:eastAsia="仿宋_GB2312"/>
          <w:sz w:val="21"/>
          <w:szCs w:val="21"/>
        </w:rPr>
        <w:t>●定期报告，包括基金季度报告、中期报告和年度报告</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●基金份额净值</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●基金销售机构及联系方式</w:t>
      </w:r>
    </w:p>
    <w:p>
      <w:pPr>
        <w:spacing w:after="0"/>
        <w:ind w:firstLine="420"/>
        <w:jc w:val="left"/>
        <w:rPr>
          <w:rFonts w:hint="eastAsia" w:ascii="仿宋_GB2312" w:eastAsia="仿宋_GB2312"/>
          <w:sz w:val="21"/>
          <w:szCs w:val="21"/>
        </w:rPr>
      </w:pPr>
      <w:r>
        <w:rPr>
          <w:rFonts w:hint="eastAsia" w:ascii="仿宋_GB2312" w:eastAsia="仿宋_GB2312"/>
          <w:sz w:val="21"/>
          <w:szCs w:val="21"/>
        </w:rPr>
        <w:t>●其他重要资料</w:t>
      </w:r>
    </w:p>
    <w:p>
      <w:pPr>
        <w:spacing w:after="0"/>
        <w:jc w:val="left"/>
        <w:rPr>
          <w:rFonts w:hint="eastAsia" w:ascii="仿宋_GB2312" w:eastAsia="仿宋_GB2312"/>
          <w:b/>
          <w:sz w:val="21"/>
          <w:szCs w:val="21"/>
        </w:rPr>
      </w:pPr>
      <w:r>
        <w:rPr>
          <w:rFonts w:hint="eastAsia" w:ascii="仿宋_GB2312" w:eastAsia="仿宋_GB2312"/>
          <w:b/>
          <w:sz w:val="21"/>
          <w:szCs w:val="21"/>
        </w:rPr>
        <w:t>六、其他情况说明</w:t>
      </w:r>
    </w:p>
    <w:p>
      <w:pPr>
        <w:spacing w:after="0"/>
        <w:ind w:firstLine="420"/>
        <w:jc w:val="left"/>
        <w:rPr>
          <w:rFonts w:hint="eastAsia" w:ascii="仿宋_GB2312" w:eastAsia="仿宋_GB2312"/>
          <w:sz w:val="21"/>
          <w:szCs w:val="21"/>
        </w:rPr>
      </w:pPr>
      <w:r>
        <w:rPr>
          <w:rFonts w:hint="eastAsia" w:ascii="仿宋_GB2312" w:eastAsia="仿宋_GB2312"/>
          <w:sz w:val="21"/>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FZHTJW--GB1-0">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0AE7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nhideWhenUsed="0" w:uiPriority="99"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4"/>
      <w:szCs w:val="24"/>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165</Words>
  <Characters>947</Characters>
  <Lines>7</Lines>
  <Paragraphs>2</Paragraphs>
  <TotalTime>0</TotalTime>
  <ScaleCrop>false</ScaleCrop>
  <LinksUpToDate>false</LinksUpToDate>
  <CharactersWithSpaces>1110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2020-05-03T04:18:00Z</dcterms:created>
  <dc:creator>Cc</dc:creator>
  <cp:lastModifiedBy>haotingting</cp:lastModifiedBy>
  <dcterms:modified xsi:type="dcterms:W3CDTF">2026-09-23T06:08:06Z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68364833BE26429E9B45F93C61163E0E</vt:lpwstr>
  </property>
</Properties>
</file>