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交银施罗德深证300价值交易型开放式指数证券投资基金联接基金</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交银深证300价值ETF联接</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519706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2011-09-28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的存续期内，基金份额持有人数量不满200人或者基金资产净值低于5000万元，基金管理人应当及时报告中国证监会；基金份额持有人数量连续20个工作日达不到200人，或连续20个工作日基金资产净值低于5000万元，基金管理人应当及时向中国证监会报告，说明出现上述情况的原因并提出解决方案。</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519706（前端），519707（后端）</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紧密跟踪标的指数，追求跟踪偏离度与跟踪误差最小化。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以目标ETF、标的指数成份股、备选成份股为主要投资对象(含中小板股票和创业板股票及其他经中国证监会核准的上市股票、存托凭证)，把全部或接近全部的基金资产用于跟踪标的指数的表现，正常情况下投资于目标ETF的资产比例不低于基金资产净值的90%，基金持有的现金及到期日在一年以内的政府债券的投资比例合计不低于基金资产净值的5%，其中现金不包括结算备付金、存出保证金和应收申购款等。此外，为更好地实现投资目标，本基金也可少量投资于新股（含存托凭证）、债券、回购、权证及中国证监会允许基金投资的其它金融工具(但须符合中国证监会的相关规定)。如法律法规或监管机构以后允许基金投资其它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本基金的目标ETF为深证300价值交易型开放式指数证券投资基金；本基金的标的指数即目标ETF的标的指数，为深证300价值价格指数。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通过把全部或接近全部的基金资产投资于目标ETF、标的指数成份股和备选成份股进行被动式指数化投资，正常情况下投资于目标ETF的资产比例不低于基金资产净值的90%，其余资产可投资于标的指数成份股、备选成份股、新股、债券、回购、权证及中国证监会允许基金投资的其它金融工具，其目的是为了使本基金在应付申购赎回的前提下，更好地实现跟踪标的指数的投资目标。</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本基金投资目标ETF的方式以申购和赎回为主，但在目标ETF二级市场流动性较好的情况下，也可以通过二级市场交易买卖目标ETF，以降低成本、提高效率。</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对于标的指数成份股和备选成份股部分的投资，主要采用完全复制法，按照标的指数成份股组成及其权重构建基金股票投资组合为原则，并根据标的指数成份股及其权重的变动而进行相应调整。但在因特殊情况（如法律法规限制、流动性不足等）导致无法获得足够数量的股票时，基金管理人将搭配使用其他合理方法进行适当的替代。</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本基金投资存托凭证的策略依照境内上市交易的股票投资策略执行。</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1、决策依据；2、决策和交易机制；3、投资程序。</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深证300价值价格指数收益率×95%＋银行活期存款税后收益率×5%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属ETF联接基金，风险与预期收益高于混合基金、债券基金与货币市场基金。本基金为指数型基金，紧密跟踪标的指数，具有和标的指数所代表的股票市场相似的风险收益特征，相当于股票基金中风险较高，预期收益较高的品种。</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详见《交银施罗德深证300价值交易型开放式指数证券投资基金联接基金招募说明书》“基金的投资”。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申购费（后收费）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N≤1年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1.8%</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1年＜N≤3年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3年＜N≤5年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5年＜N</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15000.00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80000.00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0.78%</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目标ETF的风险、（2）标的指数回报与股票市场平均回报偏离的风险、（3）标的指数波动的风险、（4）基金投资组合回报与标的指数回报偏离的风险、（5）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（8）本基金为目标ETF的联接基金，但不能保证本基金的表现与目标ETF的表现完全一致。</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●《交银施罗德深证300价值交易型开放式指数证券投资基金联接基金基金合同》、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《交银施罗德深证300价值交易型开放式指数证券投资基金联接基金托管协议》、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《交银施罗德深证300价值交易型开放式指数证券投资基金联接基金招募说明书》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