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黑体" w:hAnsi="黑体" w:eastAsia="黑体"/>
          <w:b/>
          <w:sz w:val="36"/>
        </w:rPr>
      </w:pPr>
      <w:r>
        <w:rPr>
          <w:rFonts w:hint="eastAsia" w:ascii="黑体" w:hAnsi="黑体" w:eastAsia="黑体"/>
          <w:b/>
          <w:sz w:val="36"/>
        </w:rPr>
        <w:t>交银施罗德臻享多资产三个月持有期混合型基金中基金（FOF）（C类份额）</w:t>
      </w:r>
    </w:p>
    <w:p>
      <w:pPr>
        <w:spacing w:after="0"/>
        <w:jc w:val="center"/>
        <w:rPr>
          <w:rFonts w:ascii="黑体" w:hAnsi="黑体" w:eastAsia="黑体"/>
          <w:b/>
          <w:sz w:val="36"/>
        </w:rPr>
      </w:pPr>
      <w:r>
        <w:rPr>
          <w:rFonts w:hint="eastAsia" w:ascii="黑体" w:hAnsi="黑体" w:eastAsia="黑体"/>
          <w:b/>
          <w:sz w:val="36"/>
        </w:rPr>
        <w:t>基金产品资料概要更新</w:t>
      </w:r>
    </w:p>
    <w:p>
      <w:pPr>
        <w:spacing w:after="0"/>
        <w:jc w:val="right"/>
        <w:rPr>
          <w:rFonts w:hint="eastAsia" w:ascii="仿宋_GB2312" w:eastAsia="仿宋_GB2312"/>
          <w:kern w:val="0"/>
          <w:sz w:val="21"/>
          <w:szCs w:val="21"/>
        </w:rPr>
      </w:pPr>
      <w:r>
        <w:rPr>
          <w:rFonts w:hint="eastAsia" w:ascii="仿宋_GB2312" w:eastAsia="仿宋_GB2312"/>
          <w:sz w:val="21"/>
        </w:rPr>
        <w:t>编制日期：</w:t>
      </w:r>
      <w:r>
        <w:rPr>
          <w:rFonts w:hint="eastAsia" w:ascii="Times New Roman" w:hAnsi="Times New Roman" w:eastAsia="Times New Roman" w:cs="Times New Roman"/>
          <w:kern w:val="0"/>
          <w:sz w:val="21"/>
          <w:szCs w:val="21"/>
        </w:rPr>
        <w:t>2026-09-02</w:t>
      </w:r>
    </w:p>
    <w:p>
      <w:pPr>
        <w:spacing w:after="0" w:line="380" w:lineRule="exact"/>
        <w:jc w:val="center"/>
        <w:rPr>
          <w:rFonts w:hint="eastAsia" w:ascii="仿宋_GB2312" w:eastAsia="仿宋_GB2312"/>
          <w:b/>
          <w:iCs/>
          <w:sz w:val="21"/>
          <w:szCs w:val="21"/>
        </w:rPr>
      </w:pPr>
      <w:r>
        <w:rPr>
          <w:rFonts w:hint="eastAsia" w:ascii="仿宋_GB2312" w:eastAsia="仿宋_GB2312"/>
          <w:sz w:val="21"/>
        </w:rPr>
        <w:t>送出日期：</w:t>
      </w:r>
      <w:r>
        <w:rPr>
          <w:rFonts w:hint="eastAsia" w:ascii="Times New Roman" w:hAnsi="Times New Roman" w:eastAsia="Times New Roman" w:cs="Times New Roman"/>
          <w:kern w:val="0"/>
          <w:sz w:val="21"/>
          <w:szCs w:val="21"/>
        </w:rPr>
        <w:t>2026-10-09</w:t>
      </w:r>
      <w:r>
        <w:rPr>
          <w:rFonts w:hint="eastAsia" w:ascii="仿宋" w:hAnsi="仿宋" w:cs="仿宋"/>
          <w:b/>
          <w:iCs/>
          <w:sz w:val="21"/>
          <w:szCs w:val="21"/>
        </w:rPr>
        <w:t xml:space="preserve"> </w:t>
      </w:r>
    </w:p>
    <w:p>
      <w:pPr>
        <w:autoSpaceDE w:val="0"/>
        <w:autoSpaceDN w:val="0"/>
        <w:adjustRightInd w:val="0"/>
        <w:spacing w:after="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pPr>
        <w:spacing w:after="0"/>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07"/>
        <w:gridCol w:w="1563"/>
        <w:gridCol w:w="3285"/>
        <w:gridCol w:w="1917"/>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ascii="仿宋_GB2312" w:eastAsia="仿宋_GB2312"/>
                <w:sz w:val="21"/>
                <w:szCs w:val="21"/>
              </w:rPr>
            </w:pPr>
            <w:r>
              <w:rPr>
                <w:rFonts w:hint="eastAsia" w:ascii="仿宋_GB2312" w:eastAsia="仿宋_GB2312"/>
                <w:sz w:val="21"/>
                <w:szCs w:val="21"/>
              </w:rPr>
              <w:t>基金简称</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交银臻享多资产三个月持有期混合（FOF）C</w:t>
            </w:r>
          </w:p>
        </w:tc>
        <w:tc>
          <w:tcPr>
            <w:tcW w:w="3649" w:type="dxa"/>
            <w:vAlign w:val="center"/>
          </w:tcPr>
          <w:p>
            <w:pPr>
              <w:spacing w:after="0" w:line="240" w:lineRule="auto"/>
              <w:rPr>
                <w:rFonts w:ascii="仿宋_GB2312" w:eastAsia="仿宋_GB2312"/>
                <w:sz w:val="21"/>
                <w:szCs w:val="21"/>
              </w:rPr>
            </w:pPr>
            <w:r>
              <w:rPr>
                <w:rFonts w:hint="eastAsia" w:ascii="仿宋_GB2312" w:eastAsia="仿宋_GB2312"/>
                <w:sz w:val="21"/>
                <w:szCs w:val="21"/>
              </w:rPr>
              <w:t>基金代码</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025314</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基金管理人</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交银施罗德基金管理有限公司</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招商银行股份有限公司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PrEx>
        <w:trPr>
          <w:gridAfter w:val="2"/>
          <w:wAfter w:w="4924" w:type="dxa"/>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基金合同生效日</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2025-11-13</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基金类型</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基金中基金</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交易币种</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人民币</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运作方式</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其他开放式</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开放频率</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每个开放日开放申购；每份基金份额最短持有期限为三个月，在最短持有期限内不可赎回</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基金经理</w:t>
            </w:r>
          </w:p>
        </w:tc>
        <w:tc>
          <w:tcPr>
            <w:tcW w:w="1601"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刘迪</w:t>
            </w:r>
          </w:p>
        </w:tc>
        <w:tc>
          <w:tcPr>
            <w:tcW w:w="3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开始担任本基金基金经理的日期</w:t>
            </w:r>
          </w:p>
        </w:tc>
        <w:tc>
          <w:tcPr>
            <w:tcW w:w="2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2025-11-13</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continue"/>
          </w:tcPr>
          <w:p>
            <w:pPr>
              <w:spacing w:after="0" w:line="240" w:lineRule="auto"/>
              <w:jc w:val="left"/>
              <w:rPr>
                <w:rFonts w:hint="eastAsia" w:ascii="仿宋_GB2312" w:eastAsia="仿宋_GB2312"/>
                <w:sz w:val="21"/>
                <w:szCs w:val="21"/>
              </w:rPr>
            </w:pPr>
          </w:p>
        </w:tc>
        <w:tc>
          <w:tcPr>
            <w:tcW w:w="1601" w:type="dxa"/>
            <w:vMerge w:val="continue"/>
          </w:tcPr>
          <w:p>
            <w:pPr>
              <w:spacing w:after="0" w:line="240" w:lineRule="auto"/>
              <w:jc w:val="left"/>
              <w:rPr>
                <w:rFonts w:hint="eastAsia" w:ascii="仿宋_GB2312" w:eastAsia="仿宋_GB2312"/>
                <w:sz w:val="21"/>
                <w:szCs w:val="21"/>
              </w:rPr>
            </w:pPr>
          </w:p>
        </w:tc>
        <w:tc>
          <w:tcPr>
            <w:tcW w:w="3649"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证券从业日期</w:t>
            </w:r>
          </w:p>
        </w:tc>
        <w:tc>
          <w:tcPr>
            <w:tcW w:w="1275"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2015-07-01</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其他</w:t>
            </w:r>
          </w:p>
        </w:tc>
        <w:tc>
          <w:tcPr>
            <w:tcW w:w="6525" w:type="dxa"/>
            <w:gridSpan w:val="3"/>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pPr>
        <w:spacing w:after="0"/>
        <w:jc w:val="left"/>
        <w:rPr>
          <w:rFonts w:hint="eastAsia" w:ascii="仿宋_GB2312" w:eastAsia="仿宋_GB2312"/>
          <w:sz w:val="21"/>
          <w:szCs w:val="21"/>
        </w:rPr>
      </w:pPr>
      <w:r>
        <w:rPr>
          <w:rFonts w:hint="eastAsia" w:ascii="仿宋_GB2312" w:hAnsi="仿宋_GB2312" w:eastAsia="仿宋_GB2312" w:cs="仿宋_GB2312"/>
          <w:kern w:val="0"/>
          <w:sz w:val="21"/>
          <w:szCs w:val="21"/>
        </w:rPr>
        <w:t>注：</w:t>
      </w:r>
      <w:r>
        <w:rPr>
          <w:rFonts w:hint="eastAsia" w:ascii="仿宋_GB2312" w:eastAsia="仿宋_GB2312"/>
          <w:sz w:val="21"/>
          <w:szCs w:val="21"/>
        </w:rPr>
        <w:t>本基金为偏债混合型基金中基金。</w:t>
      </w:r>
    </w:p>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二、基金投资与净值表现</w:t>
      </w:r>
    </w:p>
    <w:p>
      <w:pPr>
        <w:spacing w:after="0"/>
        <w:jc w:val="left"/>
        <w:rPr>
          <w:rFonts w:ascii="仿宋_GB2312" w:eastAsia="仿宋_GB2312"/>
          <w:b/>
          <w:sz w:val="21"/>
          <w:szCs w:val="21"/>
        </w:rPr>
      </w:pPr>
      <w:r>
        <w:rPr>
          <w:rFonts w:hint="eastAsia" w:ascii="仿宋_GB2312" w:eastAsia="仿宋_GB2312"/>
          <w:b/>
          <w:sz w:val="21"/>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hint="eastAsia" w:ascii="仿宋_GB2312" w:eastAsia="仿宋_GB2312"/>
                <w:sz w:val="21"/>
                <w:szCs w:val="21"/>
              </w:rPr>
            </w:pPr>
            <w:r>
              <w:rPr>
                <w:rFonts w:hint="eastAsia" w:ascii="仿宋_GB2312" w:eastAsia="仿宋_GB2312"/>
                <w:sz w:val="21"/>
                <w:szCs w:val="21"/>
              </w:rPr>
              <w:t>投资目标</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本基金为基金中基金，在严格控制风险的前提下，充分发挥专业研究与管理能力，力争为投资者提供长期稳健的投资回报。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投资范围</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的投资范围为具有良好流动性的金融工具，包括经中国证监会依法核准或注册的公开募集证券投资基金（含ETF和LOF、香港互认基金、QDII基金、商品基金（包括商品期货基金和黄金ETF）、公开募集基础设施证券投资基金（以下简称“公募REITs”））、国内依法发行上市的股票（含创业板、科创板及其他经中国证监会核准或注册上市的股票、存托凭证）、内地与香港股票市场交易互联互通机制允许买卖的香港证券市场股票和交易型开放式基金（以下分别简称“港股通股票”、“港股通ETF”）、债券（含国债、央行票据、金融债券、政府支持债券、政府支持机构债券、地方政府债券、企业债券、公司债券、可转换债券（含可分离交易可转换债券的纯债部分）、可交换债券、公开发行的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如法律法规或监管机构以后允许基金投资其他品种，基金管理人在履行适当程序后，可以将其纳入投资范围。</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基金的投资组合比例为：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本基金持有的现金或者到期日在一年以内的政府债券的比例合计不低于基金资产净值的5%，其中现金不包括结算备付金、存出保证金、应收申购款等。</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上述混合型基金需符合下列两个条件之一：</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1、基金合同中约定股票投资占基金资产的比例不低于60%的混合型基金；</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2、最近四个季度披露的股票投资占基金资产的比例均不低于60%的混合型基金。</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如果法律法规或中国证监会变更投资品种的投资比例限制，基金管理人在履行适当程序后，可以调整上述投资品种的投资比例。</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主要投资策略</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本基金投资策略主要分为以下六个部分：</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1、大类资产配置；2、基金投资策略；3、股票投资策略；4、港股通股票及港股通ETF投资策略；5、债券投资策略；6、资产支持证券投资策略。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业绩比较基准</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中证800指数收益率×15%+中证港股通综合指数（人民币）收益率×2%+上海黄金交易所Au99.99现货实盘合约收益率×3%+中证纯债债券型基金指数收益率×75%+人民币银行活期存款利率（税后）×5%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风险收益特征</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本基金为混合型基金中基金，其预期风险与预期收益理论上高于债券型基金、债券型基金中基金、货币市场基金和货币型基金中基金，低于股票型基金和股票型基金中基金。</w:t>
            </w:r>
          </w:p>
        </w:tc>
      </w:tr>
    </w:tbl>
    <w:p>
      <w:pPr>
        <w:spacing w:after="0"/>
        <w:jc w:val="left"/>
        <w:rPr>
          <w:rFonts w:hint="eastAsia" w:ascii="仿宋_GB2312" w:eastAsia="仿宋_GB2312"/>
          <w:sz w:val="21"/>
          <w:szCs w:val="21"/>
        </w:rPr>
      </w:pPr>
      <w:r>
        <w:rPr>
          <w:rFonts w:hint="eastAsia" w:ascii="仿宋_GB2312" w:eastAsia="仿宋_GB2312"/>
          <w:sz w:val="21"/>
          <w:szCs w:val="21"/>
        </w:rPr>
        <w:t>注：详见《交银施罗德臻享多资产三个月持有期混合型基金中基金(FOF)招募说明书》“基金的投资”。</w:t>
      </w:r>
    </w:p>
    <w:p>
      <w:pPr>
        <w:spacing w:after="0"/>
        <w:jc w:val="left"/>
        <w:rPr>
          <w:rFonts w:hint="eastAsia" w:ascii="仿宋_GB2312" w:eastAsia="仿宋_GB2312"/>
          <w:b/>
          <w:sz w:val="21"/>
          <w:szCs w:val="21"/>
        </w:rPr>
      </w:pPr>
      <w:r>
        <w:rPr>
          <w:rFonts w:hint="eastAsia" w:ascii="仿宋_GB2312" w:eastAsia="仿宋_GB2312"/>
          <w:b/>
          <w:sz w:val="21"/>
          <w:szCs w:val="21"/>
        </w:rPr>
        <w:t>（二）投资组合资产配置图表/区域配置图表</w:t>
      </w:r>
    </w:p>
    <w:p>
      <w:pPr>
        <w:spacing w:after="0"/>
        <w:jc w:val="center"/>
        <w:rPr>
          <w:rFonts w:ascii="仿宋_GB2312" w:eastAsia="仿宋_GB2312"/>
          <w:b/>
          <w:sz w:val="21"/>
          <w:szCs w:val="21"/>
        </w:rPr>
      </w:pPr>
      <w:r>
        <w:rPr>
          <w:rFonts w:ascii="仿宋_GB2312" w:hAnsi="仿宋_GB2312"/>
          <w:kern w:val="0"/>
          <w:sz w:val="21"/>
        </w:rPr>
        <w:pict>
          <v:shape id="_x0000_i1025" o:spt="75" type="#_x0000_t75" style="height:250pt;width:454pt;" filled="f" o:preferrelative="t" stroked="f" coordsize="21600,21600">
            <v:path/>
            <v:fill on="f" focussize="0,0"/>
            <v:stroke on="f" joinstyle="miter"/>
            <v:imagedata r:id="rId4"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注：由于四舍五入的原因，分项之和与合计项之间可能存在尾差。</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（三）自基金合同生效以来/最近十年（孰短）基金每年的净值增长率及与同期业绩比较基准的比较图</w:t>
      </w:r>
    </w:p>
    <w:p>
      <w:pPr>
        <w:spacing w:after="0"/>
        <w:jc w:val="center"/>
        <w:rPr>
          <w:rFonts w:ascii="仿宋_GB2312" w:eastAsia="仿宋_GB2312"/>
          <w:b/>
          <w:sz w:val="21"/>
          <w:szCs w:val="21"/>
        </w:rPr>
      </w:pPr>
      <w:r>
        <w:rPr>
          <w:rFonts w:ascii="仿宋_GB2312" w:hAnsi="仿宋_GB2312"/>
          <w:kern w:val="0"/>
          <w:sz w:val="21"/>
        </w:rPr>
        <w:pict>
          <v:shape id="_x0000_i1026" o:spt="75" type="#_x0000_t75" style="height:160pt;width:500pt;" filled="f" o:preferrelative="t" stroked="f" coordsize="21600,21600">
            <v:path/>
            <v:fill on="f" focussize="0,0"/>
            <v:stroke on="f" joinstyle="miter"/>
            <v:imagedata r:id="rId5"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注：1、净值表现数据的截止日为2025年12月31日；</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2、本基金合同于2025年11月13日生效，合同生效当年净值增长率按实际存续期计算；</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3、基金的过往业绩不代表未来表现。</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三、投资本基金涉及的费用</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（一）基金销售相关费用</w:t>
      </w:r>
    </w:p>
    <w:p>
      <w:pPr>
        <w:spacing w:after="0"/>
        <w:jc w:val="left"/>
        <w:rPr>
          <w:rFonts w:hint="eastAsia" w:ascii="仿宋_GB2312" w:hAnsi="仿宋_GB2312" w:eastAsia="仿宋_GB2312" w:cs="仿宋_GB2312"/>
          <w:sz w:val="21"/>
          <w:szCs w:val="21"/>
        </w:rPr>
      </w:pPr>
      <w:bookmarkStart w:id="0" w:name="_GoBack"/>
      <w:bookmarkEnd w:id="0"/>
      <w:r>
        <w:rPr>
          <w:rFonts w:hint="eastAsia" w:ascii="仿宋_GB2312" w:hAnsi="仿宋_GB2312" w:eastAsia="仿宋_GB2312" w:cs="仿宋_GB2312"/>
          <w:sz w:val="21"/>
          <w:szCs w:val="21"/>
        </w:rPr>
        <w:t>基金份额持有人持有的每份基金份额最短持有期限为三个月，最短持有期限届满后，本基金C类基金份额不收取赎回费。其中，对于不受最短持有期限制的红利再投资所得基金份额，对持续持有期少于7日的投资者收取1.5%的赎回费，并全额计入基金财产。</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（二）基金运作相关费用</w:t>
      </w:r>
    </w:p>
    <w:p>
      <w:pPr>
        <w:spacing w:after="0"/>
        <w:jc w:val="left"/>
        <w:rPr>
          <w:rFonts w:hint="eastAsia" w:ascii="仿宋_GB2312" w:eastAsia="仿宋_GB2312"/>
          <w:b/>
          <w:sz w:val="21"/>
          <w:szCs w:val="21"/>
        </w:rPr>
      </w:pPr>
      <w:r>
        <w:rPr>
          <w:rFonts w:hint="eastAsia" w:ascii="仿宋_GB2312" w:eastAsia="仿宋_GB2312"/>
          <w:sz w:val="21"/>
          <w:szCs w:val="21"/>
        </w:rPr>
        <w:t>以下费用将从基金资产中扣除：</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809"/>
        <w:gridCol w:w="2886"/>
        <w:gridCol w:w="2810"/>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ascii="仿宋_GB2312" w:eastAsia="仿宋_GB2312"/>
                <w:b/>
                <w:sz w:val="21"/>
                <w:szCs w:val="21"/>
              </w:rPr>
            </w:pPr>
            <w:r>
              <w:rPr>
                <w:rFonts w:ascii="仿宋_GB2312" w:eastAsia="仿宋_GB2312"/>
                <w:b/>
                <w:sz w:val="21"/>
                <w:szCs w:val="21"/>
              </w:rPr>
              <w:t>费用类别</w:t>
            </w:r>
          </w:p>
        </w:tc>
        <w:tc>
          <w:tcPr>
            <w:tcW w:w="3080" w:type="dxa"/>
            <w:vAlign w:val="center"/>
          </w:tcPr>
          <w:p>
            <w:pPr>
              <w:spacing w:after="0" w:line="240" w:lineRule="auto"/>
              <w:rPr>
                <w:rFonts w:ascii="仿宋_GB2312" w:eastAsia="仿宋_GB2312"/>
                <w:b/>
                <w:sz w:val="21"/>
                <w:szCs w:val="21"/>
              </w:rPr>
            </w:pPr>
            <w:r>
              <w:rPr>
                <w:rFonts w:ascii="仿宋_GB2312" w:eastAsia="仿宋_GB2312"/>
                <w:b/>
                <w:sz w:val="21"/>
                <w:szCs w:val="21"/>
              </w:rPr>
              <w:t>收费方式/年费率或金额</w:t>
            </w:r>
          </w:p>
        </w:tc>
        <w:tc>
          <w:tcPr>
            <w:tcW w:w="2542" w:type="dxa"/>
          </w:tcPr>
          <w:p>
            <w:pPr>
              <w:spacing w:after="0" w:line="240" w:lineRule="auto"/>
              <w:rPr>
                <w:rFonts w:ascii="仿宋_GB2312" w:eastAsia="仿宋_GB2312"/>
                <w:b/>
                <w:sz w:val="21"/>
                <w:szCs w:val="21"/>
              </w:rPr>
            </w:pPr>
            <w:r>
              <w:rPr>
                <w:rFonts w:ascii="仿宋_GB2312" w:eastAsia="仿宋_GB2312"/>
                <w:b/>
                <w:sz w:val="21"/>
                <w:szCs w:val="21"/>
              </w:rPr>
              <w:t>收取方</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管理费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0.60%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基金管理人和销售机构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托管费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0.17%</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销售服务费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0.40%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审计费用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50000.00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会计师事务所</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信息披露费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120000.00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规定披露报刊</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指数许可使用费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指数编制公司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其他费用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详见本基金招募说明书“基金的费用与税收”部分</w:t>
            </w:r>
          </w:p>
        </w:tc>
        <w:tc>
          <w:tcPr>
            <w:tcW w:w="3078" w:type="dxa"/>
          </w:tcPr>
          <w:p>
            <w:pPr>
              <w:spacing w:after="0" w:line="240" w:lineRule="auto"/>
              <w:rPr>
                <w:rFonts w:hint="eastAsia" w:ascii="仿宋_GB2312" w:eastAsia="仿宋_GB2312"/>
                <w:sz w:val="21"/>
                <w:szCs w:val="21"/>
              </w:rPr>
            </w:pPr>
          </w:p>
        </w:tc>
      </w:tr>
    </w:tbl>
    <w:p>
      <w:pPr>
        <w:spacing w:after="0"/>
        <w:jc w:val="left"/>
        <w:rPr>
          <w:rFonts w:hint="eastAsia" w:ascii="仿宋_GB2312" w:eastAsia="仿宋_GB2312"/>
          <w:sz w:val="21"/>
          <w:szCs w:val="21"/>
        </w:rPr>
      </w:pPr>
      <w:r>
        <w:rPr>
          <w:rFonts w:hint="eastAsia" w:ascii="仿宋_GB2312" w:eastAsia="仿宋_GB2312"/>
          <w:sz w:val="21"/>
          <w:szCs w:val="21"/>
        </w:rPr>
        <w:t>注：1、本基金基金财产中持有的基金管理人自身管理的基金部分不收取管理费；持有的基金托管人自身托管的基金部分不收取托管费。2、本基金交易证券、基金等产生的费用和税负，按实际发生额从基金资产扣除。上表中披露的年费用金额为基金整体承担费用，非单个份额类别费用，且年金额为预估值，最终实际金额以基金定期报告披露为准。</w:t>
      </w:r>
    </w:p>
    <w:p>
      <w:pPr>
        <w:spacing w:after="0"/>
        <w:jc w:val="left"/>
        <w:rPr>
          <w:rFonts w:hint="eastAsia" w:ascii="仿宋_GB2312" w:eastAsia="仿宋_GB2312"/>
          <w:b/>
          <w:sz w:val="21"/>
          <w:szCs w:val="21"/>
        </w:rPr>
      </w:pPr>
      <w:r>
        <w:rPr>
          <w:rFonts w:hint="eastAsia" w:ascii="仿宋_GB2312" w:eastAsia="仿宋_GB2312"/>
          <w:b/>
          <w:sz w:val="21"/>
          <w:szCs w:val="21"/>
        </w:rPr>
        <w:t>（三）基金运作综合费用测算</w:t>
      </w:r>
    </w:p>
    <w:p>
      <w:pPr>
        <w:spacing w:after="0"/>
        <w:jc w:val="left"/>
        <w:rPr>
          <w:rFonts w:hint="eastAsia" w:ascii="仿宋_GB2312" w:eastAsia="仿宋_GB2312"/>
          <w:b/>
          <w:sz w:val="21"/>
          <w:szCs w:val="21"/>
        </w:rPr>
      </w:pPr>
      <w:r>
        <w:rPr>
          <w:rFonts w:hint="eastAsia" w:ascii="仿宋_GB2312" w:eastAsia="仿宋_GB2312"/>
          <w:sz w:val="21"/>
          <w:szCs w:val="21"/>
        </w:rPr>
        <w:t>若投资者认购/申购本基金份额，在持有期间，投资者需支出的运作费率如下表：</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3109"/>
        <w:gridCol w:w="5396"/>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PrEx>
        <w:trPr>
          <w:jc w:val="center"/>
        </w:trPr>
        <w:tc>
          <w:tcPr>
            <w:tcW w:w="3078" w:type="dxa"/>
          </w:tcPr>
          <w:p>
            <w:pPr>
              <w:spacing w:after="0" w:line="240" w:lineRule="auto"/>
              <w:rPr>
                <w:rFonts w:hint="eastAsia" w:ascii="仿宋_GB2312" w:eastAsia="仿宋_GB2312"/>
                <w:b/>
                <w:sz w:val="21"/>
                <w:szCs w:val="21"/>
              </w:rPr>
            </w:pPr>
          </w:p>
        </w:tc>
        <w:tc>
          <w:tcPr>
            <w:tcW w:w="5342" w:type="dxa"/>
          </w:tcPr>
          <w:p>
            <w:pPr>
              <w:spacing w:after="0" w:line="240" w:lineRule="auto"/>
              <w:rPr>
                <w:rFonts w:hint="eastAsia" w:ascii="仿宋_GB2312" w:eastAsia="仿宋_GB2312"/>
                <w:b/>
                <w:sz w:val="21"/>
                <w:szCs w:val="21"/>
              </w:rPr>
            </w:pPr>
            <w:r>
              <w:rPr>
                <w:rFonts w:hint="eastAsia" w:ascii="仿宋_GB2312" w:eastAsia="仿宋_GB2312"/>
                <w:b/>
                <w:sz w:val="21"/>
                <w:szCs w:val="21"/>
              </w:rPr>
              <w:t>基金运作综合费率（年化）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r>
    </w:tbl>
    <w:p>
      <w:pPr>
        <w:spacing w:after="0"/>
        <w:jc w:val="left"/>
        <w:rPr>
          <w:rFonts w:hint="eastAsia" w:ascii="仿宋" w:hAnsi="仿宋" w:eastAsia="仿宋" w:cs="仿宋"/>
          <w:sz w:val="21"/>
          <w:szCs w:val="21"/>
        </w:rPr>
      </w:pPr>
      <w:r>
        <w:rPr>
          <w:rFonts w:hint="eastAsia" w:ascii="仿宋_GB2312" w:eastAsia="仿宋_GB2312"/>
          <w:sz w:val="21"/>
          <w:szCs w:val="21"/>
        </w:rPr>
        <w:t>注：本基金尚未披露基金年报，暂不披露该内容。</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四、风险揭示与重要提示</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（一）风险揭示</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本基金不提供任何保证。投资者可能损失投资本金。</w:t>
      </w:r>
    </w:p>
    <w:p>
      <w:pPr>
        <w:spacing w:after="0"/>
        <w:ind w:firstLine="420"/>
        <w:jc w:val="left"/>
        <w:rPr>
          <w:rFonts w:hint="eastAsia" w:ascii="仿宋_GB2312" w:eastAsia="仿宋_GB2312"/>
          <w:sz w:val="21"/>
          <w:szCs w:val="21"/>
        </w:rPr>
      </w:pPr>
      <w:r>
        <w:rPr>
          <w:rFonts w:hint="eastAsia" w:ascii="仿宋_GB2312" w:eastAsia="仿宋_GB2312"/>
          <w:sz w:val="21"/>
          <w:szCs w:val="21"/>
        </w:rPr>
        <w:t>投资有风险，投资者购买基金时应认真阅读本基金的《招募说明书》等销售文件。</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基金份额持有人须了解并承受以下风险：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1、市场风险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（1）政策风险、（2）经济周期风险、（3）利率风险、（4）上市公司经营风险、（5）购买力风险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2、管理风险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3、流动性风险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4、信用风险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5、本基金的特有风险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本基金为混合型基金中基金，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因此本基金所持有的基金的业绩表现、持有基金的基金管理人水平等因素将影响到本基金的基金业绩表现。</w:t>
      </w:r>
    </w:p>
    <w:p>
      <w:pPr>
        <w:spacing w:after="0"/>
        <w:ind w:firstLine="420"/>
        <w:jc w:val="left"/>
        <w:rPr>
          <w:rFonts w:hint="eastAsia" w:ascii="仿宋_GB2312" w:eastAsia="仿宋_GB2312"/>
          <w:sz w:val="21"/>
          <w:szCs w:val="21"/>
        </w:rPr>
      </w:pPr>
      <w:r>
        <w:rPr>
          <w:rFonts w:hint="eastAsia" w:ascii="仿宋_GB2312" w:eastAsia="仿宋_GB2312"/>
          <w:sz w:val="21"/>
          <w:szCs w:val="21"/>
        </w:rPr>
        <w:t>（2）本基金为基金中基金，由于本基金所持有的相当比例的基金暂停估值，导致基金管理人无法计算当日本基金资产净值；或者由于本基金持有的相当比例的基金份额或适合本基金投资的基金份额拒绝或暂停申购、暂停上市或二级市场交易停牌、基金管理人无法找到其他合适的可替代的基金品种，或其他可能对本基金业绩产生负面影响的情形，本基金可能拒绝或暂停申购业务。</w:t>
      </w:r>
    </w:p>
    <w:p>
      <w:pPr>
        <w:spacing w:after="0"/>
        <w:ind w:firstLine="420"/>
        <w:jc w:val="left"/>
        <w:rPr>
          <w:rFonts w:hint="eastAsia" w:ascii="仿宋_GB2312" w:eastAsia="仿宋_GB2312"/>
          <w:sz w:val="21"/>
          <w:szCs w:val="21"/>
        </w:rPr>
      </w:pPr>
      <w:r>
        <w:rPr>
          <w:rFonts w:hint="eastAsia" w:ascii="仿宋_GB2312" w:eastAsia="仿宋_GB2312"/>
          <w:sz w:val="21"/>
          <w:szCs w:val="21"/>
        </w:rPr>
        <w:t>（3）本基金为基金中基金，由于本基金所持有的相当比例的基金暂停估值，导致基金管理人无法计算当日本基金资产净值；或者由于本基金持有的相当比例的基金份额拒绝或暂停赎回、暂停上市或二级市场交易停牌、延期办理赎回、延期支付赎回款项，或其他可能对本基金业绩产生负面影响的情形，本基金可能暂停赎回或延缓支付赎回款项。</w:t>
      </w:r>
    </w:p>
    <w:p>
      <w:pPr>
        <w:spacing w:after="0"/>
        <w:ind w:firstLine="420"/>
        <w:jc w:val="left"/>
        <w:rPr>
          <w:rFonts w:hint="eastAsia" w:ascii="仿宋_GB2312" w:eastAsia="仿宋_GB2312"/>
          <w:sz w:val="21"/>
          <w:szCs w:val="21"/>
        </w:rPr>
      </w:pPr>
      <w:r>
        <w:rPr>
          <w:rFonts w:hint="eastAsia" w:ascii="仿宋_GB2312" w:eastAsia="仿宋_GB2312"/>
          <w:sz w:val="21"/>
          <w:szCs w:val="21"/>
        </w:rPr>
        <w:t>（4）本基金为基金中基金，本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但如果本基金管理人运用本基金的基金财产申购非自身管理的基金的，将会承担本基金以及本基金所投资或持有基金份额的相关费用，本基金对上述费用的支付将对收益水平造成影响。</w:t>
      </w:r>
    </w:p>
    <w:p>
      <w:pPr>
        <w:spacing w:after="0"/>
        <w:ind w:firstLine="420"/>
        <w:jc w:val="left"/>
        <w:rPr>
          <w:rFonts w:hint="eastAsia" w:ascii="仿宋_GB2312" w:eastAsia="仿宋_GB2312"/>
          <w:sz w:val="21"/>
          <w:szCs w:val="21"/>
        </w:rPr>
      </w:pPr>
      <w:r>
        <w:rPr>
          <w:rFonts w:hint="eastAsia" w:ascii="仿宋_GB2312" w:eastAsia="仿宋_GB2312"/>
          <w:sz w:val="21"/>
          <w:szCs w:val="21"/>
        </w:rPr>
        <w:t>（5）本基金为基金中基金，本基金可能投资于封闭运作基金、定期开放基金等流通受限基金。本基金投资流动受限基金将面临所投资基金的流动性风险，因此可能在本基金需要变现资产时，受流动性所限，本基金无法卖出所持有的流通受限基金，由此可能给基金净值带来不利影响或损失。</w:t>
      </w:r>
    </w:p>
    <w:p>
      <w:pPr>
        <w:spacing w:after="0"/>
        <w:ind w:firstLine="420"/>
        <w:jc w:val="left"/>
        <w:rPr>
          <w:rFonts w:hint="eastAsia" w:ascii="仿宋_GB2312" w:eastAsia="仿宋_GB2312"/>
          <w:sz w:val="21"/>
          <w:szCs w:val="21"/>
        </w:rPr>
      </w:pPr>
      <w:r>
        <w:rPr>
          <w:rFonts w:hint="eastAsia" w:ascii="仿宋_GB2312" w:eastAsia="仿宋_GB2312"/>
          <w:sz w:val="21"/>
          <w:szCs w:val="21"/>
        </w:rPr>
        <w:t>（6）本基金的投资范围包括QDII基金，因此本基金可能间接面临海外市场风险、汇率风险、法律和政治风险、会计制度风险、税务风险等风险。并且，由于本基金可以投资于QDII基金，本基金的申购/赎回确认日、支付赎回款项日以及份额净值公告日等可能晚于一般基金。</w:t>
      </w:r>
    </w:p>
    <w:p>
      <w:pPr>
        <w:spacing w:after="0"/>
        <w:ind w:firstLine="420"/>
        <w:jc w:val="left"/>
        <w:rPr>
          <w:rFonts w:hint="eastAsia" w:ascii="仿宋_GB2312" w:eastAsia="仿宋_GB2312"/>
          <w:sz w:val="21"/>
          <w:szCs w:val="21"/>
        </w:rPr>
      </w:pPr>
      <w:r>
        <w:rPr>
          <w:rFonts w:hint="eastAsia" w:ascii="仿宋_GB2312" w:eastAsia="仿宋_GB2312"/>
          <w:sz w:val="21"/>
          <w:szCs w:val="21"/>
        </w:rPr>
        <w:t>（7）基金份额持有人持有的每份基金份额最短持有期限为三个月，在最短持有期限内该份基金份额不可赎回，自最短持有期限届满的下一工作日起（含该日）可赎回。对于每笔认购的基金份额而言，最短持有期限自基金合同生效之日起（含该日）至三个月后月度对日的前一日；对于每笔申购的基金份额而言，最短持有期限自该笔申购份额确认日（含该日）至三个月后月度对日的前一日。因此，对于基金份额持有人而言，存在投资本基金后三个月内无法赎回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（8）本基金可投资创业板股票，创业板个股上市后的前五个交易日不设价格涨跌幅限制，第六个交易日开始涨跌幅限制比例为20%。</w:t>
      </w:r>
    </w:p>
    <w:p>
      <w:pPr>
        <w:spacing w:after="0"/>
        <w:ind w:firstLine="420"/>
        <w:jc w:val="left"/>
        <w:rPr>
          <w:rFonts w:hint="eastAsia" w:ascii="仿宋_GB2312" w:eastAsia="仿宋_GB2312"/>
          <w:sz w:val="21"/>
          <w:szCs w:val="21"/>
        </w:rPr>
      </w:pPr>
      <w:r>
        <w:rPr>
          <w:rFonts w:hint="eastAsia" w:ascii="仿宋_GB2312" w:eastAsia="仿宋_GB2312"/>
          <w:sz w:val="21"/>
          <w:szCs w:val="21"/>
        </w:rPr>
        <w:t>（9）投资资产支持证券的特定风险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（10）投资流通受限证券的特定风险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（11）通过内地与香港股票市场交易互联互通机制投资于香港证券市场股票和交易型开放式基金的风险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本基金的投资范围包括港股通股票、港股通ETF，会面临港股通机制下因投资环境、投资标的、市场制度以及交易规则等差异带来的特有风险：1）投资于香港证券市场的特有风险 2）通过内地与香港股票市场交易互联互通机制投资的特有风险 3）本基金可根据投资策略需要或不同配置地市场环境的变化，选择将部分基金资产投资于港股通股票及港股通ETF或选择不将基金资产投资于港股通股票及港股通ETF，基金资产并非必然投资港股通股票及港股通ETF。</w:t>
      </w:r>
    </w:p>
    <w:p>
      <w:pPr>
        <w:spacing w:after="0"/>
        <w:ind w:firstLine="420"/>
        <w:jc w:val="left"/>
        <w:rPr>
          <w:rFonts w:hint="eastAsia" w:ascii="仿宋_GB2312" w:eastAsia="仿宋_GB2312"/>
          <w:sz w:val="21"/>
          <w:szCs w:val="21"/>
        </w:rPr>
      </w:pPr>
      <w:r>
        <w:rPr>
          <w:rFonts w:hint="eastAsia" w:ascii="仿宋_GB2312" w:eastAsia="仿宋_GB2312"/>
          <w:sz w:val="21"/>
          <w:szCs w:val="21"/>
        </w:rPr>
        <w:t>（12）投资香港互认基金的特有风险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香港互认基金是指依照香港法律在香港设立、运作和公开销售，并经中国证监会批准在内地公开销售的单位信托、互惠基金或者其他形式的集体投资计划，香港互认基金管理人委托内地符合条件的机构作为代理人办理基金在境内的相关业务。本基金可投资于香港互认基金，主要存在如下风险：1）香港互认基金境外投资风险 2）香港基金互认机制相关风险。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（13）投资公募REITs可能面临的风险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本基金根据投资策略需要或市场环境变化，可选择将部分基金资产投资于公募REITs，但本基金并非必然投资公募REITs投资公募REITs可能面临以下风险，包括但不限于：1）基金价格波动风险 2）基础设施项目运营风险 3）基金份额交易价格折溢价风险 4）流动性风险 5）终止上市风险 6）政策调整风险 7）利益冲突风险 8）估值风险 9）市场风险 10）公募REITs相关法律法规和交易所业务规则，可能根据市场情况进行修改，或者制定新的法律法规和业务规则，投资者应当及时予以关注和了解。</w:t>
      </w:r>
    </w:p>
    <w:p>
      <w:pPr>
        <w:spacing w:after="0"/>
        <w:ind w:firstLine="420"/>
        <w:jc w:val="left"/>
        <w:rPr>
          <w:rFonts w:hint="eastAsia" w:ascii="仿宋_GB2312" w:eastAsia="仿宋_GB2312"/>
          <w:sz w:val="21"/>
          <w:szCs w:val="21"/>
        </w:rPr>
      </w:pPr>
      <w:r>
        <w:rPr>
          <w:rFonts w:hint="eastAsia" w:ascii="仿宋_GB2312" w:eastAsia="仿宋_GB2312"/>
          <w:sz w:val="21"/>
          <w:szCs w:val="21"/>
        </w:rPr>
        <w:t>（14）本基金可投资于商品基金，因此将间接承担商品基金可能面临的商品价格波动风险、投资商品期货合约的风险、盯市风险等商品投资风险。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（15）投资科创板股票的特定风险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（16）投资存托凭证的特定风险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本基金可根据投资策略需要或市场环境的变化，选择将部分基金资产投资于存托凭证或选择不将基金资产投资于存托凭证，基金资产并非必然投资存托凭证。</w:t>
      </w:r>
    </w:p>
    <w:p>
      <w:pPr>
        <w:spacing w:after="0"/>
        <w:ind w:firstLine="420"/>
        <w:jc w:val="left"/>
        <w:rPr>
          <w:rFonts w:hint="eastAsia" w:ascii="仿宋_GB2312" w:eastAsia="仿宋_GB2312"/>
          <w:sz w:val="21"/>
          <w:szCs w:val="21"/>
        </w:rPr>
      </w:pPr>
      <w:r>
        <w:rPr>
          <w:rFonts w:hint="eastAsia" w:ascii="仿宋_GB2312" w:eastAsia="仿宋_GB2312"/>
          <w:sz w:val="21"/>
          <w:szCs w:val="21"/>
        </w:rPr>
        <w:t>6、基金合同提前终止风险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本基金连续50个工作日出现基金份额持有人数量不满200人或基金资产净值低于5000万元情形时，基金合同终止，不需召开基金份额持有人大会。投资者可能面临基金合同提前终止的风险。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7、本基金法律文件风险收益特征表述与销售机构基金风险评价可能不一致的风险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8、其他风险</w:t>
      </w:r>
    </w:p>
    <w:p>
      <w:pPr>
        <w:spacing w:after="0"/>
        <w:jc w:val="left"/>
        <w:rPr>
          <w:rFonts w:ascii="仿宋_GB2312" w:eastAsia="仿宋_GB2312"/>
          <w:b/>
          <w:sz w:val="21"/>
          <w:szCs w:val="21"/>
        </w:rPr>
      </w:pPr>
      <w:r>
        <w:rPr>
          <w:rFonts w:ascii="仿宋_GB2312" w:eastAsia="仿宋_GB2312"/>
          <w:b/>
          <w:sz w:val="21"/>
          <w:szCs w:val="21"/>
        </w:rPr>
        <w:t>（二）重要提示</w:t>
      </w:r>
    </w:p>
    <w:p>
      <w:pPr>
        <w:spacing w:after="0"/>
        <w:ind w:firstLine="420"/>
        <w:jc w:val="left"/>
        <w:rPr>
          <w:rFonts w:hint="eastAsia" w:ascii="仿宋_GB2312" w:eastAsia="仿宋_GB2312"/>
          <w:sz w:val="21"/>
          <w:szCs w:val="21"/>
        </w:rPr>
      </w:pPr>
      <w:r>
        <w:rPr>
          <w:rFonts w:hint="eastAsia" w:ascii="仿宋_GB2312" w:eastAsia="仿宋_GB2312"/>
          <w:sz w:val="21"/>
          <w:szCs w:val="21"/>
        </w:rPr>
        <w:t>中国证监会对本基金募集的核准或注册，并不表明其对本基金的价值和收益作出实质性判断或保证，也不表明投资于本基金没有风险。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基金管理人依照恪尽职守、诚实信用、谨慎勤勉的原则管理和运用基金财产，但不保证基金一定盈利，也不保证最低收益。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pPr>
        <w:spacing w:after="0"/>
        <w:ind w:firstLine="420"/>
        <w:jc w:val="left"/>
        <w:rPr>
          <w:rFonts w:hint="eastAsia" w:ascii="仿宋_GB2312" w:eastAsia="仿宋_GB2312"/>
          <w:sz w:val="21"/>
          <w:szCs w:val="21"/>
        </w:rPr>
      </w:pPr>
      <w:r>
        <w:rPr>
          <w:rFonts w:hint="eastAsia" w:ascii="仿宋_GB2312" w:eastAsia="仿宋_GB2312"/>
          <w:sz w:val="21"/>
          <w:szCs w:val="21"/>
        </w:rPr>
        <w:t>销售机构的风险等级评价与基金法律文件中风险收益特征的表述可能存在不同，投资人在购买本基金时需按照销售机构的要求完成风险承受能力与产品风险之间的匹配检验。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hAnsi="仿宋_GB2312" w:eastAsia="仿宋_GB2312"/>
          <w:b/>
          <w:kern w:val="0"/>
          <w:sz w:val="21"/>
        </w:rPr>
        <w:t>▲▲因基金合同而产生的或与基金合同有关的一切争议，如经友好协商未能解决的，任何一方均有权将争议提交深圳国际仲裁院，按其届时有效的仲裁规则进行仲裁。仲裁地点为深圳市。</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pPr>
        <w:spacing w:after="0"/>
        <w:jc w:val="left"/>
        <w:rPr>
          <w:rFonts w:ascii="仿宋_GB2312" w:eastAsia="仿宋_GB2312"/>
          <w:b/>
          <w:sz w:val="21"/>
          <w:szCs w:val="21"/>
        </w:rPr>
      </w:pPr>
      <w:r>
        <w:rPr>
          <w:rFonts w:ascii="仿宋_GB2312" w:eastAsia="仿宋_GB2312"/>
          <w:b/>
          <w:sz w:val="21"/>
          <w:szCs w:val="21"/>
        </w:rPr>
        <w:t>五、其他资料查询方式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以下资料详见交银施罗德基金官方网站[www.fund001.com][客服电话：400-700-5000]</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●《交银施罗德臻享多资产三个月持有期混合型基金中基金（FOF）基金合同》、</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《交银施罗德臻享多资产三个月持有期混合型基金中基金（FOF）托管协议》、</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《交银施罗德臻享多资产三个月持有期混合型基金中基金（FOF）招募说明书》</w:t>
      </w:r>
    </w:p>
    <w:p>
      <w:pPr>
        <w:spacing w:after="0"/>
        <w:ind w:firstLine="420"/>
        <w:jc w:val="left"/>
        <w:rPr>
          <w:rFonts w:hint="eastAsia" w:ascii="仿宋_GB2312" w:eastAsia="仿宋_GB2312"/>
          <w:sz w:val="21"/>
          <w:szCs w:val="21"/>
        </w:rPr>
      </w:pPr>
      <w:r>
        <w:rPr>
          <w:rFonts w:hint="eastAsia" w:ascii="仿宋_GB2312" w:eastAsia="仿宋_GB2312"/>
          <w:sz w:val="21"/>
          <w:szCs w:val="21"/>
        </w:rPr>
        <w:t>●定期报告，包括基金季度报告、中期报告和年度报告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●基金份额净值</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●基金销售机构及联系方式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●其他重要资料</w:t>
      </w:r>
    </w:p>
    <w:p>
      <w:pPr>
        <w:spacing w:after="0"/>
        <w:jc w:val="left"/>
        <w:rPr>
          <w:rFonts w:hint="eastAsia" w:ascii="仿宋_GB2312" w:eastAsia="仿宋_GB2312"/>
          <w:b/>
          <w:sz w:val="21"/>
          <w:szCs w:val="21"/>
        </w:rPr>
      </w:pPr>
      <w:r>
        <w:rPr>
          <w:rFonts w:hint="eastAsia" w:ascii="仿宋_GB2312" w:eastAsia="仿宋_GB2312"/>
          <w:b/>
          <w:sz w:val="21"/>
          <w:szCs w:val="21"/>
        </w:rPr>
        <w:t>六、其他情况说明</w:t>
      </w:r>
    </w:p>
    <w:p>
      <w:pPr>
        <w:spacing w:after="0"/>
        <w:ind w:firstLine="420"/>
        <w:jc w:val="left"/>
        <w:rPr>
          <w:rFonts w:hint="eastAsia" w:ascii="仿宋_GB2312" w:eastAsia="仿宋_GB2312"/>
          <w:sz w:val="21"/>
          <w:szCs w:val="21"/>
        </w:rPr>
      </w:pPr>
      <w:r>
        <w:rPr>
          <w:rFonts w:hint="eastAsia" w:ascii="仿宋_GB2312" w:eastAsia="仿宋_GB2312"/>
          <w:sz w:val="21"/>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ZHTJW--GB1-0">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A555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pPr>
      <w:jc w:val="left"/>
    </w:pPr>
  </w:style>
  <w:style w:type="paragraph" w:styleId="3">
    <w:name w:val="Balloon Text"/>
    <w:basedOn w:val="1"/>
    <w:link w:val="16"/>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uiPriority w:val="99"/>
    <w:rPr>
      <w:b/>
      <w:bCs/>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uiPriority w:val="99"/>
    <w:rPr>
      <w:sz w:val="24"/>
      <w:szCs w:val="24"/>
    </w:rPr>
  </w:style>
  <w:style w:type="character" w:customStyle="1" w:styleId="11">
    <w:name w:val="页眉 Char"/>
    <w:basedOn w:val="9"/>
    <w:link w:val="5"/>
    <w:uiPriority w:val="99"/>
    <w:rPr>
      <w:sz w:val="18"/>
      <w:szCs w:val="18"/>
    </w:rPr>
  </w:style>
  <w:style w:type="character" w:customStyle="1" w:styleId="12">
    <w:name w:val="页脚 Char"/>
    <w:basedOn w:val="9"/>
    <w:link w:val="4"/>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Char"/>
    <w:basedOn w:val="9"/>
    <w:link w:val="2"/>
    <w:semiHidden/>
    <w:uiPriority w:val="99"/>
  </w:style>
  <w:style w:type="character" w:customStyle="1" w:styleId="15">
    <w:name w:val="批注主题 Char"/>
    <w:basedOn w:val="14"/>
    <w:link w:val="6"/>
    <w:semiHidden/>
    <w:uiPriority w:val="99"/>
    <w:rPr>
      <w:b/>
      <w:bCs/>
    </w:rPr>
  </w:style>
  <w:style w:type="character" w:customStyle="1" w:styleId="16">
    <w:name w:val="批注框文本 Char"/>
    <w:basedOn w:val="9"/>
    <w:link w:val="3"/>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947</Characters>
  <Lines>7</Lines>
  <Paragraphs>2</Paragraphs>
  <TotalTime>1</TotalTime>
  <ScaleCrop>false</ScaleCrop>
  <LinksUpToDate>false</LinksUpToDate>
  <CharactersWithSpaces>1110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2020-05-03T04:18:00Z</dcterms:created>
  <dc:creator>Cc</dc:creator>
  <cp:lastModifiedBy>haotingting</cp:lastModifiedBy>
  <dcterms:modified xsi:type="dcterms:W3CDTF">2026-09-23T06:09:28Z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D1044721232C483CA5332B40FC3036A5</vt:lpwstr>
  </property>
</Properties>
</file>