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交银施罗德深证300价值交易型开放式指数证券投资基金联接基金招募说明书（更新）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6"/>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深证300价值交易型开放式指数证券投资基金联接基金（以下简称“本基金”）经2011年6月20日中国证券监督管理委员会（以下简称“中国证监会”）证监许可【2011】967号文核准募集。本基金基金合同于2011年9月28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核准，但中国证监会对本基金募集的核准，并不表明其对本基金的价值和收益作出实质性判断或保证，也不表明投资于本基金没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者在投资本基金前，需全面认识本基金产品的风险收益特征和产品特性，充分考虑自身的风险承受能力，理性判断市场，对投资本基金的意愿、时机、数量等投资行为作出独立决策。投资者根据所持有份额享受基金的收益，但同时也需承担相应的投资风险。投资本基金可能遇到的风险包括：因政治、经济、社会等因素对证券价格波动产生影响而引发的系统性风险，个别证券特有的非系统性风险，基金管理人在基金管理实施过程中产生的基金管理风险，本基金投资债券引发的信用风险，以及本基金投资策略所特有的风险等等。本基金为ETF联接基金，紧密跟踪标的指数，具有和标的指数所代表的股票市场相似的风险收益特征，风险与收益高于混合基金、债券基金与货币市场基金，属于证券投资基金中风险较高、预期收益较高的品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本基金主要投资于目标ETF，投资者投资于本基金面临跟踪误差控制未达约定目标、指数编制机构停止服务、成份券停牌等潜在风险。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本基金标的指数为深证300价值价格指数。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1、选样空间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深证300指数样本股。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2、选样方法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1）计算价值因子的变量数值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价值因子有四个变量：每股收益与价格比率、每股经营现金流与价格比率、股息收益率、每股净资产与价格比率。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2）计算风格Z值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计算出每只股票的变量值之后，在样本空间内对所有变量值进行标准化z分处理。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确保用于标准化处理的市场均值不会因为极值而受到太大影响，计算增长率变量时，先对样本空间内所有股票的数值按照升序排列。对于处在下端10%或者上端90%等级的数值，分别设定为第10%等级与90%等级的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一个公司股票的价值Z值是四个价值因子变量Z值的均值。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3）指数选样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在深证300中选取价值Z值最高的100只股票作为深证300价值指数初始样本股。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3、指数计算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指数采用派氏加权法，依据下列公式逐日连锁实时计算：</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2.75pt;width:368.25pt">
            <v:imagedata r:id="rId11"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有关标的指数具体编制方案及成份股信息详见深圳证券信息有限公司国证指数网网站，网址：www.cnindex.com.cn。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投资有风险，投资者在投资本基金前应认真阅读本基金的招募说明书、基金合同、基金产品资料概要。基金的过往业绩并不代表其未来表现。基金管理人管理的其他基金的业绩并不构成对本基金业绩表现的保证。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2"/>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_Toc256000026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_Toc256000027 \h </w:instrText>
      </w:r>
      <w:r>
        <w:fldChar w:fldCharType="separate"/>
      </w:r>
      <w:r>
        <w:rPr>
          <w:rStyle w:val="Hyperlink"/>
        </w:rPr>
        <w:t>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_Toc256000028 \h </w:instrText>
      </w:r>
      <w:r>
        <w:fldChar w:fldCharType="separate"/>
      </w:r>
      <w:r>
        <w:rPr>
          <w:rStyle w:val="Hyperlink"/>
        </w:rPr>
        <w:t>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_Toc256000029 \h </w:instrText>
      </w:r>
      <w:r>
        <w:fldChar w:fldCharType="separate"/>
      </w:r>
      <w:r>
        <w:rPr>
          <w:rStyle w:val="Hyperlink"/>
        </w:rPr>
        <w:t>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_Toc256000030 \h </w:instrText>
      </w:r>
      <w:r>
        <w:fldChar w:fldCharType="separate"/>
      </w:r>
      <w:r>
        <w:rPr>
          <w:rStyle w:val="Hyperlink"/>
        </w:rPr>
        <w:t>18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_Toc256000031 \h </w:instrText>
      </w:r>
      <w:r>
        <w:fldChar w:fldCharType="separate"/>
      </w:r>
      <w:r>
        <w:rPr>
          <w:rStyle w:val="Hyperlink"/>
        </w:rPr>
        <w:t>21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六、基金的募集</w:t>
      </w:r>
      <w:r>
        <w:rPr>
          <w:rStyle w:val="Hyperlink"/>
        </w:rPr>
        <w:tab/>
      </w:r>
      <w:r>
        <w:fldChar w:fldCharType="begin"/>
      </w:r>
      <w:r>
        <w:rPr>
          <w:rStyle w:val="Hyperlink"/>
        </w:rPr>
        <w:instrText xml:space="preserve"> PAGEREF _Toc256000032 \h </w:instrText>
      </w:r>
      <w:r>
        <w:fldChar w:fldCharType="separate"/>
      </w:r>
      <w:r>
        <w:rPr>
          <w:rStyle w:val="Hyperlink"/>
        </w:rPr>
        <w:t>46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七、基金合同的生效</w:t>
      </w:r>
      <w:r>
        <w:rPr>
          <w:rStyle w:val="Hyperlink"/>
        </w:rPr>
        <w:tab/>
      </w:r>
      <w:r>
        <w:fldChar w:fldCharType="begin"/>
      </w:r>
      <w:r>
        <w:rPr>
          <w:rStyle w:val="Hyperlink"/>
        </w:rPr>
        <w:instrText xml:space="preserve"> PAGEREF _Toc256000033 \h </w:instrText>
      </w:r>
      <w:r>
        <w:fldChar w:fldCharType="separate"/>
      </w:r>
      <w:r>
        <w:rPr>
          <w:rStyle w:val="Hyperlink"/>
        </w:rPr>
        <w:t>48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八、基金份额的申购与赎回</w:t>
      </w:r>
      <w:r>
        <w:rPr>
          <w:rStyle w:val="Hyperlink"/>
        </w:rPr>
        <w:tab/>
      </w:r>
      <w:r>
        <w:fldChar w:fldCharType="begin"/>
      </w:r>
      <w:r>
        <w:rPr>
          <w:rStyle w:val="Hyperlink"/>
        </w:rPr>
        <w:instrText xml:space="preserve"> PAGEREF _Toc256000034 \h </w:instrText>
      </w:r>
      <w:r>
        <w:fldChar w:fldCharType="separate"/>
      </w:r>
      <w:r>
        <w:rPr>
          <w:rStyle w:val="Hyperlink"/>
        </w:rPr>
        <w:t>49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九、基金的转换</w:t>
      </w:r>
      <w:r>
        <w:rPr>
          <w:rStyle w:val="Hyperlink"/>
        </w:rPr>
        <w:tab/>
      </w:r>
      <w:r>
        <w:fldChar w:fldCharType="begin"/>
      </w:r>
      <w:r>
        <w:rPr>
          <w:rStyle w:val="Hyperlink"/>
        </w:rPr>
        <w:instrText xml:space="preserve"> PAGEREF _Toc256000035 \h </w:instrText>
      </w:r>
      <w:r>
        <w:fldChar w:fldCharType="separate"/>
      </w:r>
      <w:r>
        <w:rPr>
          <w:rStyle w:val="Hyperlink"/>
        </w:rPr>
        <w:t>62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_Toc256000036 \h </w:instrText>
      </w:r>
      <w:r>
        <w:fldChar w:fldCharType="separate"/>
      </w:r>
      <w:r>
        <w:rPr>
          <w:rStyle w:val="Hyperlink"/>
        </w:rPr>
        <w:t>69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_Toc256000037 \h </w:instrText>
      </w:r>
      <w:r>
        <w:fldChar w:fldCharType="separate"/>
      </w:r>
      <w:r>
        <w:rPr>
          <w:rStyle w:val="Hyperlink"/>
        </w:rPr>
        <w:t>80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_Toc256000038 \h </w:instrText>
      </w:r>
      <w:r>
        <w:fldChar w:fldCharType="separate"/>
      </w:r>
      <w:r>
        <w:rPr>
          <w:rStyle w:val="Hyperlink"/>
        </w:rPr>
        <w:t>82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_Toc256000039 \h </w:instrText>
      </w:r>
      <w:r>
        <w:fldChar w:fldCharType="separate"/>
      </w:r>
      <w:r>
        <w:rPr>
          <w:rStyle w:val="Hyperlink"/>
        </w:rPr>
        <w:t>83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十四、基金的收益与分配</w:t>
      </w:r>
      <w:r>
        <w:rPr>
          <w:rStyle w:val="Hyperlink"/>
        </w:rPr>
        <w:tab/>
      </w:r>
      <w:r>
        <w:fldChar w:fldCharType="begin"/>
      </w:r>
      <w:r>
        <w:rPr>
          <w:rStyle w:val="Hyperlink"/>
        </w:rPr>
        <w:instrText xml:space="preserve"> PAGEREF _Toc256000040 \h </w:instrText>
      </w:r>
      <w:r>
        <w:fldChar w:fldCharType="separate"/>
      </w:r>
      <w:r>
        <w:rPr>
          <w:rStyle w:val="Hyperlink"/>
        </w:rPr>
        <w:t>90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_Toc256000041 \h </w:instrText>
      </w:r>
      <w:r>
        <w:fldChar w:fldCharType="separate"/>
      </w:r>
      <w:r>
        <w:rPr>
          <w:rStyle w:val="Hyperlink"/>
        </w:rPr>
        <w:t>92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_Toc256000042 \h </w:instrText>
      </w:r>
      <w:r>
        <w:fldChar w:fldCharType="separate"/>
      </w:r>
      <w:r>
        <w:rPr>
          <w:rStyle w:val="Hyperlink"/>
        </w:rPr>
        <w:t>94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_Toc256000043 \h </w:instrText>
      </w:r>
      <w:r>
        <w:fldChar w:fldCharType="separate"/>
      </w:r>
      <w:r>
        <w:rPr>
          <w:rStyle w:val="Hyperlink"/>
        </w:rPr>
        <w:t>95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十八、风险揭示</w:t>
      </w:r>
      <w:r>
        <w:rPr>
          <w:rStyle w:val="Hyperlink"/>
        </w:rPr>
        <w:tab/>
      </w:r>
      <w:r>
        <w:fldChar w:fldCharType="begin"/>
      </w:r>
      <w:r>
        <w:rPr>
          <w:rStyle w:val="Hyperlink"/>
        </w:rPr>
        <w:instrText xml:space="preserve"> PAGEREF _Toc256000044 \h </w:instrText>
      </w:r>
      <w:r>
        <w:fldChar w:fldCharType="separate"/>
      </w:r>
      <w:r>
        <w:rPr>
          <w:rStyle w:val="Hyperlink"/>
        </w:rPr>
        <w:t>101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十九、基金合同的终止与基金财产的清算</w:t>
      </w:r>
      <w:r>
        <w:rPr>
          <w:rStyle w:val="Hyperlink"/>
        </w:rPr>
        <w:tab/>
      </w:r>
      <w:r>
        <w:fldChar w:fldCharType="begin"/>
      </w:r>
      <w:r>
        <w:rPr>
          <w:rStyle w:val="Hyperlink"/>
        </w:rPr>
        <w:instrText xml:space="preserve"> PAGEREF _Toc256000045 \h </w:instrText>
      </w:r>
      <w:r>
        <w:fldChar w:fldCharType="separate"/>
      </w:r>
      <w:r>
        <w:rPr>
          <w:rStyle w:val="Hyperlink"/>
        </w:rPr>
        <w:t>108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二十、基金合同的内容摘要</w:t>
      </w:r>
      <w:r>
        <w:rPr>
          <w:rStyle w:val="Hyperlink"/>
        </w:rPr>
        <w:tab/>
      </w:r>
      <w:r>
        <w:fldChar w:fldCharType="begin"/>
      </w:r>
      <w:r>
        <w:rPr>
          <w:rStyle w:val="Hyperlink"/>
        </w:rPr>
        <w:instrText xml:space="preserve"> PAGEREF _Toc256000046 \h </w:instrText>
      </w:r>
      <w:r>
        <w:fldChar w:fldCharType="separate"/>
      </w:r>
      <w:r>
        <w:rPr>
          <w:rStyle w:val="Hyperlink"/>
        </w:rPr>
        <w:t>110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二十一、托管协议的内容摘要</w:t>
      </w:r>
      <w:r>
        <w:rPr>
          <w:rStyle w:val="Hyperlink"/>
        </w:rPr>
        <w:tab/>
      </w:r>
      <w:r>
        <w:fldChar w:fldCharType="begin"/>
      </w:r>
      <w:r>
        <w:rPr>
          <w:rStyle w:val="Hyperlink"/>
        </w:rPr>
        <w:instrText xml:space="preserve"> PAGEREF _Toc256000047 \h </w:instrText>
      </w:r>
      <w:r>
        <w:fldChar w:fldCharType="separate"/>
      </w:r>
      <w:r>
        <w:rPr>
          <w:rStyle w:val="Hyperlink"/>
        </w:rPr>
        <w:t>125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二十二、对基金份额持有人的服务</w:t>
      </w:r>
      <w:r>
        <w:rPr>
          <w:rStyle w:val="Hyperlink"/>
        </w:rPr>
        <w:tab/>
      </w:r>
      <w:r>
        <w:fldChar w:fldCharType="begin"/>
      </w:r>
      <w:r>
        <w:rPr>
          <w:rStyle w:val="Hyperlink"/>
        </w:rPr>
        <w:instrText xml:space="preserve"> PAGEREF _Toc256000048 \h </w:instrText>
      </w:r>
      <w:r>
        <w:fldChar w:fldCharType="separate"/>
      </w:r>
      <w:r>
        <w:rPr>
          <w:rStyle w:val="Hyperlink"/>
        </w:rPr>
        <w:t>142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二十三、其他应披露事项</w:t>
      </w:r>
      <w:r>
        <w:rPr>
          <w:rStyle w:val="Hyperlink"/>
        </w:rPr>
        <w:tab/>
      </w:r>
      <w:r>
        <w:fldChar w:fldCharType="begin"/>
      </w:r>
      <w:r>
        <w:rPr>
          <w:rStyle w:val="Hyperlink"/>
        </w:rPr>
        <w:instrText xml:space="preserve"> PAGEREF _Toc256000049 \h </w:instrText>
      </w:r>
      <w:r>
        <w:fldChar w:fldCharType="separate"/>
      </w:r>
      <w:r>
        <w:rPr>
          <w:rStyle w:val="Hyperlink"/>
        </w:rPr>
        <w:t>144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二十四、招募说明书的存放及查阅方式</w:t>
      </w:r>
      <w:r>
        <w:rPr>
          <w:rStyle w:val="Hyperlink"/>
        </w:rPr>
        <w:tab/>
      </w:r>
      <w:r>
        <w:fldChar w:fldCharType="begin"/>
      </w:r>
      <w:r>
        <w:rPr>
          <w:rStyle w:val="Hyperlink"/>
        </w:rPr>
        <w:instrText xml:space="preserve"> PAGEREF _Toc256000050 \h </w:instrText>
      </w:r>
      <w:r>
        <w:fldChar w:fldCharType="separate"/>
      </w:r>
      <w:r>
        <w:rPr>
          <w:rStyle w:val="Hyperlink"/>
        </w:rPr>
        <w:t>145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二十五、备查文件</w:t>
      </w:r>
      <w:r>
        <w:rPr>
          <w:rStyle w:val="Hyperlink"/>
        </w:rPr>
        <w:tab/>
      </w:r>
      <w:r>
        <w:fldChar w:fldCharType="begin"/>
      </w:r>
      <w:r>
        <w:rPr>
          <w:rStyle w:val="Hyperlink"/>
        </w:rPr>
        <w:instrText xml:space="preserve"> PAGEREF _Toc256000051 \h </w:instrText>
      </w:r>
      <w:r>
        <w:fldChar w:fldCharType="separate"/>
      </w:r>
      <w:r>
        <w:rPr>
          <w:rStyle w:val="Hyperlink"/>
        </w:rPr>
        <w:t>146</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3"/>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7"/>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深证300价值交易型开放式指数证券投资基金联接基金招募说明书》（以下简称“本招募说明书”）依据《中华人民共和国证券投资基金法》、《证券投资基金运作管理办法》、《证券投资基金销售管理办法》、《公开募集证券投资基金信息披露管理办法》、《公开募集开放式证券投资基金流动性风险管理规定》（以下简称“《流动性规定》”）、《公开募集证券投资基金运作指引第3号——指数基金指引》（以下简称“《指数基金指引》”）和其他相关法律法规的规定以及《交银施罗德深证300价值交易型开放式指数证券投资基金联接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核准。基金合同是约定基金当事人之间权利、义务的法律文件。基金投资者自依基金合同取得基金份额，即成为基金份额持有人和基金合同的当事人，其持有基金份额的行为本身即表明其对基金合同的承认和接受，并按照《基金法》、基金合同及其他有关规定享有权利、承担义务。基金投资者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8"/>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1、基金或本基金：指交银施罗德深证300价值交易型开放式指数证券投资基金联接基金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2、基金管理人或本基金管理人：指交银施罗德基金管理有限公司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3、基金托管人或本基金托管人：指中国农业银行股份有限公司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4、基金合同或本基金合同：指《交银施罗德深证300价值交易型开放式指数证券投资基金联接基金基金合同》及对基金合同的任何有效修订和补充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5、托管协议：指基金管理人与基金托管人就本基金签订之《交银施罗德深证300价值交易型开放式指数证券投资基金联接基金托管协议》及对该托管协议的任何有效修订和补充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6、招募说明书或本招募说明书：指《交银施罗德深证300价值交易型开放式指数证券投资基金联接基金招募说明书》，及其更新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7、基金份额发售公告：指《交银施罗德深证300价值交易型开放式指数证券投资基金联接基金份额发售公告》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8、基金产品资料概要：指《交银施罗德深证300价值交易型开放式指数证券投资基金基金产品资料概要》及其更新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9、法律法规：指中国现行有效并公布实施的法律、行政法规、部门规章、规范性文件及对该等法律法规不时作出的修订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10、《基金法》：指2003年10月28日经第十届全国人民代表大会常务委员会第五次会议通过，自2004年6月1日起实施的《中华人民共和国证券投资基金法》及颁布机关对其不时作出的修订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11、《证券法》：指2005年10月27日经第十届全国人民代表大会常务委员会第十八次会议通过，自2006年1月1日实施的《中华人民共和国证券法》及对其不时做出的修订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12、《销售办法》：指中国证监会2011年6月9日颁布、同年10月1日实施的《证券投资基金销售管理办法》及对其不时作出的修订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13、《信息披露办法》：指中国证监会2019年7月26日颁布、同年9月1日实施的《公开募集证券投资基金信息披露管理办法》及对其不时作出的修订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14、《运作办法》：指中国证监会2004年6月29日颁布、同年7月1日实施的《证券投资基金运作管理办法》及对其不时作出的修订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15、《流动性规定》：指中国证监会2017年8月31日颁布、同年10月1日实施的《公开募集开放式证券投资基金流动性风险管理规定》及颁布机关对其不时做出的修订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16、《指数基金指引》：指中国证监会2021年1月22日颁布、同年2月1日实施的《公开募集证券投资基金运作指引第3号——指数基金指引》及颁布机关对其不时做出的修订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17、中国：指中华人民共和国，就本基金合同而言，不包括香港特别行政区、澳门特别行政区和台湾地区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18、中国证监会：指中国证券监督管理委员会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19、中国银监会：指中国银行业监督管理委员会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21、个人投资者：指符合法律法规规定的条件可以投资证券投资基金的自然人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22、机构投资者：指符合法律法规规定可以投资证券投资基金的在中国境内注册登记或经政府有关部门批准设立的机构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合格境外机构投资者：指符合《合格境外机构投资者境内证券投资管理办法》及其他相关法律法规规定的条件，经中国证监会批准可投资于中国证券市场，并取得国家外汇管理局额度批准的中国境外的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24、基金投资者或投资者：指个人投资者、机构投资者和合格境外机构投资者，以及法律法规或中国证监会允许购买证券投资基金的其他投资者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25、基金份额持有人：指依招募说明书和基金合同合法取得基金份额的基金投资者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26、基金销售业务：指基金的宣传推介、认购、申购、赎回、转换、转托管及定期定额投资等业务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27、销售机构：指直销机构和代销机构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28、直销机构：指交银施罗德基金管理有限公司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29、代销机构：指符合《销售办法》和中国证监会规定的其他条件，取得基金代销业务资格并与基金管理人签订了基金销售服务代理协议，代为办理基金销售业务的机构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30、基金销售网点：指直销机构的直销中心及代销机构的代销网点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注册登记业务：指基金登记、存管、过户、清算和结算业务，具体内容包括基金投资者基金账户的建立和管理、基金份额注册登记、基金销售业务的确认、清算和结算、代理发放红利、建立并保管基金份额持有人名册、办理非交易过户业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32、注册登记机构：指办理注册登记业务的机构。基金的注册登记机构为交银施罗德基金管理有限公司或接受交银施罗德基金管理有限公司委托代为办理注册登记业务的机构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33、基金账户：指注册登记机构为基金投资者开立的、记录其持有的、基金管理人所管理的基金份额余额及其变动情况的账户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34、基金交易账户：指销售机构为基金投资者开立的、记录基金投资者通过该销售机构办理交易业务而引起的基金份额的变动及结余情况的账户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35、基金合同生效日：指基金募集期结束后达到法律法规规定及基金合同约定的备案条件，基金管理人聘请法定机构验资并向中国证监会办理基金备案手续完毕，并收到其书面确认的日期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目标ETF：指另一获中国证监会核准的交易型开放式指数证券投资基金（简称ETF），该ETF和本基金所跟踪的标的指数相同，并且该ETF的投资目标和本基金的投资目标类似，本基金主要投资于该ETF以求达到投资目标。发售时，本基金选择深证300价值交易型开放式指数证券投资基金为目标ETF</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ETF联接基金或联接基金：指将绝大多数基金财产投资于跟踪同一标的指数的目标ETF，紧密跟踪标的指数表现，追求跟踪偏离度和跟踪误差最小化，采用开放式运作方式的基金，本基金是联接其所投资的目标ETF的ETF联接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39、基金募集期：指自基金份额发售之日起至发售结束之日止的期间，最长不得超过3个月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40、存续期：指基金合同生效至终止之间的不定期期限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41、工作日：指上海证券交易所、深圳证券交易所的正常交易日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42、日：指公历日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43、月：指公历月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44、T日：指销售机构在规定时间受理基金投资者申购、赎回或其他基金业务申请的工作日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45、T+n日：指自T日起第n个工作日（不包含T日）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46、开放日：指为基金投资者办理基金份额申购、赎回或其他业务的工作日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47、交易时间：指开放日基金接受申购、赎回或其他交易的时间段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48、认购：指在基金募集期间，基金投资者申请购买基金份额的行为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49、申购：指在基金存续期内，基金投资者按基金合同和招募说明书的规定申请购买基金份额的行为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50、赎回：指在基金存续期内基金份额持有人按基金合同和招募说明书的规定的条件要求申请将基金份额兑换为现金的行为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51、标的指数：指深证300价值价格指数及其未来可能发生的变更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基金转换：基金份额持有人按照基金合同和基金管理人届时有效公告规定的条件，向基金管理人提出申请将其所持有的基金管理人管理的某一开放式基金（转出基金）的全部或部分基金份额转换为基金管理人管理的其他开放式基金（转入基金）的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定期定额投资计划：指基金投资者通过有关销售机构提出申请，约定每期申购日、扣款金额及扣款方式，由销售机构在基金投资者指定银行账户内自动完成扣款并于每期约定的申购日提交基金申购申请的一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54、转托管：指基金份额持有人在本基金的不同销售机构之间实施变更所持基金份额销售机构的操作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巨额赎回：指本基金单个开放日，基金净赎回申请（赎回申请份额总数加上基金转换中转出申请份额总数后扣除申购申请份额总数及基金转换中转入申请份额总数后的余额）超过上一工作日基金总份额的10%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56、元：指人民币元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57、基金利润：指基金利息收入、投资收益、公允价值变动收益和其他收入扣除相关费用后的余额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58、基金资产总值：指基金拥有的包括目标ETF份额在内的各类有价证券、银行存款本息、基金应收款项及其他资产的价值总和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59、基金资产净值：指基金资产总值减去基金负债后的净资产值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60、基金份额净值：指计算日基金资产净值除以计算日基金份额总数的数值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61、基金资产估值：指计算评估基金资产和负债的价值，以确定基金资产净值和基金份额净值的过程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63、指定媒介：指中国证监会指定的用以进行信息披露的全国性报刊及指定互联网网站（包括基金管理人网站、基金托管人网站、中国证监会基金电子披露网站）等媒介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64、《业务规则》：指《交银施罗德基金管理有限公司开放式基金业务规则》，是规范基金管理人所管理的开放式证券投资基金注册登记方面的业务规则，由基金管理人制订、解释与修订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65、不可抗力：指本基金合同当事人不能预见、不能避免且不能克服，且在本基金合同由基金管理人、基金托管人签署之日后发生的，使本基金合同当事人无法全部或部分履行本基金合同的任何事件，包括但不限于洪水、地震及其他自然灾害、战争、骚乱、火灾、政府征用、没收、法律法规变化、突发停电或其他突发事件、证券交易所非正常暂停或停止交易</w:t>
      </w:r>
    </w:p>
    <w:p>
      <w:pPr>
        <w:pStyle w:val="Heading1"/>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邵文婷女士:多资产研究部副总监、基金经理。英国诺丁汉大学金融与投资硕士、西南财经大学数学与经济学双学士。10年证券投资行业从业经验。2016年加入交银施罗德基金管理有限公司，曾任量化投资部研究员、投资经理，现任多资产研究部副总监、基金经理。曾任交银施罗德定期支付月月丰债券型证券投资基金（2022年11月30日至2024年12月27日）的基金经理。现任交银施罗德中证A500指数增强型发起式证券投资基金（2026年02月10日至今）、交银施罗德中证智选沪深港科技50交易型开放式指数证券投资基金（2025年12月10日至今）、交银施罗德中证港股通央企红利指数型证券投资基金（2025年10月28日至今）、交银施罗德恒生港股通创新药精选指数型证券投资基金（2025年08月20日至今）、交银施罗德中证A50指数型证券投资基金（2025年04月02日至今）、交银施罗德上证科创板100指数型证券投资基金（2025年02月26日至今）、交银施罗德中证A500指数型证券投资基金（2025年01月22日至今）、交银施罗德中证红利低波动100指数型证券投资基金（2024年03月15日至今）、上证180公司治理交易型开放式指数证券投资基金（2021年04月30日至今）、交银施罗德上证180公司治理交易型开放式指数证券投资基金联接基金（2021年04月30日至今）、深证300价值交易型开放式指数证券投资基金（2021年04月30日至今）、交银施罗德深证300价值交易型开放式指数证券投资基金联接基金（2021年04月30日至今）、交银施罗德国证新能源指数证券投资基金（LOF）（2021年04月30日至今）、交银施罗德创业板50指数型证券投资基金（2021年04月30日至今）、交银施罗德中证海外中国互联网指数型证券投资基金(LOF)（2021年04月30日至今）、交银施罗德中证环境治理指数型证券投资基金(LOF)（2021年04月30日至今）的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本基金历任基金经理：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屈乐伟先生（2011年09月28日至2013年03月29日）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蔡铮先生（2012年12月27日至2021年04月30日）</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1、基金管理人承诺不从事违反《证券法》的行为，并承诺建立健全内部控制制度，采取有效措施，防止违反《证券法》行为的发生；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（5）依照法律法规有关规定，由中国证监会规定禁止的其他行为。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0"/>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名称：中国农业银行股份有限公司（简称中国农业银行）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法定代表人：谷澍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基金托管资格批文及文号：中国证监会证监基字[1998]23号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注册资本：34,998,303.4万元人民币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（二）基金托管人的内部风险控制制度说明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2、内部控制组织结构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3、内部控制制度及措施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1、电话提示。对媒体和舆论反映集中的问题，电话提示基金管理人；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3、书面报告。对投资比例超标、清算资金透支以及其他涉嫌违规交易等行为，书面提示有关基金管理人并报中国证监会。</w:t>
      </w:r>
    </w:p>
    <w:p>
      <w:pPr>
        <w:pStyle w:val="Heading1"/>
        <w:snapToGrid w:val="0"/>
        <w:spacing w:before="240" w:beforeLines="0" w:after="0"/>
        <w:rPr>
          <w:rFonts w:ascii="宋体" w:hAnsi="宋体"/>
          <w:szCs w:val="30"/>
        </w:rPr>
      </w:pPr>
      <w:r>
        <w:br w:type="page"/>
      </w:r>
      <w:bookmarkStart w:id="12" w:name="_Toc256000005"/>
      <w:bookmarkStart w:id="13" w:name="_Toc256000031"/>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个人投资者可以通过基金管理人网上直销交易平台办理开户、本基金的申购、赎回、定期定额投资、转换等业务，具体交易细则请参阅基金管理人网站。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2、场内代销机构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具有基金代销资格的上海证券交易所场内会员单位（具体名单见基金份额发售公告）。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3、场外代销机构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（1）名称：中国工商银行股份有限公司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法定代表人：廖林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网址：www.icbc.com.cn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法定代表人：周慕冰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联系人：贺倩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网址：www.abchina.com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（3）名称：中国建设银行股份有限公司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住所：北京市西城区金融大街25号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办公地址：北京市西城区闹市口大街1号院1号楼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法定代表人：张金良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电话：（010）66275654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传真：（010）66275654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网址：www.ccb.com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（4）名称：交通银行股份有限公司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法定代表人：任德奇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电话：（021）58781234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传真：（021）58408483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联系人：范瑞波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网址：www.bankcomm.com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（5）名称：招商银行股份有限公司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传真：（0755）83195109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联系人：季平伟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（6）名称：中信银行股份有限公司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法定代表人：朱鹤新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电话：（010）89936330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传真：（010）85230024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联系人：丰靖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（7）名称：中国民生银行股份有限公司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住所：北京市西城区复兴门内大街2号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法定代表人：洪崎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电话：（010）58560666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传真：（010）57092611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95568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（8）名称：北京银行股份有限公司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住所：北京市西城区金融大街甲17号首层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办公地址：北京市西城区金融大街甲17号首层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法定代表人：张东宁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传真：（010）66226045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联系人：孔超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网址：www.bankofbeijing.com.cn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（9）名称：华夏银行股份有限公司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住所：北京市东城区建国门内大街22号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办公地址：北京市东城区建国门内大街22号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法定代表人：李民吉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（10）名称：上海银行股份有限公司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住所：上海市银城中路168号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办公地址：上海市银城中路168号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法定代表人：金煜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电话：（021）68475888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传真：（021）68476111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客户服务电话：（021）962888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网址：www.bankofshanghai.com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（11）名称：宁波银行股份有限公司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住所：宁波市江东区中山东路294号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法定代表人：陆华裕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电话：（021）63586210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传真：（021）63586215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联系人：胡技勋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客户服务电话：96528（上海地区962528）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网址：www.nbcb.com.cn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（12）名称：东莞农村商业银行股份有限公司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住所：东莞市东城区鸿福东路2号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办公地址：东莞市东城区鸿福东路2号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法定代表人：王耀球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电话：（0769）22866254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传真：（0769）22866282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联系人：林培珊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客户服务电话：（0769）961122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网址：www.drcbank.com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（13）名称：江苏常熟农村商业银行股份有限公司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住所：江苏省常熟市新世纪大道58号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办公地址：江苏省常熟市新世纪大道58号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法定代表人：宋建明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联系电话：（0512）52909128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传真：（0512）52909122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客户服务电话：962000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网址：www.csrcbank.com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（14）名称：江苏江南农村商业银行股份有限公司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住所：江苏省常州市和平中路413号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办公地址：江苏省常州市和平中路413号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法定代表人：陆向阳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电话：0519-80585939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传真：0519-89995170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网址：http://www.jnbank.com.cn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（15）名称：平安银行股份有限公司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注册地址：深圳市罗湖区深南东路5047号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法定代表人：谢永林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电话：0755-22166574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传真：0755-82080406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客服电话：95511-3或95501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（16）名称：中国邮政储蓄银行股份有限公司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传真：（010）68858117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联系人：陈春林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网址：www.psbc.com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（17）名称：申万宏源证券有限公司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法定代表人：杨玉成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电话：（021）33389888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联系人：李清怡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客户服务电话：95523或4008895523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网址：www.sywg.com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（18）名称：平安证券股份有限公司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住所：深圳市福田区金田路大中华国际交易广场裙楼8楼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办公地址：深圳市福田区金田路大中华国际交易广场裙楼8楼(518048)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法定代表人：杨宇翔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电话：（0755）22627802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传真：（0755）82400862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联系人：郑舒丽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（19）名称：华西证券股份有限公司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法定代表人：杨炯洋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电话：（028）86135991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传真：（028）86150400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联系人：周志茹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（20）名称：中国国际金融股份有限公司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法定代表人：毕明建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电话：（010）65051166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传真：（010）85679203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联系人：杨涵宇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（21）名称：红塔证券股份有限公司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住所：云南省昆明市北京路155号附1号红塔大厦9楼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办公地址：云南省昆明市北京路155号附1号红塔大厦9楼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法定代表人：况雨林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客户服务电话：0871-3577888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网址：www.hongtastock.com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（22）名称：粤开证券股份有限公司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注册地址：广州市黄埔区科学大道60号开发区控股中心19、22、23层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办公地址：广州市黄埔区科学大道60号开发区控股中心19、22、23层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法定代表人：郭川舟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客服电话：95564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网址：www.ykzq.com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（23）名称：中国中金财富证券有限公司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（24）名称：申万宏源西部证券有限公司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住所：新疆乌鲁木齐市建设路2号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办公地址：北京市西城区太平桥大街19号宏源证券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法定代表人：冯戎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电话：（010）88085858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传真：（010）88085195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客户服务电话：4008-000-562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网址：www.hysec.com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（25）名称：山西证券股份有限公司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法定代表人：侯巍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电话：0351—8686815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联系人：谢武兵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客户服务电话：400-666-1618、95573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网址：www.i618.com.cn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（26）名称：国金证券股份有限公司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法定代表人：冉云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（27）名称：中信证券股份有限公司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住所：广东省深圳市福田区中心三路8号卓越时代广场（二期）北座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办公地址：北京市朝阳区亮马桥路48号中信证券大厦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法定代表人：张佑君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（28）名称：中信证券（山东）有限责任公司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（29）名称：中信证券华南股份有限公司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法定代表人：陈可可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电话：020-88836999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传真：020-88836984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联系人：郭杏燕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客服电话：（020）95396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网址：www.gzs.com.cn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（30）名称：华龙证券股份有限公司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传真：（0931）4890628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联系人：李昕田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客户服务电话：4006898888、（0931）4890208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网址：www.hlzqgs.com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（31）名称：国泰海通证券股份有限公司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（32）名称：东莞证券股份有限公司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网址：www.dgzq.com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（33）名称：深圳市新兰德证券投资咨询有限公司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住所：深圳市福田区华强北路赛格科技园4栋10层1006#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电话：（010）58325395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传真：（010）58325282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联系人：刘宝文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客户服务电话：400-850-7771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网址：http://8.jrj.com.cn/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（34）名称：和讯信息科技有限公司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电话：（021）20835789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传真：（021）20835879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客户服务电话：4009200022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网址：http://licaike.hexun.com/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（35）名称：上海挖财基金销售有限公司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法定代表人：吕柳霞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电话：021-50810673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传真：021-50810687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邮编：200120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联系人：毛善波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客服电话：400-711-8718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网址：www.wacaijijin.com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（36）名称：北京度小满基金销售有限公司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注册地址：北京市海淀区西北旺东路10号院西区4号楼1层103室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法定代表人：葛新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办公地址：北京市海淀区西北旺东路10号院西区4号楼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机构联系人：王笑宇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联系人电话：010-59403028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联系人传真：010-59403027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客户服务电话：95055-4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公司网址：www.baiyingfund.com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（37）名称：诺亚正行基金销售有限公司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住所:上海市虹口区飞虹路360弄9号3724室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办公地址:上海市杨浦区长阳路1687号长阳谷2号楼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法定代表：汪静波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电话：（021）80358523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传真：（021）80358749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客户服务电话：4008215399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网址：www.noah-fund.com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（38）名称：深圳众禄基金销售股份有限公司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电话：（0755）33227953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传真：（0755）33227951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联系人：汤素娅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客户服务电话：4006-788-887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网址：www.zlfund.cn，www.jjmmw.com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（39）名称：上海天天基金销售有限公司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住所：上海市徐汇区龙田路190号2号楼2层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办公地址：上海市徐汇区宛平南路88号金座东方财富大厦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法定代表人：其实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电话：（021）54509998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传真：（021）64385308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联系人：屠彦洋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客户服务电话：400-1818-188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网址：www.1234567.com.cn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（40）名称：上海好买基金销售有限公司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住所：上海市虹口区场中路685弄37号4号楼449室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办公地址：上海市浦东新区浦东南路1118号鄂尔多斯国际大厦903-906室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法定代表人：杨文斌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传真：（021）68596916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联系人：薛年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客户服务电话：400-700-9665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网址：www.howbuy.com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（41）名称：蚂蚁（杭州）基金销售有限公司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住所：浙江省杭州市余杭区五常街道文一西路969号3幢5层599室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办公地址：浙江省杭州市西湖区西溪路556号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电话：（0571）28829790，（021）60897869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传真：（0571）26698533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联系人：韩爱彬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网址：www.fund123.cn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（42）名称：上海长量基金销售有限公司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住所：上海市浦东新区高翔路526号2幢220室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办公地址：上海市浦东新区浦东大道555号裕景国际B座16层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法定代表人：张跃伟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电话：（021）20691832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传真：（021）20691861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联系人：单丙烨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客户服务电话：400-820-2899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网址：www.erichfund.com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（43）名称：浙江同花顺基金销售有限公司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住所：浙江省杭州市文二西路1号元茂大厦903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办公地址：浙江杭州余杭区五常街道同顺街18号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电话：（0571）88911818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传真：（0571）86800423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客户服务电话：952555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网址：https://fund.10jqka.com.cn/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（44）名称：北京展恒基金销售股份有限公司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住所：北京市顺义区后沙峪镇安富街6号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办公地址：北京市朝阳区安苑路15-1号邮电新闻大厦2层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法定代表人：闫振杰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电话：（010）59601366-7024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传真：（010）62020355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客户服务电话：400-888-6661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网址：www.myfund.com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（45）名称：上海利得基金销售有限公司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上海浦东新区峨山路91弄61号陆家嘴软件园10号楼12楼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办公地址：上海市虹口区东大名路1098号浦江国际金融广场53层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法定代表人：李兴春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电话：021-50583533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传真：021-50583633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伍豪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客服电话：400-032-5885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网址：www.leadfund.com.cn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（46）名称：嘉实财富管理有限公司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办公地址及其联系方式：北京市朝阳区建国门外大街21号北京国际俱乐部C座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张峰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010-85097302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联系人：闫欢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客户服务电话：400-021-8850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公司网址：http://www.harvestwm.cn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（47）名称：北京创金启富基金销售有限公司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梁蓉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电话：010-66154828-8047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传真：010-63583991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魏素清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客户服务电话：010-66154828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https://www.5irich.com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（48）名称：泛华普益基金销售有限公司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住所：成都市成华区建设路9号高地中心1101室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办公地址：成都市金牛区花照壁西顺街399号1栋1单元龙湖西宸天街B座1201号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法定代表人：于海锋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电话：028-8661-6229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联系人：隋亚方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客户服务电话：400-080-3388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网址：https://www.puyifund.com/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（49）名称：宜信普泽（北京）基金销售有限公司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法定代表人：汤蕾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电话：010-5090-5707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联系人：蒋凯帆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客户服务电话：400-6099-200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网址：http://www.puzefund.com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（50）名称：南京苏宁基金销售有限公司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联系人：冯鹏鹏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网址：www.snjijin.com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（51）名称：格上富信投资顾问有限公司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法定代表人：李悦章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电话：（010）85594745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传真：（010）65983333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客户服务电话：400-066-8586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网址：www.igesafe.com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（52）名称：北京汇成基金销售有限公司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住所：北京市西城区宣武门外大街甲1号4层401-2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办公地址：北京市西城区宣武门外大街甲1号环球财讯中心D座4层401-2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法定代表人：王伟刚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电话：（010）56282140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传真：（010）62680827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客户服务电话：010-63158805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网址：www.hcfunds.co</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（53）名称：深圳市米粒基金销售有限公司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法定代表人：黎泰材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联系人：董宣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联系电话：0755-26695461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（54）名称：北京广源达信基金销售有限公司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注册地址：北京市西城区新街口外大街28号C座六层605室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办公地址：北京市顺义区天祥路6号院北京东航中心T1A-304B室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法定代表人：齐剑辉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联系人：赵明锦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网址：https://www.niuniufund.com/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（55）名称：上海大智慧基金销售有限公司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法定代表人：申健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电话：021-0219988-35374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传真：021-20219923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客户服务电话：021-20292031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网址：https://www.wg.com.cn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（56）名称：北京新浪仓石基金销售有限公司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电话：010-58982465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客服电话：010-6267 5369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网址：www.xincai.com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（57）名称：上海万得基金销售有限公司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住所：中国（上海）自由贸易试验区福山路33号11楼B座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办公地址：上海市浦东新区浦明路1500号万得大厦11楼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宋晓言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电话：021-50712782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传真：021-50710161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马烨莹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客户服务电话：400-799-1888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www.520fund.com.cn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（58）名称：上海联泰基金销售有限公司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住所：上海市普陀区兰溪路900弄15号526室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办公地址：上海市虹口区临潼路188号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法定代表人：尹彬彬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电话：021-52822063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传真：021-52975270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联系人：兰敏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客户服务电话：400-118-1188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网址：www.66liantai.com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（59）名称：上海基煜基金销售有限公司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住所：上海市崇明县长兴镇路潘园公路1800号2号楼6153室（上海泰和经济发展区）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办公地址：上海市杨浦区昆明路518号A1002室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传真：（021）55085991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联系人：俞申莉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（60）名称：北京虹点基金销售有限公司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法定代表人：邓伟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客户服务电话：400-035-5010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公司网址：www.hongdianfund.com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（61）名称：上海陆金所基金销售有限公司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住所：上海市浦东新区陆家嘴环路1333号14楼09单元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办公地址：上海市浦东新区陆家嘴环路1333号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法定代表人：王之光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电话：（021）20665952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传真：（021）22066653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联系人：宁博宇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客户服务电话：4008219031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网址：www.lufunds.com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（62）名称：珠海盈米基金销售有限公司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住所：珠海市横琴新区宝华路6号105室-3491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办公地址：广州市海珠区琶洲大道东1号保利国际广场南塔12楼B1201-1203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电话：（020）89629099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传真：（020）89629011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联系人：黄敏嫦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客户服务电话：（020）89629066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网址：www.yingmi.com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（63）名称：奕丰基金销售有限公司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办公地址：深圳市南山区海德三道航天科技广场A座17楼1704室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法定代表人：TEO WEE HOWE</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电话：（0755）89460500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传真：（0755）21674453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联系人：叶健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客户服务电话：400-684-0500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网址：www.ifastps.com.cn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（64）名称：京东肯特瑞基金销售有限公司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北京市海淀区西三旗建材城中路12号17号平房157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传真：010-89189566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网址：kenterui.jd.com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（65）名称：大连网金基金销售有限公司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樊怀东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电话：（0411-39027810）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传真：（0411-39027835）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于秀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4000-899-100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网址：http://www.yibaijin.com/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（66）名称：上海证达通基金销售有限公司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法定代表人：姚杨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电话：（021）20530186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传真：（021）20538999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潘梦茹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客户服务电话：021-20538880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网址：www.zdt.fund</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（67）名称：深圳市金斧子基金销售有限公司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住所：深圳市南山区粤海街道科苑路16号东方科技大厦18楼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办公地址：深圳市南山区粤海街道科苑路科兴科学园B3单元7楼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法定代表人：赖任军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电话：（0755）66892301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传真：（0755）66892399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客户服务电话：400-9500-888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网址：www.jfzinv.com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（68）名称：北京雪球基金销售有限公司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住所：北京市朝阳区创远路 34 号院6号楼15层1501室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办公地址：北京市朝阳区创远路 34 号院融新科技中心 C 座 17 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电话：（010）61840688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传真：（010）84997571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联系人：武安广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客户服务电话：400-1599-288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网址：danjuanfunds.com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（69）名称：万家财富基金销售（天津）有限公司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住所：天津自贸区（中心商务区）迎宾大道1988号滨海浙商大厦公寓2-2413室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办公地址：北京市西城区丰盛胡同28号太平洋保险大厦A座5层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电话：（010）59013825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传真：（010）59013828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联系人：王茜蕊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客户服务电话：010-59013895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网址：http://www.wanjiawealth.com/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（70）名称：上海华夏财富投资管理有限公司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住所：上海市虹口区东大名路687号1幢2楼268室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北京市西城区金融大街33号通泰大厦B座8层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毛淮平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电话：010-88066632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传真：010-63136184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张静怡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客户服务电话：400-817-5666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www.amcfortune.com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（71）名称：中信期货有限公司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电话：010-60833754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传真：021-60819988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联系人：刘宏莹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客服电话：400-990-8826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网站：www.citicsf.com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（72）名称：玄元保险代理有限公司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法定代表人：马永谙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客户服务电话：400-080-8208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网址：www.licaimofang.cn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（73）名称：阳光人寿保险股份有限公司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住所：海南省三亚市迎宾路360-1号三亚阳光金融广场16层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办公地址：北京市朝阳区朝阳门外大街乙12号院1号昆泰国际大厦12层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电话：（010）85632771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传真：（010）85632773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网址：http://fund.sinosig.com/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（74）名称：和耕传承基金销售有限公司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法定代表人：温丽燕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电话：0371-85518395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传真：0371-85518397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联系人：胡静华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客户服务电话：4000555671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网址：www.hgccpb.com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（75）名称：腾安基金销售（深圳）有限公司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办公地址：深圳市南山区海天二路33号腾讯滨海大厦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联系人：谭广峰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网址：http://www.tenganxinxi.com/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（76）名称：济安财富（北京）基金销售有限公司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住所：北京市朝阳区太阳宫中路16号院1号楼10层1005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办公地址：北京市朝阳区太阳宫中路16号院1号楼11层1105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电话：010-65309516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传真：010-65330699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联系人：宋静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客户服务电话：400-673-7010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网址：www.jianfortune.com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（77）名称：博时财富基金销售有限公司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法定代表人：王德英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客户服务电话：400-610-5568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网址：www.boserawealth.com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（78）名称：上海中欧财富基金销售有限公司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住所：中国（上海）自由贸易试验区陆家嘴环路479号1008-1室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办公地址：上海市虹口区公平路18号嘉昱大厦6楼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法定代表人：许欣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电话：021-68609600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传真：021-33830351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刘弘义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客户服务电话：400-700-9700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公司网址：https://www.zocaifu.com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（79）名称：上海攀赢基金销售有限公司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客户服务电话：021-68889082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网址：www.weonefunds.com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联系人：黎明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经办律师：吕红、黎明</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名称：安永华明会计师事务所（特殊普通合伙）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住所：北京市东城区东长安街1号东方广场安永大楼17层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办公地址：北京市东城区东长安街1号东方广场安永大楼17层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执行事务合伙人：毛鞍宁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电话：（010）58153000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传真：（010）85188298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联系人：蒋燕华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经办注册会计师：蒋燕华、费泽旭</w:t>
      </w:r>
    </w:p>
    <w:p>
      <w:pPr>
        <w:pStyle w:val="Heading1"/>
        <w:snapToGrid w:val="0"/>
        <w:spacing w:before="240" w:beforeLines="0" w:after="0"/>
        <w:rPr>
          <w:rFonts w:ascii="宋体" w:hAnsi="宋体"/>
          <w:szCs w:val="30"/>
        </w:rPr>
      </w:pPr>
      <w:r>
        <w:br w:type="page"/>
      </w:r>
      <w:bookmarkStart w:id="14" w:name="_Toc256000006"/>
      <w:bookmarkStart w:id="15" w:name="_Toc256000032"/>
      <w:r>
        <w:rPr>
          <w:rFonts w:ascii="宋体" w:hAnsi="宋体"/>
          <w:sz w:val="30"/>
        </w:rPr>
        <w:t>六、基金的募集</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（一）本基金的募集情况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本基金由基金管理人依照《基金法》、《运作办法》、基金合同及其他有关规定，并经中国证监会证监许可[2011]967号文核准募集发售。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本基金为契约型开放式ETF联接基金。基金存续期间为不定期。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本基金募集期间基金份额净值为人民币1.00元，按初始面值发售。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本基金的募集期限不超过3个月，自基金份额开始发售之日起计算。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本基金自2011年8月29日至2011年9月23日止进行发售。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本基金设立募集期共募集374,322,437.11份基金份额，有效认购户数为5,973户。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（二）本基金与目标ETF的差异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1、交易方式的差异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本基金为目标ETF的联接基金，投资者可以通过本基金的销售机构申购赎回本基金的基金份额。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目标ETF属于交易型开放式指数证券投资基金，投资者可以通过目标ETF的申购赎回代理券商申购赎回目标ETF的基金份额。此外，目标ETF符合上市条件申请上市成功后，投资者还可通过深圳证券交易所的交易系统在二级市场买卖目标ETF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2、申购赎回方式的差异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目标ETF的联接基金，属于开放式证券投资基金。投资者申购赎回本基金基金份额均采用现金方式，申购以金额申请，赎回以份额申请。投资者申购本基金时应支付现金申购款，赎回本基金时基金管理人应向投资者支付现金赎回款，申购与赎回价格以申请当日收市后计算的基金份额净值为基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目标ETF属于交易型开放式指数证券投资基金。投资者申购赎回目标ETF基金份额均采用实物申购赎回方式，申购和赎回均以份额申请。申购、赎回对价根据申购赎回清单和投资者申购、赎回的基金份额数额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3、投资方法的差异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本基金为目标ETF的联接基金，属于开放式证券投资基金，以被动式的指数化投资管理方式，将90%以上的基金净资产投资于目标ETF，实现紧密跟踪标的指数的投资目标；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本基金的目标ETF属于交易型开放式指数证券投资基金，绝大部分资产采用完全复制法跟踪标的指数，以完全按照标的指数成份股组成及其权重构建基金股票投资组合为原则，进行被动式指数化投资。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4、业绩表现的差异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本基金为目标ETF的联接基金，将90%以上的基金净资产投资于目标ETF，以紧密跟踪标的指数，但不能保证本基金的表现与目标ETF的表现完全一致，产生业绩表现差异的原因包括以下几个方面：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（1）本基金基金份额的赎回采用现金方式，为支付现金赎回款，相比目标ETF，本基金需要保留更多的现金资产；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（2）本基金基金份额的申购采用现金方式，在利用到账的申购资金投资目标ETF过程中，市场波动等原因会造成本基金与目标ETF表现的差异；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（3）本基金为应对投资者以现金方式申购赎回本基金基金份额而进行的证券交易需支付一定的手续费，此等费用将影响本基金相对于目标ETF的表现。</w:t>
      </w:r>
    </w:p>
    <w:p>
      <w:pPr>
        <w:pStyle w:val="Heading1"/>
        <w:snapToGrid w:val="0"/>
        <w:spacing w:before="240" w:beforeLines="0" w:after="0"/>
        <w:rPr>
          <w:rFonts w:ascii="宋体" w:hAnsi="宋体"/>
          <w:szCs w:val="30"/>
        </w:rPr>
      </w:pPr>
      <w:r>
        <w:br w:type="page"/>
      </w:r>
      <w:bookmarkStart w:id="16" w:name="_Toc256000007"/>
      <w:bookmarkStart w:id="17" w:name="_Toc256000033"/>
      <w:r>
        <w:rPr>
          <w:rFonts w:ascii="宋体" w:hAnsi="宋体"/>
          <w:sz w:val="30"/>
        </w:rPr>
        <w:t>七、基金合同的生效</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根据有关规定，本基金满足基金合同生效条件，基金合同已于2011年9月28日正式生效。自基金合同生效之日起，本基金管理人正式开始管理本基金。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的存续期内，基金份额持有人数量不满200人或者基金资产净值低于5000万元，基金管理人应当及时报告中国证监会；基金份额持有人数量连续20个工作日达不到200人，或连续20个工作日基金资产净值低于5000万元，基金管理人应当及时向中国证监会报告，说明出现上述情况的原因并提出解决方案。法律法规或监管机构另有规定时，从其规定。</w:t>
      </w:r>
    </w:p>
    <w:p>
      <w:pPr>
        <w:pStyle w:val="Heading1"/>
        <w:snapToGrid w:val="0"/>
        <w:spacing w:before="240" w:beforeLines="0" w:after="0"/>
        <w:rPr>
          <w:rFonts w:ascii="宋体" w:hAnsi="宋体"/>
          <w:szCs w:val="30"/>
        </w:rPr>
      </w:pPr>
      <w:r>
        <w:br w:type="page"/>
      </w:r>
      <w:bookmarkStart w:id="18" w:name="_Toc256000008"/>
      <w:bookmarkStart w:id="19" w:name="_Toc256000034"/>
      <w:r>
        <w:rPr>
          <w:rFonts w:ascii="宋体" w:hAnsi="宋体"/>
          <w:sz w:val="30"/>
        </w:rPr>
        <w:t>八、基金份额的申购与赎回</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投资者可通过下述场所按照规定的方式进行申购或赎回：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本基金直销机构为本公司以及本公司的网上直销交易平台。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个人投资者可以通过本公司网上直销交易平台办理开户、本基金的申购、赎回、转换及定期定额投资等业务，具体交易细则请参阅本公司网站。网上直销交易平台网址：www.fund001.com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2、场内代销机构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本基金的场内代销机构为通过上海证券交易所交易系统办理相关业务的上海证券交易所会员单位，目前场内交易只支持前端收费模式下基金份额的申购。具体名单详见上海证券交易所网站。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3、场外代销机构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本基金的场外代销机构的代销网点请见本招募说明书“五、相关服务机构”章节或拨打本公司客户服务电话进行咨询。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投资者可通过上述场所按照规定的方式进行申购或赎回。本基金管理人可根据情况变更或增减基金代销机构，并在管理人网站公示。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和赎回的开放日为证券交易所交易日（基金管理人公告暂停申购或赎回时除外），基金投资者在开放日申请办理基金份额的申购和赎回，具体办理时间为上海证券交易所、深圳证券交易所的正常交易日的交易时间。但基金管理人根据法律法规、中国证监会的要求或本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若出现新的证券交易市场、证券交易所交易时间变更或其他特殊情况，基金管理人将视情况对前述开放日及开放时间进行相应的调整，但应在实施日前依照《信息披露办法》的有关规定在指定媒介上公告。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2、申购的开始日及业务办理时间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本基金已于2011年10月24日起开放场内、场外申购业务。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3、赎回的开始日及业务办理时间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本基金已于2011年10月24日起开放场内、场外赎回业务。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（三）申购和赎回的原则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1、“未知价”原则，即基金份额的申购与赎回价格以申请当日收市后计算的基金份额净值为基准进行计算；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2、基金采用金额申购和份额赎回的原则，即申购以金额申请，赎回以份额申请；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赎回时，除指定赎回外，基金管理人按“先进先出”的原则，对该持有人账户在该销售机构托管的基金份额进行处理，即注册登记确认日期在先的基金份额先赎回，注册登记确认日期在后的基金份额后赎回，以确定被赎回基金份额的持有期限和所适用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4、当日的申购与赎回申请可以在基金管理人规定的时间以内撤销；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5、基金管理人在不损害基金份额持有人权益的情况下可更改上述原则，但最迟应在新的原则实施前依照有关规定在指定媒介上公告。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1、申购金额的限制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场外申购时，场外代销网点每个账户单笔申购的最低金额为单笔1元，如果代销机构业务规则规定的最低单笔申购金额高于1元，以代销机构的规定为准。场内申购时，每笔申购金额最低为1000元人民币，同时每笔申购必须是100元的整数倍，并且单笔申购最高不超过99,999,900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直销机构每个账户首次申购的最低金额为单笔100万元，追加申购的最低金额为单笔10万元；已在直销中心有认购或申购过本基金管理人管理的任一基金（包括本基金）记录的投资者不受首次申购最低金额的限制。通过本公司网上直销交易平台办理基金申购业务的不受直销中心单笔申购最低金额的限制，申购最低金额为单笔1元。本基金直销中心单笔申购最低金额可由基金管理人酌情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2、赎回份额的限制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场外赎回的最低份额为单笔1份基金份额，如果其他销售机构业务规则规定的单笔最低赎回份额高于1份，以该销售机构的规定为准。场内赎回时，赎回的最低份额为50份基金份额，同时赎回份额必须是整数份额，并且单笔赎回最多不超过99,999,999份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3、最低保留余额的限制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每个工作日投资者在单个交易账户保留的本基金份额余额少于1份时，若当日该账户同时有份额减少类业务（如赎回、转换出等）被确认，则基金管理人有权将投资者在该账户保留的本基金份额一次性全部赎回。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5、基金管理人可根据市场情况，在法律法规允许的情况下，调整上述规定的数量或比例限制，基金管理人必须在调整前依照《信息披露办法》的有关规定在指定的媒体上公告并报中国证监会备案。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基金投资者必须根据销售机构规定的程序，在开放日的具体业务办理时间内提出申购或赎回的申请。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基金投资者在提交申购申请时须按销售机构规定的方式备足申购资金，基金投资者在提交赎回申请时须持有足够的基金份额余额，否则所提交的申购、赎回申请无效而不予成交。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 日规定时间受理的申请，正常情况下，注册登记机构在T+1 日内（包括该日）为投资者对该交易的有效性进行确认，基金投资者应在T+2日后（包括该日）及时到销售网点柜台或以销售机构规定的其他方式查询申请的确认情况。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基金管理人可以在法律法规允许的范围内，依法对上述申购和赎回申请的确认时间进行调整，并必须在调整实施日前按照《信息披露办法》的有关规定在指定媒介上公告。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销售机构对申购、赎回申请的受理并不代表该申请一定成功，而仅代表销售机构确实接收到申购、赎回申请。申购、赎回申请的确认以注册登记机构的确认结果为准。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3、申购和赎回的款项支付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申购采用全额缴款方式，若申购资金在规定时间内未全额到账则申购不成功。若申购不成功或无效，基金管理人或基金管理人指定的代销机构将基金投资者已缴付的申购款项本金退还给投资者。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基金投资者赎回申请成功后，基金管理人将通过注册登记机构及其相关销售机构在T＋7日（包括该日）内将赎回款项划往基金份额持有人账户。在发生巨额赎回时，款项的支付办法参照本基金合同有关条款处理。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4、申购和赎回基金份额的份额注册登记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（1）投资者T 日申购基金成功后，正常情况下，注册登记机构在T＋1 日为投资者增加权益并办理注册登记手续，投资者自T＋2 日（包括该日）起有权赎回该部分基金份额。投资者应及时查询有关申请的确认情况。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（2）投资者T 日赎回基金成功后，正常情况下，基金注册登记机构在T＋1 日为投资者扣除权益并办理相应的注册登记手续。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（3）基金管理人可在法律法规允许的范围内，对上述注册登记办理时间进行调整，并最迟于开始实施前按照《信息披露办法》的有关规定在指定媒介上公告。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（六）基金的申购费和赎回费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本基金提供两种申购费用的支付模式。投资者可以选择前端收费模式，即在申购时支付申购费用；也可以选择后端收费模式，即在赎回时才支付相应的申购费用，该费用随基金份额的持有时间递减。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本基金的申购费用由基金申购人承担，不列入基金财产，主要用于本基金的市场推广、销售、注册登记等各项费用。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投资者可以多次申购本基金，申购费率按每笔申购申请单独计算。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申购费率（前端）</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前端申购费率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申购费率（后端）</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持有时间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后端申购费率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1年以内（含）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1年—3年（含）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3年—5年（含）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5年以上</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因红利自动再投资而产生的基金份额，不收取相应的申购费用。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本基金自2013年4月11日起，对通过本公司直销柜台申购本基金前端基金份额的养老金客户实施特定申购费率。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如将来出现经养老基金监管部门认可的新的养老基金类型，本公司将发布临时公告将其纳入养老金客户范围，并按规定向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通过本公司直销柜台申购本基金前端基金份额的养老金客户特定申购费率如下表：</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特定申购费率（前端）</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前端特定申购费率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有关养老金客户实施特定申购费率的具体规定以及活动时间如有变化，敬请投资人留意本公司发布的相关公告。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赎回费用由基金赎回人承担，赎回费用的25%归基金财产，其余用于支付注册登记费和其他必要的手续费。其中，对持续持有期少于7日的基金份额持有人收取不低于1.5%的赎回费并全额计入基金财产。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本基金的赎回费率如下：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赎回费率</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7日（含）—1年（含）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1年—2年（含）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2年以上</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3、基金管理人可以在履行相关手续后，在基金合同约定的范围内调整申购、赎回费率或调整收费方式，基金管理人于新的费率或收费方式实施日前依照《信息披露办法》的有关规定在指定媒介上公告。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4、对特定交易方式（如网上交易、电话交易等），基金管理人可以采用低于柜台交易方式的基金申购费率和基金赎回费率。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以在不违背法律法规规定及基金合同约定的情况下根据市场情况制定基金促销计划，针对基金投资者定期和不定期地开展基金促销活动。在基金促销活动期间，基金管理人可以按中国证监会要求履行必要手续后，对基金投资者适当调整基金申购费率、赎回费率和转换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（七）申购和赎回的数额和价格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1、申购和赎回数额、余额的处理方式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份额余额的处理方式：申购的有效份额为按实际确认的申购金额在扣除相应的费用后，以当日基金份额净值为基准计算，场外申购份额计算结果保留到小数点后两位，小数点后两位以后的部分四舍五入，由此产生的误差计入基金财产。场内申购有效份额的计算截位保留到整数位，剩余部分折回金额返还投资者，折回金额的计算保留到小数点后两位，小数点两位以后的部分四舍五入，由此产生的误差计入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（2）赎回金额的处理方式：赎回金额为按实际确认的有效赎回份额乘以申请当日基金份额净值并扣除相应的费用，四舍五入保留到小数点后两位，由此误差产生的收益或损失由基金财产承担。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2、申购份额的计算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场外申购可以采取前端收费模式和后端收费模式，场内申购目前只支持前端收费模式。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净申购金额=申购总金额/（1+申购费率）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申购费用=申购总金额-净申购金额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（注：对于适用固定金额申购费用的申购，申购费用＝固定申购费用金额）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申购份额=（申购总金额-申购费用）/ 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场内申购金额的有效份额保留到整数位，剩余部分对应申购资金返还投资者。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例一：某投资者投资40,000元申购本基金，假设申购当日基金份额净值为1.040元，如果其选择前端收费方式，申购费率为1.5%，则其可得到的申购份额为：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申购总金额＝40,000元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净申购金额=40,000/（1+1.5%）=39,408.87元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申购费用=40,000-39,408.87=591.13元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申购份额=（40,000-591.13）/1.040=37,893.14份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如果投资者是场内申购，则申购份额为37,893 份，其余0.14 份对应金额返回给投资者。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当投资者提出赎回时，后端申购费用的计算方法为：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后端申购费用＝赎回份额×申购日基金份额净值×后端申购费率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例二：某投资者投资40,000元申购本基金，假设申购当日基金份额净值为1.040元，如果其选择后端收费方式，则其可得到的申购份额为：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申购份额＝40,000/1.040＝38,461.54份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即：投资者投资40,000元申购本基金，假设申购当日基金份额净值为1.040元，则可得到38,461.54份基金份额，但其在赎回时需根据其持有时间按对应的后端申购费率交纳后端申购费用。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3、赎回金额的计算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赎回金额为按实际确认的有效赎回份额乘以当日基金份额净值并扣除相应的费用，赎回金额单位为元，计算结果保留到小数点后两位，第三位四舍五入。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（1）如果投资者在认（申）购时选择交纳前端认（申）购费用，则赎回金额的计算方法如下：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例三：某投资者赎回通过前端认购（申购）持有的10,000份基金份额，对应的赎回费率为0.5%，假设赎回当日基金份额净值是1.016元，则其可得到的赎回金额为：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10,000×1.016-50.80 ＝ 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即：投资者赎回本基金10,000份基金份额，假设赎回当日基金份额净值是1.016元，则其可得到的赎回金额为10,109.20元。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（2）如果投资者在认（申）购时选择交纳后端认（申）购费用，则赎回金额的计算方法如下：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赎回总额＝赎回份额×T日基金份额净值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后端认（申）购费用＝赎回份额×认（申）购日基金份额净值×后端认（申）购费率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赎回费用＝赎回总额×赎回费率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赎回金额＝赎回总额－后端认（申）购费用－赎回费用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例四：某投资者赎回通过后端认购持有的10,000份基金份额，对应的后端认购费率为1.6%，赎回费率为0.5%，假设赎回当日基金份额净值是1.016元，则其可得到的赎回金额为：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后端认购费用 = 10,000×1.00×1.6% = 160.00元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10,000×1.016-160.00-50.80 ＝ 9,949.20元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即：投资者赎回通过后端认购所得本基金10,000份基金份额，假设赎回当日基金份额净值是1.016元，则其可得到的赎回金额为9,949.20元。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例五：某投资者赎回通过后端申购持有的10,000份基金份额，对应的后端申购费率为1.8%，赎回费率为0.5%，假设申购当日基金份额净值是1.010元，赎回当日基金份额净值是1.016元，则其可得到的赎回金额为：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后端申购费用 = 10,000×1.010×1.8% = 181.80元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10,000×1.016-181.80-50.80 ＝ 9,927.40元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即：投资者赎回通过后端申购所得本基金10,000份基金份额，假设申购当日基金份额净值是1.010元，赎回当日基金份额净值是1.016元，则其可得到的赎回金额为9,927.40元。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基金份额净值＝基金资产净值总额/发行在外的基金份额总数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本基金T日的基金份额净值在当天收市后计算，并在T＋1日公告。遇特殊情况，经中国证监会同意，可以适当延迟计算或公告。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（八）拒绝或暂停申购的情形及处理方式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发生下列情况时，基金管理人可拒绝或暂停接受基金投资者的申购申请：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1、因不可抗力导致基金无法正常运作或无法接受申购；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2、证券交易所交易时间非正常停市，导致基金管理人无法计算当日基金资产净值；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3、所投资的目标ETF暂停估值，导致基金管理人无法计算当日基金资产净值；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4、所投资的目标ETF暂停申购或二级市场交易停牌，基金管理人认为有必要暂停本基金申购的情形；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5、发生本基金合同规定的暂停基金资产估值情况；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6、基金管理人、基金托管人、基金销售机构或注册登记机构等因异常情况无法办理申购（上述异常情况包括但不限于系统故障、网络故障、通讯故障、电力故障、数据错误等）；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7、基金资产规模过大，使基金管理人无法找到合适的投资品种，或基金管理人认为会损害已有基金份额持有人利益的其他情形；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9、基金管理人认为会有损于现有基金份额持有人利益的某笔申购；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除第9项以外的暂停申购情形且基金管理人决定暂停接受基金投资者的申购申请时，基金管理人应当根据有关规定在指定媒介上刊登暂停申购公告。如果基金投资者的申购申请被拒绝，被拒绝的申购款项将退还给投资者。在暂停申购的情况消除时，基金管理人应及时恢复申购业务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（九）暂停赎回或者延缓支付赎回款项的情形及处理方式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发生下列情形时，基金管理人可暂停接受基金投资者的赎回申请或延缓支付赎回款项：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1、因不可抗力导致基金管理人不能支付赎回款项；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2、证券交易所交易时间临时停市，导致基金管理人无法计算当日基金资产净值；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3、连续两个或两个以上开放日发生巨额赎回，导致本基金的现金支付出现困难；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4、所投资的目标ETF暂停估值，导致基金管理人无法计算当日基金资产净值；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5、所投资的目标ETF暂停赎回或二级市场交易停牌，基金管理人认为有必要暂停本基金赎回的情形；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6、发生本基金合同规定的暂停基金资产估值情况；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7、基金管理人、基金托管人、基金销售机构或注册登记机构的技术保障等异常情况发生导致基金销售系统或基金注册登记系统或基金会计系统无法正常运行；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且基金管理人决定暂停接受基金投资者的赎回申请或延缓支付赎回款项时，基金管理人应在当日向中国证监会备案，已成功确认的赎回申请，基金管理人应足额支付；如不能足额支付，可延期支付。若连续两个或两个以上开放日发生巨额赎回，延期支付最长不得超过20个工作日，并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出现上述第3项所述情形，按基金合同的相关条款处理。投资者在申请赎回时可事先选择将当日可能未获受理部分予以撤销。暂停赎回或延缓支付款项的场内处理，按照上海证券交易所及中国证券登记结算有限责任公司的有关规定办理。在暂停赎回的情况消除时，基金管理人应及时恢复赎回业务的办理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（十）巨额赎回的情形及处理方式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1、巨额赎回的认定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工作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2、巨额赎回的处理方式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当基金出现巨额赎回时，基金管理人可以根据基金当时的资产组合状况决定全额赎回或部分顺延赎回。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（1）全额赎回：当基金管理人认为有能力支付基金投资者的赎回申请时，按正常赎回程序执行。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顺延赎回：当基金管理人认为支付基金投资者的赎回申请有困难或认为支付投资者的赎回申请而进行的财产变现可能会对基金资产净值造成较大波动时，基金管理人在当日接受赎回比例不低于上一工作日基金总份额的10%的前提下，对其余赎回申请延期办理。对于当日的赎回申请，应当按单个账户赎回申请量占赎回申请总量的比例，确定当日受理的赎回份额；基金投资者未能赎回部分，投资者在提交赎回申请时可以选择延期赎回或取消赎回。选择延期赎回的，将自动转入下一个开放日继续赎回，直到全部赎回为止；选择取消赎回的，当日未获赎回的部分申请将被撤销。延期的赎回申请与下一开放日赎回申请一并处理，无优先权并以该开放日的基金份额净值为基础计算赎回金额，并以此类推，直到全部赎回为止。如基金投资者在提交赎回申请时未作明确选择，投资者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顺延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当发生巨额赎回并顺延赎回时，基金管理人应当通过邮寄、传真、刊登公告或者通知代销机构代为告知等方式在3个交易日内通知基金份额持有人，说明有关处理方法，并在2日内在指定媒介上刊登公告。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连续2日以上（含本数）发生巨额赎回，如基金管理人认为有必要，可暂停接受基金的赎回申请；已经确认成功的赎回申请可以延缓支付赎回款项，但不得超过20个工作日，并应当在指定媒介上进行公告。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（十一）暂停申购或赎回的公告和重新开放申购或赎回的公告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1、发生上述暂停申购或赎回情况的，基金管理人应在规定期限内在指定媒介上刊登暂停公告。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2、暂停结束，基金重新开放申购或赎回时，基金管理人应依照《信息披露管理办法》的有关规定，在指定媒介上刊登基金重新开放申购或赎回公告，并公告最近1个工作日的基金份额净值。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（十二）基金的非交易过户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指注册登记机构受理继承、捐赠、司法强制执行和经注册登记机构认可的其它情况而产生的非交易过户。无论在上述何种情况下，接受划转的主体必须是依法可以持有本基金基金份额的投资者。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注册登记机构要求提供的相关资料，对于符合条件的非交易过户申请按注册登记机构的有关规定办理，并按注册登记机构规定的标准收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（十三）基金的转托管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如果基金管理人、注册登记机构、办理转托管的销售机构出现技术系统性能限制或出于其它合理原因，可以暂停该业务或者拒绝基金份额持有人的转托管申请。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（十四）定期定额投资计划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本基金2011年12月7日刊登公告自2011年12月9日起开通定期定额投资计划业务，具体开通销售机构名单和业务规则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（十五）其他情形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基金份额的冻结和解冻的业务，由注册登记机构办理。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只受理国家有关机关依法要求的基金份额的冻结与解冻以及注册登记机构认可的其他情况的基金份额的冻结与解冻。基金份额被冻结的，被冻结部分所产生的权益按照法律法规、监管规章以及国家有权机关的要求来决定是否冻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当基金份额处于冻结状态时，注册登记机构或其他相关机构有权拒绝该部分基金份额的赎回、转出、非交易过户以及基金的转托管。</w:t>
      </w:r>
    </w:p>
    <w:p>
      <w:pPr>
        <w:pStyle w:val="Heading1"/>
        <w:snapToGrid w:val="0"/>
        <w:spacing w:before="240" w:beforeLines="0" w:after="0"/>
        <w:rPr>
          <w:rFonts w:ascii="宋体" w:hAnsi="宋体"/>
          <w:szCs w:val="30"/>
        </w:rPr>
      </w:pPr>
      <w:r>
        <w:br w:type="page"/>
      </w:r>
      <w:bookmarkStart w:id="20" w:name="_Toc256000009"/>
      <w:bookmarkStart w:id="21" w:name="_Toc256000035"/>
      <w:r>
        <w:rPr>
          <w:rFonts w:ascii="宋体" w:hAnsi="宋体"/>
          <w:sz w:val="30"/>
        </w:rPr>
        <w:t>九、基金的转换</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基金转换是指开放式基金份额持有人将其持有某只基金的部分或全部份额转换为同一基金管理人管理的另一只开放式基金份额。基金转换只能在同一销售机构进行。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（二）转换业务办理时间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本基金2011年12月7日刊登公告自2011年12月9日起开放日常转换业务。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本基金转换业务具体开通销售机构名单参见相关公告。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（三）基金转换的程序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1、申请方式：书面申请或销售机构公布的其他方式。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2、基金转换申请的确认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3、基金转换的注册登记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（四）基金转换的数额限制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2、转出基金的赎回费用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转出基金的赎回费用及归入基金财产的比例按照各基金最新的更新招募说明书及相关公告规定的赎回费率和计费方式收取。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4、后端收费模式下转出与转入基金的申购补差费用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5、网上直销的申购补差费率优惠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6、基金管理人可以根据法律法规及基金合同的规定对上述收费方式和费率进行调整，并应于调整后的收费方式和费率在实施前依照《信息披露办法》的有关规定在中国证监会指定媒介上公告。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（六）基金转换份额的计算公式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转出确认金额=100,000×1.0100=101,000元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转出基金的赎回费=101,000×0.5%=505元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转入确认金额=101,000-505=100,495元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转出与转入基金的申购补差费=100,495×0/（1+0）=0元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转入基金确认份额=（100,495-0）/2.2700=44,270.93份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转出确认金额=1,000,000×1.0200=1,020,000元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转出基金的赎回费=1,020,000×0.05%=510元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转入确认金额=1,020,000-510=1,019,490元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转出与转入基金的申购补差费=1,019,490×0.5%/（1+0.5%）=5,072.09元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转入基金确认份额=（1,019,490-5,072.09）/1.0100=1,004,374.17份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转出与转入基金的申购补差费=125,000×1.5%/（1+1.5%）=1,847.29元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转入基金确认份额=（125,000-1,847.29）/2.2700=54,252.30份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转出与转入基金的申购补差费=100,000×0.8%/（1+0.8%）=793.65元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转入基金确认份额=（100,000-793.65+61.52）/1.2700=78,163.68份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转入基金确认份额=（124,750-0）/2.2700=54,955.95份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转出与转入基金的申购补差费=124,750×1.2%=1497元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转入基金确认份额=（124,750-1497）/1.00=123,253.00份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转出确认金额=100,000×0.8500=85,000元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转出基金的赎回费=85,000×0=0元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转入确认金额=85,000-0=85,000元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转出与转入基金的申购补差费=85,000×0.2%=170元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转入基金确认份额=（85,000-170）/1.0500=80,790.48份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转入基金确认份额=（100,000-0+61.52）/1.2700=78,788.60份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转换只能在同一销售机构进行。转换的两只基金必须都是该销售机构代理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只能在相同收费模式下进行基金转换。前端收费模式的开放式基金只能转换到前端收费模式的其他基金，后端收费模式的基金只能转换到后端收费模式的其他基金。货币市场基金、债券基金C类基金份额与其他基金之间的转换不受上述收费模式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（八）暂停基金转换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视同为转出基金的赎回和转入基金的申购，因此有关转出基金和转入基金关于暂停或拒绝申购、暂停赎回的情形和公告的有关规定一般也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发生巨额赎回时，基金转出与基金赎回具有相同的优先级，基金管理人可根据基金资产组合情况，决定全额转出或部分转出，并且对于基金转出和基金赎回，将采取相同的比例确认；但在转出申请得到部分确认的情况下，未确认部分的转出申请将自动予以撤销，不再视为下一开放日的基金转换申请。</w:t>
      </w:r>
    </w:p>
    <w:p>
      <w:pPr>
        <w:pStyle w:val="Heading1"/>
        <w:snapToGrid w:val="0"/>
        <w:spacing w:before="240" w:beforeLines="0" w:after="0"/>
        <w:rPr>
          <w:rFonts w:ascii="宋体" w:hAnsi="宋体"/>
          <w:szCs w:val="30"/>
        </w:rPr>
      </w:pPr>
      <w:r>
        <w:br w:type="page"/>
      </w:r>
      <w:bookmarkStart w:id="22" w:name="_Toc256000010"/>
      <w:bookmarkStart w:id="23" w:name="_Toc256000036"/>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紧密跟踪标的指数，追求跟踪偏离度与跟踪误差最小化。</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标的指数即目标ETF的标的指数，为深证300价值价格指数。深证300价值价格指数是由深圳证券信息公司编制，并以深证300指数为基础开发的风格指数，它以深证300指数的成份股为样本空间，选取采用价值因子评分最高的100只股票为指数的成份股，并于每年1月和7月对指数成份股进行调整。该指数的基期为2004年12月31日，基点为1000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本基金按照基金合同的约定通过适当程序变更目标ETF时，标的指数应相应变更。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鉴于本基金与目标ETF的相关性，若目标ETF变更标的指数，本基金的标的指数应相应变更。</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（三）投资理念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指数化投资理念，指数化投资具有低成本、管理透明及分散化程度高等优点，能稳定地获得与标的指数相近的回报。本基金遵循指数化投资理念，以目标ETF为主要投资对象，力求帮助投资者以较低的成本获取与标的指数和目标ETF相似的收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以目标ETF、标的指数成份股、备选成份股为主要投资对象（含中小板股票和创业板股票及其他经中国证监会核准的上市股票、存托凭证），把全部或接近全部的基金资产用于跟踪标的指数的表现，正常情况下投资于目标ETF的资产比例不低于基金资产净值的90%，基金持有的现金及到期日在一年以内的政府债券的投资比例合计不低于基金资产净值的5%，其中现金不包括结算备付金、存出保证金和应收申购款等。此外，为更好地实现投资目标，本基金也可少量投资于新股（含存托凭证）、债券、回购、权证及中国证监会允许基金投资的其它金融工具（但须符合中国证监会的相关规定）。如法律法规或监管机构以后允许基金投资其它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通过把全部或接近全部的基金资产投资于目标ETF、标的指数成份股和备选成份股进行被动式指数化投资，正常情况下投资于目标ETF的资产比例不低于基金资产净值的90%，其余资产可投资于标的指数成份股、备选成份股、新股、债券、回购、权证及中国证监会允许基金投资的其它金融工具，其目的是为了使本基金在应付申购赎回的前提下，更好地实现跟踪标的指数的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本基金投资目标ETF的方式以申购和赎回为主，但在目标ETF二级市场流动性较好的情况下，也可以通过二级市场交易买卖目标ETF，以降低成本、提高效率。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对于标的指数成份股和备选成份股部分的投资，主要采用完全复制法，按照标的指数成份股组成及其权重构建基金股票投资组合为原则，并根据标的指数成份股及其权重的变动而进行相应调整。但在因特殊情况（如法律法规限制、流动性不足等）导致无法获得足够数量的股票时，基金管理人将搭配使用其他合理方法进行适当的替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1、决策依据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有关法律法规、基金合同和标的指数的相关规定是基金管理人运用基金财产的决策依据。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2、决策和交易机制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本基金实行投资决策委员会领导下的基金经理负责制。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投资决策委员会的主要职责是决定有关指数重大调整的应对决策、其他重大组合调整决策以及重大的单项投资决策。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基金经理的主要职责是决定日常指数跟踪维护过程中的组合构建、调整决策，特别是对目标ETF份额的投资决策。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中央交易室负责交易执行和一线监控。通过严格的交易制度和实时的一线监控功能，保证基金经理的投资指令在合法、合规的前提下得到高效的执行。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研究、决策、组合构建、交易、评估及组合维护的有机配合共同构成了本基金的投资管理程序。严格的投资管理程序可以保证投资理念的正确执行，避免重大风险的发生。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研究支持：量化投资部依托公司整体研究平台，整合外部信息以及券商等外部研究力量的研究成果开展指数跟踪、成份股公司行为等相关信息的搜集与分析、目标ETF申购赎回清单分析、目标ETF二级市场的流动性和折溢价分析、成分股流动性分析、误差及其归因分析等工作，以作为基金投资决策的重要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（2）投资决策：投资决策委员会定期召开或遇重大事项时召开投资决策会议，决策相关事项。基金经理根据投资决策委员会的决议，每日进行基金投资管理的日常决策。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（3）组合构建：根据标的指数情况，结合研究支持，基金经理构建以目标ETF为主的证券组合。在追求跟踪误差和偏离度最小化的前提下，基金经理将采取适当的方法，以降低买入成本、控制投资风险。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（4）交易执行：中央交易室负责具体的交易执行，同时履行一线监控的职责。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绩效评估：量化投资部定期和不定期对基金进行投资绩效评估，并提供相关报告。绩效评估能够确认组合是否实现了投资预期、组合误差的来源及投资策略成功与否，基金经理可以据此检讨投资策略，进而调整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组合监控与调整：基金经理将跟踪目标ETF申购赎回清单特征、二级市场交易特征及标的指数变动，结合成份股基本面情况、成份股公司行为、流动性状况、基金申购和赎回的现金流量情况以及组合投资绩效评估的结果等，采取适当的跟踪技术对投资组合进行监控和调整，密切跟踪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基金管理人在确保基金份额持有人利益的前提下有权根据环境变化和实际需要对上述投资管理程序做出调整，并在基金招募说明书更新中公告。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（六）投资组合管理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本基金的特殊性，本基金将以全部或接近全部的基金资产投资于目标ETF。正常情况下本基金投资于目标ETF的比例不低于基金资产净值的90%。本基金将在基金合同生效之日起6个月内达到这一投资比例。此后，如因证券市场波动、上市公司合并、基金规模变动、标的指数成分股调整、基金申购或赎回带来现金等因素导致基金不符合这一投资比例的，基金管理人将在10个交易日内进行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1、投资组合的建立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基金管理人构建投资组合的过程主要分为两步：确定建仓策略和实施建仓策略。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（1）确定建仓策略：基金管理人综合考虑基金规模、目标ETF二级市场的流动性和折溢价，以及成份股流动性、公司行为、基本面等因素，确定合理的建仓策略。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（2）实施建仓策略：基金管理人在基金合同约定的期限内，基于建仓策略，根据当时的市场情况，采用适当的手段构建和调整投资组合直至达到本基金投资范围的要求。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2、日常投资组合管理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（1）对目标ETF二级市场流动性及折溢价进行跟踪与分析，适当制订目标ETF份额的申购赎回、二级市场买卖策略。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（2）跟踪本基金申购和赎回信息，分析其对组合的影响，并进行相应的流动性管理。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3、投资绩效评估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（1）每日，基金经理分析基金的跟踪偏离度。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（2）每月末，量化投资部对本基金的运行情况进行量化评估。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每月末，基金经理根据评估报告分析当月的投资操作、组合状况和跟踪误差等情况，重点分析基金的偏离度和跟踪误差产生原因、现金控制情况、标的指数成份股调整前后的操作、以及成份股未来可能发生的变化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正常市场情况下，本基金日均跟踪偏离度的绝对值不超过0.3%，年跟踪误差不超过4%。在目标ETF日均跟踪偏离度符合其基金合同所设定目标的前提下，如因指数编制规则调整或其他因素导致跟踪偏离度和跟踪误差超过上述范围，基金管理人应采取合理措施力争避免跟踪偏离度、跟踪误差进一步扩大。</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本基金的业绩比较基准为：标的指数收益率×95% ＋银行活期存款税后收益率×5%。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未来若出现标的指数不符合要求（不包括因成份股价格波动等指数编制方法变动之外的因素致使标的指数不符合要求的情形）、指数编制机构退出等情形，基金管理人应当自该情形发生之日起十个工作日内向中国证监会报告并提出解决方案，如更换基金标的指数、转换运作方式，与其他基金合并或者终止基金合同等，并在6个月内召集基金份额持有人大会进行表决，基金份额持有人大会未成功召开或就上述事项表决未通过的，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自指数编制机构停止标的指数的编制及发布至解决方案确定期间，基金管理人应按照指数编制机构提供的最近一个交易日的指数信息遵循基金份额持有人利益优先原则维持基金投资运作。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若基金标的指数发生变更，基金业绩比较基准随之变更，由基金管理人根据标的指数变更情形履行对应适当程序，并在调整实施前依照《信息披露办法》的有关规定在中国证监会指定媒介上刊登公告。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ETF联接基金，风险与预期收益高于混合基金、债券基金与货币市场基金。本基金为指数型基金，紧密跟踪标的指数，具有和标的指数所代表的股票市场相似的风险收益特征，相当于股票基金中风险较高，预期收益较高的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（九）投资限制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本基金的投资组合将遵循以下限制：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（1）进入全国银行间同业市场的债券回购融入的资金余额不得超过基金资产净值的40%。债券回购最长期限为1年，债券回购到期后不得展期；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（4）本基金投资权证，在任何交易日买入的总金额，不超过上一交易日基金资产净值的0.5%，基金持有的全部权证的市值不超过基金资产净值的 3%，本基金管理人管理的全部基金持有同一权证的比例不超过该权证的10%；法律法规或监管部门另有规定的，遵从其规定；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同一（指同一信用级别）资产支持证券的比例，不得超过该资产支持证券规模的10%；本基金投资于同一原始权益人的各类资产支持证券的比例，不得超过该基金资产净值的10%；基金管理人管理的全部证券投资基金投资于同一原始权益人的各类资产支持证券，不得超过其各类资产支持证券合计规模的10%；本基金持有的全部资产支持证券，其市值不得超过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（6）本基金不得违反基金合同中有关投资范围、投资策略、投资比例的规定；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（8）本基金与私募类证券资管产品及中国证监会认定的其他主体为交易对手开展逆回购交易的，可接受质押品的资质要求应当与本基金合同约定的投资范围保持一致；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（10）法律法规或监管部门对上述比例限制另有规定的，从其规定。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约定。在符合相关法律法规规定的前提下，除上述第（3）、（7）、（8）项以外，因证券市场波动、上市公司合并、基金规模变动、标的指数成分股调整、基金申购或赎回带来现金等非本基金管理人的因素致使基金的投资组合不符合上述规定的投资比例的，基金管理人应当在10个交易日内进行调整。法律法规或监管部门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若法律法规或监管部门对上述约定的投资组合比例限制规定进行变更的，以变更后的规定为准。若法律法规或监管部门取消上述限制，履行适当程序后，本基金投资可不受上述规定限制。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为维护基金份额持有人的合法权益，本基金禁止从事下列行为：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4、买卖其他基金份额，但是法律法规或国务院另有规定和指定的目标ETF的除外；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5、向基金管理人、基金托管人出资或者买卖基金管理人、基金托管人发行的股票或者债券；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6、买卖与基金管理人、基金托管人有控股关系的股东或者与基金管理人、基金托管人有其他重大利害关系的公司发行的证券或者承销期内承销的证券，但指定的目标ETF除外；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8、依照法律法规有关规定，由中国证监会规定禁止的其他活动。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若法律法规或监管部门取消上述禁止性规定，履行适当程序后，本基金投资可不受上述规定限制。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（十一）基金管理人代表基金行使股东及债权人权利的处理原则及方法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1、基金管理人按照国家有关规定代表基金独立行使股东和债权人权利，保护基金份额持有人的利益；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2、不谋求对上市公司的控股，不参与所投资上市公司的经营管理；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（十二）基金的融资、融券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本基金可以根据有关法律法规和政策的规定进行融资、融券。</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（十三）基金投资组合报告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137,968.00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0.26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137,968.00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0.26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49,406,135.80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93.09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3,440,521.94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87,766.42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53,072,392.16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报告期末按行业分类的境内股票投资组合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4,731.00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2,892.00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102,623.00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4,392.00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4,042.00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1,887.00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14,524.00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1,403.00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968.00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137,968.00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0.26</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报告期末按行业分类的港股通投资股票投资组合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报告期末按公允价值占基金资产净值比例大小排序的前十名股票投资明细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002353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杰瑞股份</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15,250.00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002080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中材科技</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9,000.00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000725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京东方A</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4,340.00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002422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科伦药业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3,852.00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000651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格力电器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3,750.00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000063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中兴通讯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3,619.00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002831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裕同科技</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3,556.00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002714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牧原股份</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3,499.00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300628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亿联网络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3,382.00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002352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顺丰控股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3,126.00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9、报告期末按公允价值占基金资产净值比例大小排序的前十名基金投资明细</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基金名称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基金类型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运作方式</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管理人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深证300价值交易型开放式指数证券投资基金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交易型开放式(ETF)</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交银施罗德基金管理有限公司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49,406,135.80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93.62</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12.3 其他资产构成</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4,943.83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82,822.59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87,766.42</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12.4 报告期末持有的处于转股期的可转换债券明细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12.5 报告期末前十名股票中存在流通受限情况的说明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7"/>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-0.18%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11.60%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8.88%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15.77%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14.29%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-18.97%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-21.06%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-6.96%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-11.31%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4.35%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2020年度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19.67%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16.32%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3.35%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2019年度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49.46%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49.41%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2018年度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-27.55%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-28.35%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2017年度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30.04%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30.37%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2016年度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-8.20%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-8.69%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-0.11%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2015年度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12.99%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15.28%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-2.29%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2014年度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42.89%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42.42%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2013年度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-3.02%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2012年度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3.96%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4.80%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2011年度（自基金合同生效起至2011年12月31日）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-9.20%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-14.50%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5.30%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-0.42%</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注：本基金的业绩比较基准为深证300价值价格指数收益率×95%＋银行活期存款税后收益率×5%，每日进行再平衡过程。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交银施罗德深证300价值交易型开放式指数证券投资基金联接基金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(2011年09月28日至2026年06月30日)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 id="_x0000_i1026" type="#_x0000_t75" style="height:268.27pt;width:439.5pt">
            <v:imagedata r:id="rId14"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注：本基金建仓期为自基金合同生效日起的6个月。截至建仓期结束，本基金各项资产配置比例符合基金合同及招募说明书有关投资比例的约定。</w:t>
      </w:r>
    </w:p>
    <w:p>
      <w:pPr>
        <w:pStyle w:val="Heading1"/>
        <w:snapToGrid w:val="0"/>
        <w:spacing w:before="240" w:beforeLines="0" w:after="0"/>
        <w:rPr>
          <w:rFonts w:ascii="宋体" w:hAnsi="宋体"/>
          <w:szCs w:val="30"/>
        </w:rPr>
      </w:pPr>
      <w:r>
        <w:br w:type="page"/>
      </w:r>
      <w:bookmarkStart w:id="26" w:name="_Toc256000012"/>
      <w:bookmarkStart w:id="27" w:name="_Toc256000038"/>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（一）基金资产总值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基金资产总值是指基金拥有的包括目标ETF份额在内的各类有价证券、银行存款本息、基金应收款项以及其他资产的价值总和。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基金资产净值是指基金资产总值减去基金负债后的净资产值。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（三）基金财产的账户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财产以基金名义开立银行存款账户，以基金托管人的名义开立证券交易清算资金的结算备付金账户，以基金托管人和本基金联名的方式开立基金证券账户，以本基金的名义开立银行间债券托管账户。开立的基金专用账户与基金管理人、基金托管人、基金销售机构和注册登记机构自有的财产账户以及其他基金财产账户相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（四）基金财产的处分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独立于基金管理人、基金托管人和代销机构的固有财产，并由基金托管人保管。基金管理人、基金托管人因基金财产的管理、运用或者其他情形而取得的财产和收益归入基金财产。基金管理人、基金托管人可以按基金合同的约定收取管理费、托管费以及基金合同约定的其他费用。基金管理人、基金托管人以其自有财产承担法律责任，其债权人不得对基金财产行使请求冻结、扣押和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基金管理人、基金托管人因依法解散、被依法撤销或者被依法宣告破产等原因进行清算的，基金财产不属于其清算财产。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基金财产的债权，不得与基金管理人、基金托管人固有财产的债务相抵销；不同基金财产的债权债务，不得相互抵销。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除依据《基金法》、基金合同及其他有关规定处分外，基金财产不得被处分。非因基金财产本身承担的债务，不得对基金财产强制执行。</w:t>
      </w:r>
    </w:p>
    <w:p>
      <w:pPr>
        <w:pStyle w:val="Heading1"/>
        <w:snapToGrid w:val="0"/>
        <w:spacing w:before="240" w:beforeLines="0" w:after="0"/>
        <w:rPr>
          <w:rFonts w:ascii="宋体" w:hAnsi="宋体"/>
          <w:szCs w:val="30"/>
        </w:rPr>
      </w:pPr>
      <w:r>
        <w:br w:type="page"/>
      </w:r>
      <w:bookmarkStart w:id="28" w:name="_Toc256000013"/>
      <w:bookmarkStart w:id="29" w:name="_Toc256000039"/>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（一）估值目的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基金资产的估值目的是客观、准确地反映基金资产是否保值、增值，并为基金份额提供计价依据。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本基金的估值日为相关的证券交易场所的正常交易日，以及国家法律法规规定需要对外披露基金净值的非交易日。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基金依法拥有的目标ETF份额、股票、债券、权证及其他基金资产和负债。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1、目标ETF估值方法：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目标ETF以该ETF份额当日净值估值；若估值日非证券交易所的营业日，以该基金最近工作日的基金份额净值估值。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2、股票估值方法：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市流通股票按估值日其所在证券交易所的收盘价估值；估值日无交易的，且最近交易日后经济环境未发生重大变化，以最近交易日的收盘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（2）未上市股票的估值：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 首次发行未上市的股票，采用估值技术确定公允价值，在估值技术难以可靠计量公允价值的情况下，按成本价估值；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 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 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 非公开发行的且在发行时明确一定期限锁定期的股票，按监管机构或行业协会有关规定确定公允价值。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任何情况下，基金管理人如采用本项第（1）－（3）小项规定的方法对基金资产进行估值，均应被认为采用了适当的估值方法。但是，如果基金管理人认为按本项第（1）－（3）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3、债券估值方法：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证券交易所市场挂牌交易且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（3）首次发行未上市债券采用估值技术确定的公允价值进行估值，在估值技术难以可靠计量公允价值的情况下，按成本估值。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（4）交易所以大宗交易方式转让的资产支持证券，采用估值技术确定公允价值，在估值技术难以可靠计量公允价值的情况下，按成本进行后续计量。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（5）在全国银行间债券市场交易的债券、资产支持证券等固定收益品种，采用估值技术确定公允价值。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（6）同一债券同时在两个或两个以上市场交易的，按债券所处的市场分别估值。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任何情况下，基金管理人如采用本项第（1）－（6）小项规定的方法对基金资产进行估值，均应被认为采用了适当的估值方法。但是，如果基金管理人认为按本项第（1）－（6）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4、权证估值方法：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持有的权证，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（2）首次发行未上市的权证，采用估值技术确定公允价值，在估值技术难以可靠计量公允价值的情况下，按成本估值。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（3）因持有股票而享有的配股权，以及停止交易、但未行权的权证，采用估值技术确定公允价值进行估值。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任何情况下，基金管理人如采用本项第（1）－（3）项规定的方法对基金资产进行估值，均应被认为采用了适当的估值方法。但是，如果基金管理人认为按本项第（1）－（3）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5、衍生品及其他有价证券等资产按国家有关规定进行估值。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根据有关法律法规，本基金的基金会计责任方由基金管理人担任。因此，就与本基金有关的会计问题，如经相关各方在平等基础上充分讨论后，仍无法达成一致的意见，基金管理人有权按照其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日常估值由基金管理人进行。基金份额净值由基金管理人完成估值后，将估值结果以书面形式或双方约定的其他形式报给基金托管人，基金托管人按基金合同规定的估值方法、时间、程序进行复核，基金托管人复核无误后签章返回给基金管理人，由基金管理人依据本基金合同和有关法律法规的规定予以公布。月末、年中和年末估值复核与基金会计账目的核对同时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1、差错类型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注册登记机构或代销机构或投资者自身的过错造成差错，导致其他当事人遭受损失的，差错的责任人应当对由于该差错遭受损失的当事人（“受损方”）按下述“差错处理原则”给予赔偿，承担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差错的主要类型包括但不限于：资料申报差错、数据传输差错、数据计算差错、系统故障差错、下达指令差错等；对于因技术原因引起的差错，若系同行业现有技术水平不能预见、不能避免、不能克服，则属不可抗力，按照下述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由于不可抗力原因造成投资者的交易资料灭失或被错误处理或造成其他差错，因不可抗力原因出现差错的当事人不对其他当事人承担赔偿责任，但因该差错取得不当得利的当事人仍应负有返还不当得利的义务。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2、差错处理原则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差错已发生，但尚未给当事人造成损失时，差错责任方应及时协调各方，及时进行更正，因更正差错发生的费用由差错责任方承担；由于差错责任方未及时更正已产生的差错，给当事人造成损失的，由差错责任方承担；若差错责任方已经积极协调，并且有协助义务的当事人有足够的时间进行更正而未更正，则该当事人应当承担相应赔偿责任。差错责任方应对更正的情况向有关当事人进行确认，确保差错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（2）差错的责任方对可能导致有关当事人的直接损失负责，不对间接损失负责，并且仅对差错的有关直接当事人负责，不对第三方负责；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差错而获得不当得利的当事人负有及时返还不当得利的义务。但差错责任方仍应对差错负责。如果由于获得不当得利的当事人不返还或不全部返还不当得利造成其他当事人的利益损失，则差错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差错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（4）差错调整采用尽量恢复至假设未发生差错的正确情形的方式；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差错责任方拒绝进行赔偿时，如果因基金管理人的行为造成基金财产损失时，基金托管人应为基金的利益向基金管理人追偿，如果因基金托管人的行为造成基金财产损失时，基金管理人应为基金的利益向基金托管人追偿。基金管理人和基金托管人之外的第三方造成基金财产的损失，并拒绝进行赔偿时，由基金管理人负责向差错方追偿，追偿过程中产生的有关费用，由责任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如果出现差错的当事人未按规定对受损方进行赔偿，并且依据法律法规、基金合同或其他规定，基金管理人自行或依据法院判决、仲裁裁决对受损方承担了赔偿责任，则基金管理人有权向有责任的当事人进行追索，并有权要求其赔偿或补偿由此发生的费用和遭受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（7）按法律法规规定的其他原则处理差错。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3、差错处理程序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差错被发现后，有关的当事人应当及时进行处理，处理的程序如下：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（1）查明差错发生的原因，列明所有的当事人，并根据差错发生的原因确定差错的责任方；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（2）根据差错处理原则或当事人协商的方法对因差错造成的损失进行评估；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（3）根据差错处理原则或当事人协商的方法由差错的责任方进行更正和赔偿损失；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（4）根据差错处理的方法，需要修改基金注册登记机构交易数据的，由基金注册登记机构进行更正，并就差错的更正向有关当事人进行确认。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4、基金份额净值差错处理的原则和方法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基金份额净值小数点后3位以内（含第3位）发生差错时，视为基金份额净值错误；基金份额净值出现错误时，基金管理人应当立即予以纠正，通报基金托管人，并采取合理的措施防止损失进一步扩大；当错误达到或超过基金资产净值的0.25%时，基金管理人应当及时通知基金托管人并报中国证监会；错误偏差达到基金资产净值的0.5%时，基金管理人应当公告、通报基金托管人并报中国证监会备案；当发生净值计算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 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 若基金管理人计算的基金份额净值已由基金托管人复核确认后公告，基金份额净值出错且造成基金份额持有人损失的，应根据法律法规的规定对基金份额持有人或基金支付赔偿金，就实际向基金份额持有人或基金支付的赔偿金额，其中基金管理人承担50%，基金托管人承担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 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 由于基金管理人提供的信息错误（包括但不限于基金申购或赎回金额等），基金托管人在履行了正常的复核程序后仍不能发现该错误，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（4）前述内容如法律法规或者监管部门另有规定的，从其规定。如果行业有通行做法，双方当事人应本着平等和保护基金份额持有人利益的原则进行协商。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1、基金投资所涉及的证券交易所遇法定节假日或因其他原因暂停营业时；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2、基金所投资之目标ETF发生暂停估值，暂停公告基金份额净值的情形；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3、因不可抗力或其他情形致使基金管理人、基金托管人无法准确评估基金资产价值时；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4、占基金相当比例的投资品种的估值出现重大转变，而基金管理人为保障基金份额持有人的利益，决定延迟估值；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6、中国证监会和基金合同认定的其他情形。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用于基金信息披露的基金资产净值和基金份额净值由基金管理人负责计算，基金托管人负责进行复核。基金管理人应于每个工作日交易结束后将当日的净值计算结果发送给基金托管人。基金托管人对净值计算结果复核确认后发送给基金管理人，由基金管理人依据本基金合同和有关法律法规的规定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基金份额净值的计算精确到0.001元，小数点后第四位四舍五入。国家另有规定的，从其规定。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1、基金管理人或基金托管人按股票估值方法的第（4）项、债券估值方法的第（7）项、权证估值方法的第（4）项进行估值时，所造成的误差不作为基金资产估值错误处理。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证券交易所或登记结算公司发送的数据错误，有关会计制度变化或由于其他不可抗力原因，基金管理人和基金托管人虽然已经采取必要、适当、合理的措施进行检查，但是未能发现该错误而造成的基金份额净值计算错误，基金管理人、基金托管人免除赔偿责任。但基金管理人、基金托管人应积极采取必要的措施消除由此造成的影响。</w:t>
      </w:r>
    </w:p>
    <w:p>
      <w:pPr>
        <w:pStyle w:val="Heading1"/>
        <w:snapToGrid w:val="0"/>
        <w:spacing w:before="240" w:beforeLines="0" w:after="0"/>
        <w:rPr>
          <w:rFonts w:ascii="宋体" w:hAnsi="宋体"/>
          <w:szCs w:val="30"/>
        </w:rPr>
      </w:pPr>
      <w:r>
        <w:br w:type="page"/>
      </w:r>
      <w:bookmarkStart w:id="30" w:name="_Toc256000014"/>
      <w:bookmarkStart w:id="31" w:name="_Toc256000040"/>
      <w:r>
        <w:rPr>
          <w:rFonts w:ascii="宋体" w:hAnsi="宋体"/>
          <w:sz w:val="30"/>
        </w:rPr>
        <w:t>十四、基金的收益与分配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（二）基金可供分配利润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本基金收益分配应遵循下列原则：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1、本基金的每份基金份额享有同等分配权；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2、收益分配时所发生的银行转账或其他手续费用由基金投资者自行承担；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3、在符合有关基金分红条件的前提下，本基金每年收益分配次数最多为4次，每份基金份额每次分配比例不得低于收益分配基准日每份基金份额可供分配利润的10%；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4、本基金收益分配方式分为两种：现金分红与红利再投资，基金投资者可选择现金红利或将现金红利自动转为基金份额进行再投资；若投资者不选择，本基金默认的收益分配方式是现金分红；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5、法律法规或监管机构另有规定的从其规定。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在不影响基金份额持有人利益的情况下，基金管理人可在法律法规允许的前提下酌情调整以上基金收益分配原则，并于变更实施日前在指定媒介上公告。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基金收益分配方案中应载明基金收益分配基准日可供分配利润、基金收益分配对象、分配时间、分配数额及比例、分配方式等内容。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（五）收益分配方案的确定、公告与实施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1、本基金收益分配方案由基金管理人拟定、由基金托管人复核，依照《信息披露办法》的有关规定在指定媒介公告。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收益分配的发放日距离收益分配基准日的时间不超过15个工作日。在分配方案公布后（依据具体方案的规定），基金管理人就支付的现金红利向基金托管人发送划款指令，基金托管人按照基金管理人的指令及时进行分红资金的划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收益分配时所发生的银行转账或其他手续费用由投资者自行承担。当投资者的现金红利小于一定金额，不足于支付银行转账或其他手续费用时，注册登记机构可将基金份额持有人的现金红利自动转为基金份额。红利再投资的计算方法，依照《业务规则》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（七）收益分配方式的修改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投资者可至销售机构办理收益分配方式的修改，投资者对不同的交易账户可设置不同的收益分配方式。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投资者同一日多次申报分红方式变更的，按照《业务规则》执行，最终确认的分红方式以基金注册登记机构记录为准。</w:t>
      </w:r>
    </w:p>
    <w:p>
      <w:pPr>
        <w:pStyle w:val="Heading1"/>
        <w:snapToGrid w:val="0"/>
        <w:spacing w:before="240" w:beforeLines="0" w:after="0"/>
        <w:rPr>
          <w:rFonts w:ascii="宋体" w:hAnsi="宋体"/>
          <w:szCs w:val="30"/>
        </w:rPr>
      </w:pPr>
      <w:r>
        <w:br w:type="page"/>
      </w:r>
      <w:bookmarkStart w:id="32" w:name="_Toc256000015"/>
      <w:bookmarkStart w:id="33" w:name="_Toc256000041"/>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5、基金合同生效后与基金有关的会计师费和律师费；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6、基金的证券交易费用；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7、基金财产拨划支付的银行费用；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8、证券账户开户费用和银行账户维护费；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9、按照国家有关规定可以在基金财产中列支的其他费用。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财产中投资于目标ETF的部分不收取管理费。在通常情况下，按前一日基金资产净值扣除基金财产中目标ETF份额所对应资产净值后剩余部分（若为负数，则取0）的0.5%年费率计提基金管理费。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H＝E×年管理费率÷当年天数，本基金年管理费率为0.5%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E为前一日基金资产净值扣除基金财产中目标ETF份额所对应资产净值后的剩余部分，若为负数，则E取0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提，按月支付。由基金管理人向基金托管人发送基金管理费划付指令，经基金托管人复核后于次月首日起3个工作日内从基金财产中一次性支付给基金管理人，若遇法定节假日、休息日，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财产中投资于目标ETF的部分不收取托管费。在通常情况下，按前一日基金资产净值扣除基金财产中目标ETF份额所对应资产净值后剩余部分（若为负数，则取0）的0.1%年费率计提基金托管费。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H＝E×年托管费率÷当年天数，本基金年托管费率为0.1%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E为前一日基金资产净值扣除基金财产中目标ETF份额所对应资产净值后的剩余部分，若为负数，则E取0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提，按月支付。由基金管理人向基金托管人发送基金托管费划付指令，经基金托管人复核后于次月首日起3个工作日内从基金财产中一次性支付给基金托管人，若遇法定节假日、休息日，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（3）上述（一）中3到9项费用由基金托管人根据其他有关法律法规及相应协议的规定，按费用支出金额支付，列入或摊入当期基金费用。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本基金转换费的费率水平、计算方式和收取方式详见 “基金的转换”一章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因未履行或未完全履行义务导致的费用支出或基金财产的损失，以及处理与基金运作无关的事项发生的费用等不列入基金费用。基金募集期间所发生的信息披露费、律师费和会计师费以及其他费用不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和基金托管人可根据基金发展情况调整基金管理费率和基金托管费率。降低基金管理费率和基金托管费率，无须召开基金份额持有人大会。基金管理人必须依照有关规定最迟于新的费率实施日前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基金和基金份额持有人根据国家法律法规的规定，履行纳税义务。</w:t>
      </w:r>
    </w:p>
    <w:p>
      <w:pPr>
        <w:pStyle w:val="Heading1"/>
        <w:snapToGrid w:val="0"/>
        <w:spacing w:before="240" w:beforeLines="0" w:after="0"/>
        <w:rPr>
          <w:rFonts w:ascii="宋体" w:hAnsi="宋体"/>
          <w:szCs w:val="30"/>
        </w:rPr>
      </w:pPr>
      <w:r>
        <w:br w:type="page"/>
      </w:r>
      <w:bookmarkStart w:id="34" w:name="_Toc256000016"/>
      <w:bookmarkStart w:id="35" w:name="_Toc256000042"/>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（一）基金的会计政策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2、本基金的会计年度为公历每年的1月1日至12月31日；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3、本基金的会计核算以人民币为记账本位币，以人民币元为记账单位；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4、会计制度执行国家有关的会计制度；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6、基金管理人及基金托管人分别保留完整的会计账目、凭证并进行日常的会计核算，按照有关规定编制基金会计报表；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7、基金托管人定期与基金管理人就基金的会计核算、报表编制等进行核对并书面确认。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（二）基金的审计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1、基金管理人聘请具有证券、期货相关从业资格的会计师事务所及其注册会计师对本基金年度财务报表及其他规定事项进行审计。会计师事务所及其注册会计师与基金管理人、基金托管人相互独立。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2、会计师事务所更换经办注册会计师时，应事先征得基金管理人同意。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3、基金管理人认为有充足理由更换会计师事务所，经通报基金托管人后可以更换。更换会计师事务所需按照《信息披露办法》的有关规定在指定媒介公告。</w:t>
      </w:r>
    </w:p>
    <w:p>
      <w:pPr>
        <w:pStyle w:val="Heading1"/>
        <w:snapToGrid w:val="0"/>
        <w:spacing w:before="240" w:beforeLines="0" w:after="0"/>
        <w:rPr>
          <w:rFonts w:ascii="宋体" w:hAnsi="宋体"/>
          <w:szCs w:val="30"/>
        </w:rPr>
      </w:pPr>
      <w:r>
        <w:br w:type="page"/>
      </w:r>
      <w:bookmarkStart w:id="36" w:name="_Toc256000017"/>
      <w:bookmarkStart w:id="37" w:name="_Toc256000043"/>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（一）本基金的信息披露应符合《基金法》、《运作办法》、《信息披露办法》、《流动性规定》、基金合同及其他有关规定。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（二）信息披露义务人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（三）本基金信息披露义务人在承诺公开披露的基金信息时，不得有下列行为：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公开披露的基金信息包括：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1、招募说明书、基金合同、托管协议、基金产品资料概要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基金募集申请经中国证监会注册后，基金管理人在基金份额发售的3日前，将基金招募说明书、《基金合同》摘要登载在指定媒介上；基金管理人、基金托管人应当将《基金合同》、基金托管协议登载在网站上。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基金管理人应当就基金份额发售的具体事宜编制基金份额发售公告，并在披露招募说明书的当日登载于指定媒介上。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基金管理人应当在收到中国证监会确认文件的次日在指定媒介上登载《基金合同》生效公告。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《基金合同》生效后，在开始办理基金份额申购或者赎回前，基金管理人应当至少每周在指定网站披露一次基金份额净值和基金份额累计净值。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在开始办理基金份额申购或者赎回后，基金管理人应当在不晚于每个开放日的次日，通过指定网站、基金销售机构网站或者营业网点披露开放日的基金份额净值和基金份额累计净值。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基金管理人应当在不晚于半年度和年度最后一日的次日，在指定网站披露半年度和年度最后一日的基金份额净值和基金份额累计净值。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（16）基金份额净值计价错误达基金份额净值百分之零点五；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（18）本基金发生巨额赎回并延期办理；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（19）本基金连续发生巨额赎回并暂停接受赎回申请或延缓支付赎回款项；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（六）信息披露事务管理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基金信息披露义务人公开披露基金信息，应当符合中国证监会相关基金信息披露内容与格式准则等法律法规规定。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（八）本基金信息披露事项以法律法规规定及本章节约定的内容为准。</w:t>
      </w:r>
    </w:p>
    <w:p>
      <w:pPr>
        <w:pStyle w:val="Heading1"/>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超过基金总份额的百分之十时，投资者将可能无法及时赎回持有的全部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基金分为股票基金、混合基金、债券基金、货币市场基金等不同类型，投资者投资不同类型的基金将获得不同的收益预期，也将承担不同程度的风险。一般来说，基金的收益预期越高，投资者承担的风险也越大。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应当认真阅读基金合同、招募说明书、基金产品资料概要等基金法律文件，了解基金的风险收益特征，并根据自身的投资目的、投资期限、投资经验、资产状况等判断基金是否和投资者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应当充分了解基金定期定额投资和零存整取等储蓄方式的区别。定期定额投资是引导投资者进行长期投资、平均投资成本的一种简单易行的投资方式。但是定期定额投资并不能规避基金投资所固有的风险，不能保证投资者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拆分、封转开、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者基金投资的“买者自负”原则，在做出投资决策后，基金运营状况与基金净值变化引致的投资风险，由投资者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2、经济周期风险。证券市场受宏观经济运行的影响，而经济运行具有周期性的特点，而宏观经济运行状况将对证券市场的收益水平产生影响，从而对基金收益造成影响。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（二）管理风险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开放式基金，在基金的所有开放日，基金管理人都有义务接受投资者的申购和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本基金的投资市场主要为证券交易所、全国银行间债券市场等流动性较好的规范型交易场所，主要投资对象为目标 ETF、标的指数成份股、备选成份股，此外，为更好地实现投资目标，本基金也可少量投资于新股（含存托凭证）、债券、回购、权证及中国证监会允许基金投资的其它金融工具（但须符合中国证监会相关规定），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3、巨额赎回情形下的流动性风险管理措施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工作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当基金出现巨额赎回时，基金管理人可以根据基金当时的资产组合状况决定全额赎回或部分顺延赎回。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（1）全额赎回：当基金管理人认为有能力支付基金投资者的赎回申请时，按正常赎回程序执行。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顺延赎回：当基金管理人认为支付基金投资者的赎回申请有困难或认为支付投资者的赎回申请而进行的财产变现可能会对基金资产净值造成较大波动时，基金管理人在当日接受赎回比例不低于上一工作日基金总份额的10%的前提下，对其余赎回申请延期办理。对于当日的赎回申请，应当按单个账户赎回申请量占赎回申请总量的比例，确定当日受理的赎回份额；基金投资者未能赎回部分，投资者在提交赎回申请时可以选择延期赎回或取消赎回。选择延期赎回的，将自动转入下一个开放日继续赎回，直到全部赎回为止；选择取消赎回的，当日未获赎回的部分申请将被撤销。延期的赎回申请与下一开放日赎回申请一并处理，无优先权并以该开放日的基金份额净值为基础计算赎回金额，并以此类推，直到全部赎回为止。如基金投资者在提交赎回申请时未作明确选择，投资者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顺延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暂停赎回：连续2日以上（含本数）发生巨额赎回，如基金管理人认为有必要，可暂停接受基金的赎回申请；已经确认成功的赎回申请可以延缓支付赎回款项，但不得超过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（五）投资本基金的特有风险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1、目标ETF的风险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本基金为ETF联接基金，主要投资对象是目标ETF，因此目标ETF面临的风险可能直接或间接成为本基金的风险。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2、标的指数回报与股票市场平均回报偏离的风险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标的指数并不能完全代表整个股票市场。标的指数成份股的平均回报率与整个股票市场的平均回报率可能存在偏离。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3、标的指数波动的风险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标的指数成份股的价格可能受到政治因素、经济因素、上市公司经营状况、投资者心理和交易制度等各种因素的影响而波动，导致指数波动，从而使基金收益水平发生变化，产生风险。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4、基金投资组合回报与标的指数回报偏离的风险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（1）本基金90%以上的净资产投资于目标ETF，目标ETF回报与标的指数回报的偏离会造成本基金与标的指数的跟踪偏离；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（2）本基金有投资成本、各种费用及税收，而指数编制不考虑费用和税收，这将导致本基金收益率落后于标的指数收益率，产生负的跟踪偏离度；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受市场流动性风险的影响，本基金在实际管理过程中，由于投资者申购而增加的资金可能不能及时地转化为目标ETF份额和成份股、或在面临投资者赎回时无法以赎回价格将目标ETF份额和成份股及时地转化为现金，使得本基金在跟踪标的指数时存在一定的跟踪偏离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本基金实行指数化投资过程中，基金管理人对指数基金的管理能力，例如跟踪标的指数的水平、技术手段、买入卖出证券的时机选择等，都会对本基金的收益产生影响，从而影响本基金相对于对标的指数的偏离程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5、跟踪误差控制未达约定目标的风险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本基金力争控制日均跟踪偏离度的绝对值不超过0.3%，年跟踪误差不超过4%。但因标的指数编制规则调整或其他因素可能导致跟踪误差超过上述范围，本基金净值表现与指数价格走势可能发生较大偏离。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6、指数编制机构停止服务的风险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标的指数由指数编制机构发布并管理和维护，未来指数编制机构可能由于各种原因停止对指数的管理和维护，本基金将根据基金合同的约定自该情形发生之日起十个工作日内向中国证监会报告并提出解决方案，如更换基金标的指数、转换运作方式，与其他基金合并或者终止基金合同等，并在6个月内召集基金份额持有人大会进行表决，基金份额持有人大会未成功召开或就上述事项表决未通过的，基金合同终止。投资人将面临更换基金标的指数、转换运作方式，与其他基金合并或者终止基金合同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指数编制机构停止标的指数的编制及发布至解决方案确定期间，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7、成份股停牌的风险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标的指数成份股可能因各种原因临时或长期停牌，发生成份股停牌时可能面临如下风险：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（1）基金可能因无法及时调整投资组合而导致跟踪偏离度和跟踪误差扩大。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（2）若成份股停牌时间较长，在约定时间内仍未能及时买入或卖出的，由此可能影响投资者的投资损益并使基金产生跟踪偏离度和跟踪误差。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极端情况下，标的指数成份股可能大面积停牌，基金可能无法及时卖出成份股以获取足额的符合要求的赎回款项，由此基金管理人可能采取暂停赎回的措施，投资者将面临无法赎回全部或部分基金份额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当标的指数成份股发生明显负面事件面临退市，且指数编制机构暂未作出调整的，基金管理人应当按照持有人利益优先的原则，履行内部决策程序后及时对相关成份股进行调整，可能影响投资者的投资损益并使基金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8、本基金为目标ETF的联接基金，但不能保证本基金的表现与目标ETF的表现完全一致，产生差异的原因包括以下几个方面：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（1）本基金赎回采用现金方式，为支付现金赎回款，相比目标ETF，本基金需要保留更多的现金资产；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（2）本基金申购采用现金方式，在利用到账的申购资金投资目标ETF过程中，市场波动等原因会造成本基金与目标ETF表现的差异；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（3）本基金为应对现金申购赎回而进行的证券交易需支付一定的手续费，此等费用将影响本基金相对于目标ETF的表现。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1、因技术因素而产生的风险，如电脑系统不可靠产生的风险；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3、因人为因素而产生的风险、如内幕交易、欺诈行为等产生的风险；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4、对主要业务人员如基金经理的依赖而可能产生的风险；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5、因业务竞争压力可能产生的风险；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7、其他意外导致的风险。</w:t>
      </w:r>
    </w:p>
    <w:p>
      <w:pPr>
        <w:pStyle w:val="Heading1"/>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十九、基金合同的终止与基金财产的清算</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（一）基金合同的终止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有下列情形之一的，基金合同经中国证监会核准后将终止：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2.基金管理人职责终止，而在6个月内没有新的基金管理人承接的；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3.基金托管人职责终止，而在6个月内没有新的基金托管人承接的；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（1）基金合同终止后，成立基金清算小组，基金清算小组在中国证监会的监督下进行基金清算。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（2）基金清算小组成员由基金管理人、基金托管人、具有从事证券相关业务资格的注册会计师、律师以及中国证监会指定的人员组成。基金清算小组可以聘用必要的工作人员。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（3）基金清算小组负责基金财产的保管、清理、估价、变现和分配。基金清算小组可以依法进行必要的民事活动。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（1）基金合同终止时，由基金清算小组统一接管基金财产；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（3）对基金财产进行估价和变现；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（7）将基金清算结果报告中国证监会；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（8）公布基金清算报告；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清算费用是指基金清算小组在进行基金清算过程中发生的所有合理费用，清算费用由基金清算小组优先从基金财产中支付。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4.基金财产按下列顺序清偿：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（1）支付清算费用；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（2）交纳所欠税款；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（3）清偿基金债务；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基金财产未按前款（1）－（3）项规定清偿前，不分配给基金份额持有人。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公告于基金合同终止并报中国证监会备案后5个工作日内由基金清算小组公告；清算过程中的有关重大事项须及时公告；基金财产清算结果经会计师事务所审计，律师事务所出具法律意见书后，由基金财产清算小组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pStyle w:val="Heading1"/>
        <w:snapToGrid w:val="0"/>
        <w:spacing w:before="240" w:beforeLines="0" w:after="0"/>
        <w:rPr>
          <w:rFonts w:ascii="宋体" w:hAnsi="宋体"/>
          <w:szCs w:val="30"/>
        </w:rPr>
      </w:pPr>
      <w:r>
        <w:br w:type="page"/>
      </w:r>
      <w:bookmarkStart w:id="42" w:name="_Toc256000020"/>
      <w:bookmarkStart w:id="43" w:name="_Toc256000046"/>
      <w:r>
        <w:rPr>
          <w:rFonts w:ascii="宋体" w:hAnsi="宋体"/>
          <w:sz w:val="30"/>
        </w:rPr>
        <w:t>二十、基金合同的内容摘要</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（一）基金合同当事人的权利与义务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根据《基金法》、《运作办法》及其他有关规定，基金管理人的权利为：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（1）自本基金合同生效之日起，依照有关法律法规和本基金合同的规定独立运用基金财产；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（2）依照本基金合同获得基金管理费以及法律法规规定或中国证监会批准的其他收入；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（3）根据法律法规和基金合同之规定销售基金份额；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（4）根据法律法规和基金合同的规定制定基金收益分配方案；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（5）依照有关规定为基金的利益行使因基金财产投资于证券所产生的权利；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（6）在符合有关法律法规和本基金合同的前提下，制订和调整有关基金认购、申购、赎回、转换、转托管等业务的规则，决定基金的除调高托管费和管理费之外的费率结构和收费方式；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根据本基金合同及有关规定监督基金托管人，对于基金托管人违反了本基金合同或有关法律法规规定的行为，对基金财产、其他基金当事人的利益造成重大损失的情形，应及时呈报中国证监会和中国银监会，并采取必要措施保护基金及相关基金当事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（8）在基金合同约定的范围内，拒绝或暂停受理申购、赎回和转换申请；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（9）自行担任注册登记机构或选择、更换注册登记机构，并对注册登记机构的代理行为进行必要的监督和检查；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（10）选择、更换代销机构，并依据销售代理协议和有关法律法规，对其行为进行必要的监督和检查；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（14）选择、更换律师事务所、会计师事务所、证券经纪商或其他为基金提供服务的外部机构；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（15）根据国家有关规定，在法律法规允许的前提下，为基金的利益依法为基金融资、融券；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（16）法律法规、基金合同以及依据基金合同制定的其它法律文件规定的其他权利。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根据《基金法》、《运作办法》及其他有关规定，基金管理人的义务为：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（1）依法募集基金，办理或者委托经由证监会认定的其他机构代为办理基金份额的发售、申购、赎回和注册登记事宜；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（3）自基金合同生效之日起，以诚实信用、勤勉尽责的原则管理和运用基金财产；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（9）采取适当合理的措施使计算基金份额认购、申购、赎回价格的方法符合基金合同等法律文件的规定；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（10）按规定受理基金份额的申购和赎回申请，及时、足额支付赎回款项；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（14）保守基金商业秘密，不得泄露基金投资计划、投资意向等。除《基金法》、基金合同及其他有关规定另有规定外，在基金信息公开披露前应予保密，不得向他人泄露；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（21）基金托管人违反基金合同造成基金财产损失时，应为基金份额持有人利益向基金托管人追偿；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（22）按规定向基金托管人提供基金份额持有人名册资料；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（26）不从事任何有损基金及其他基金合同当事人合法权益的活动；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（27）依照法律法规为基金的利益对被投资公司行使股东权利，为基金的利益行使因基金财产投资于证券所产生的权利，不谋求对上市公司的控股和直接管理；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（28）法律法规、基金合同规定的以及中国证监会要求的其他义务。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根据《基金法》、《运作办法》及其他有关规定，基金托管人的权利为：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（1）依照基金合同的约定获得基金托管费；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（2）监督基金管理人对本基金的投资运作；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（3）自本基金合同生效之日起，依照法律法规和基金合同、托管协议的规定依法保管基金财产；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（4）在基金管理人更换时，提名新任基金管理人；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根据本基金合同及有关规定监督基金管理人，对于基金管理人违反本基金合同或有关法律法规规定的行为，对基金财产、其他基金合同当事人的利益造成重大损失的情形，应及时呈报中国证监会，并采取必要措施保护基金及相关基金合同当事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（6）依法提议召开或召集基金份额持有人大会；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（7）按规定取得基金份额持有人名册；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（8）法律法规规定的其他权利。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根据《基金法》、《运作办法》及其他有关规定，基金托管人的义务为：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基金财产分别设置账户，独立核算，分账管理，保证不同基金之间在名册登记、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（6）按规定开设基金财产的资金账户和证券账户；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（7）保守基金商业秘密。除《基金法》、基金合同及其他有关规定另有规定外，在基金信息公开披露前应予保密，不得向他人泄露；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（9）保存基金托管业务活动的记录、账册、报表和其他相关资料不少于15年；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（12）复核、审查基金管理人计算的基金资产净值、基金份额净值和基金份额申购、赎回价格；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（13）按照规定监督基金管理人的投资运作；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（15）依据基金管理人的指令或有关规定向基金份额持有人支付基金收益和赎回款项；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（16）按照规定召集基金份额持有人大会或配合基金管理人、基金份额持有人依法自行召集基金份额持有人大会；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（17）因违反基金合同导致基金财产损失，应承担赔偿责任，其赔偿责任不因其退任而免除；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（18）按规定监督基金管理人按照法律法规规定和基金合同履行其义务，基金管理人因违反基金合同造成基金财产损失时，应为基金向基金管理人追偿；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（19）根据本基金合同和托管协议规定建立并保存基金份额持有人名册；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（20）参加基金财产清算组，参与基金财产的保管、清理、估价、变现和分配；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（21）面临解散、依法被撤销、破产或者由接管人接管其资产时，及时报告中国证监会和中国银监会，并通知基金管理人；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（23）法律法规、基金合同规定的以及中国证监会要求的其他义务。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自依招募说明书、基金合同取得基金份额即成为基金份额持有人和基金合同当事人，直至其不再持有本基金的基金份额，其持有基金份额的行为本身即表明其对基金合同的完全承认和接受。基金份额持有人作为基金合同当事人并不以在基金合同上书面签章或签字为必要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每份基金份额具有同等的合法权益。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根据《基金法》、《运作办法》及其他有关法律法规的规定，基金份额持有人的权利包括但不限于：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（3）依法转让或者申请赎回其持有的基金份额；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（6）根据基金合同的约定，出席或者委派代表出席目标ETF份额持有人大会，对目标ETF份额持有人大会审议事项行使表决权；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（9）对基金管理人、基金托管人、基金份额代销机构损害其合法权益的行为依法提起诉讼；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（10）法律法规和基金合同规定的其他权利。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根据《基金法》、《运作办法》及其他有关法律法规的规定，基金份额持有人的义务包括但不限于：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（1）遵守法律法规、基金合同及其他有关规定；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（2）缴纳基金认购、申购款项及法律法规、基金合同和招募说明书规定的费用；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（4）不从事任何有损基金及其他基金份额持有人合法权益的活动；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（5）执行生效的基金份额持有人大会决议；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（6）遵守基金管理人、基金托管人及销售机构和注册登记机构的相关交易及业务规则；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（7）返还在基金交易过程中因任何原因，自基金管理人、基金托管人、代销机构或其他基金份额持有人处获得的不当得利；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（8）法律法规和基金合同规定的其他义务。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4、本基金合同当事人各方的权利义务以本基金合同为依据，不因基金账户名称而有所改变。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出现或需要决定下列事由之一的，经基金管理人、基金托管人或持有基金份额10%以上（“以上”含本数，下同）的基金份额持有人（以基金管理人收到提议当日的基金份额计算，下同）提议时，应当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（3）变更基金类别；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（4）变更基金投资目标、投资范围或投资策略（法律法规和中国证监会另有规定的除外）；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（5）变更基金份额持有人大会议事程序；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（6）更换基金管理人、基金托管人；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（7）提高基金管理人、基金托管人的报酬标准。但根据法律法规的要求提高该等报酬标准的除外；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（9）对基金合同当事人权利、义务产生重大影响，需召开基金份额持有人大会的变更基金合同等其他事项；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（10）基金管理人代表本基金的基金份额持有人提议召开或召集目标ETF份额持有人大会；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（11）法律法规、基金合同或中国证监会规定的其他情形。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出现以下情形之一的，可由基金管理人和基金托管人协商后修改，不需召开基金份额持有人大会：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（1）调低基金管理费、基金托管费等其他应由基金或基金份额持有人承担的费用；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（3）在法律法规和本基金合同规定的范围内调整基金的申购费率、调低赎回费率、变更或增加收费方式；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（4）因相应的法律法规、证券交易所或者注册登记机构的相关业务规则发生变动必须对基金合同进行修改；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（5）基金合同的修改不涉及本基金合同当事人权利义务关系发生重大变化；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（6）基金合同的修改对基金份额持有人利益无实质性不利影响；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（7）按照法律法规或本基金合同规定不需召开基金份额持有人大会的其他情形。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3、召集人及召集方式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（1）除法律法规或本基金合同另有约定外，基金份额持有人大会由基金管理人召集。基金管理人未按规定召集或者不能召集时，由基金托管人召集。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自行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代表基金份额10%以上的基金份额持有人认为有必要召开基金份额持有人大会的，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的基金份额持有人就同一事项要求召开基金份额持有人大会，而基金管理人、基金托管人都不召集的，代表基金份额10%以上的基金份额持有人有权自行召集基金份额持有人大会，但应当至少提前30日向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召集人（以下简称“召集人”）负责选择确定开会时间、地点、方式和权益登记日。召开基金份额持有人大会，召集人必须于会议召开日前40日在指定媒介公告。基金份额持有人大会通知须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（1）会议召开的时间、地点和出席方式；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（2）会议拟审议的主要事项；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（5）有权出席基金份额持有人大会的基金份额持有人的权益登记日；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（8）会务常设联系人姓名、电话；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用通讯方式开会并进行表决的情况下，由召集人决定通讯方式和书面表决方式，并在会议通知中说明本次基金份额持有人大会所采取的具体通讯方式、委托的公证机关及其联系方式和联系人、书面表决意见的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召集人为基金管理人，还应另行书面通知基金托管人到指定地点对书面表决意见的计票进行监督；如召集人为基金托管人，则应另行书面通知基金管理人到指定地点对书面表决意见的计票进行监督；如召集人为基金份额持有人，则应另行书面通知基金管理人和基金托管人到指定地点对书面表决意见的计票进行监督。基金管理人或基金托管人拒不派代表对书面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1）基金份额持有人大会的召开方式包括现场开会、通讯方式开会或法律法规和监管机关允许的其他方式。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2）现场开会由基金份额持有人本人出席或通过授权委托证明委派其代理人出席，现场开会时基金管理人和基金托管人的授权代表应当出席，基金管理人或基金托管人拒不派代表出席的，不影响表决效力。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3）通讯方式开会指按照本基金合同的相关规定以通讯的书面方式进行表决。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（2）召开基金份额持有人大会的条件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在同时符合以下条件时，现场会议方可举行：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 经核对、汇总，到会者出示的在权益登记日持有基金份额的凭证显示，全部有效凭证所对应的基金份额应占权益登记日基金总份额的50%以上（含50%，下同）；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亲自出席会议者持有基金份额持有人凭证和受托出席会议者出具的委托人持有基金份额的凭证及授权委托证明等文件符合有关法律法规和基金合同及会议通知的规定，并且持有基金份额的凭证与基金管理人持有的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未能满足上述条件的情况下，则召集人可另行确定并公告重新开会的时间（至少应在25个工作日后）和地点，但确定有权出席会议的基金份额持有人资格的权益登记日不变。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在同时符合以下条件时，通讯会议方可举行：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①召集人按本基金合同规定公布会议通知后，在2个工作日内连续公布相关提示性公告；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召集人在基金托管人（如果基金托管人为召集人，则为基金管理人；以下称为“监督人”）和公证机关的监督下按照会议通知规定的方式收取和统计基金份额持有人的书面表决意见，监督人经通知拒不参加收取和统计书面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③本人直接出具书面意见或授权他人代表出具书面意见的基金份额持有人所代表的基金份额应占权益登记日基金总份额的50%以上；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直接出具书面意见的基金份额持有人或受托代表他人出具书面意见的代表，同时提交的持有基金份额的凭证和受托出席会议者出具的委托人持有基金份额的凭证和授权委托证明等文件符合法律法规、基金合同和会议通知的规定，并与注册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如果开会条件达不到上述的条件，则召集人可另行确定并公告重新表决的时间（至少应在25个工作日后），且确定有权出席会议的基金份额持有人资格的权益登记日不变。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3）在法律法规或监管机构允许的情况下，经会议通知载明，基金份额持有人也可以采用网络、电话或其他方式进行表决，或者采用网络、电话或其他方式授权他人代为出席会议并表决。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1）议事内容为本基金合同规定的召开基金份额持有人大会事由所涉及的内容以及会议召集人认为需提交基金份额持有人大会讨论的其他事项。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单独或合并持有权益登记日本基金总份额10%以上的基金份额持有人可以在大会召集人发出会议通知前就召开事由向大会召集人提交需由基金份额持有人大会审议表决的提案；也可以在会议通知发出后向大会召集人提交临时提案，临时提案应当在大会召开日前35日提交召集人。召集人对于临时提案应当在大会召开日前30日公告。否则，会议的召开日期应当顺延并保证至少与临时提案公告日期有30日的间隔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3）对于基金份额持有人提交的提案（包括临时提案），大会召集人应当按照以下原则对提案进行审核：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关联性。大会召集人对于基金份额持有人提案涉及事项与基金有直接关系，并且不超出法律法规和基金合同规定的基金份额持有人大会职权范围的，应提交大会审议；对于不符合上述要求的，不提交基金份额持有人大会审议。如果召集人决定不将基金份额持有人提案提交大会表决，应当在该次基金份额持有人大会上进行解释和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程序性。大会召集人可以对基金份额持有人的提案涉及的程序性问题作出决定。如将其提案进行分拆或合并表决，需征得原提案人同意；原提案人不同意变更的，大会主持人可以就程序性问题提请基金份额持有人大会作出决定，并按照基金份额持有人大会决定的程序进行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单独或合并持有权益登记日基金总份额10%以上的基金份额持有人提交基金份额持有人大会审议表决的提案、基金管理人或基金托管人提交基金份额持有人大会审议表决的提案，未获基金份额持有人大会审议通过，就同一提案再次提请基金份额持有人大会审议，其时间间隔不少于6个月。法律法规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的召集人发出召开会议的通知后，如果需要对原有提案进行修改，应当最迟在基金份额持有人大会召开日前30日公告。否则，会议的召开日期应当顺延并保证至少与公告日期有30日的间隔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在现场开会的方式下，首先由大会主持人按照规定程序宣布会议议事程序及注意事项，确定和公布监票人，然后由大会主持人宣读提案，经讨论后进行表决，经合法执业的律师见证后形成大会决议。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大会由基金管理人授权代表主持。在基金管理人授权代表未能主持大会的情况下，由基金托管人授权代表主持；如果基金管理人和基金托管人授权代表均未能主持大会，则由出席大会的基金份额持有人和代理人以所代表的基金份额50%以上多数选举产生一名代表作为该次基金份额持有人大会的主持人。基金管理人和基金托管人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召集人应当制作出席会议人员的签名册。签名册载明参加会议人员姓名（或单位名称）、身份证号码、持有或代表有表决权的基金份额、委托人姓名（或单位名称）等事项。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2）通讯方式开会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表决开会的方式下，首先由召集人提前30日公布提案，在所通知的表决截止日期第2日在公证机构监督下由召集人统计全部有效表决并形成决议。如监督人经通知但拒绝到场监督，则在公正机关监督下形成的决议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7、决议形成的条件、表决方式、程序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（1）基金份额持有人所持每一基金份额享有平等的表决权。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一般决议须经出席会议的基金份额持有人及其代理人所持表决权的50%以上通过方为有效，除下列2）所规定的须以特别决议通过事项以外的其他事项均以一般决议的方式通过；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特别决议须经出席会议的基金份额持有人及代理人所持表决权的三分之二以上通过方为有效；更换基金管理人、更换基金托管人、转换基金运作方式、终止基金合同必须以特别决议通过方为有效。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（3）基金份额持有人大会决定的事项，应当依法报中国证监会核准，或者备案，并予以公告。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采取通讯方式进行表决时，除非在计票时有充分的相反证据证明，否则表面符合法律法规和会议通知规定的书面表决意见即视为有效的表决，表决意见模糊不清或相互矛盾的视为弃权表决，但应当计入出具书面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基金份额持有人大会由基金管理人或基金托管人召集，则基金份额持有人大会的主持人应当在会议开始后宣布在出席会议的基金份额持有人和代理人中推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推举3名基金份额持有人担任监票人。基金管理人或基金托管人不出席大会的，不影响计票的效力及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会议主持人对于提交的表决结果有怀疑，可以对投票数进行重新清点；如会议主持人未进行重新清点，而出席会议的基金份额持有人或代理人对会议主持人宣布的表决结果有异议，其有权在宣布表决结果后立即要求重新清点，会议主持人应当立即重新清点并公布重新清点结果。重新清点仅限一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（2）通讯方式开会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方式开会的情况下，计票方式为：由大会召集人授权的两名监督员在监督人的监督下进行计票，并由公证机关对其计票过程予以公证。基金管理人或基金托管人不派代表监督计票的，不影响计票效力及表决结果。但基金管理人或基金托管人应当至少提前两个工作日通知召集人，由召集人邀请无直接利害关系的第三方担任监督计票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9、基金份额持有人大会决议报中国证监会核准或备案后的公告时间、方式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通过的一般决议和特别决议，召集人应当自通过之日起5日内报中国证监会核准或者备案。基金份额持有人大会决定的事项自中国证监会依法核准或者出具无异议意见之日起生效，并在生效后方可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（2）生效的基金份额持有人大会决议对全体基金份额持有人、基金管理人、基金托管人均有约束力。基金管理人、基金托管人和基金份额持有人应当执行生效的基金份额持有人大会的决定。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（3）基金份额持有人大会决议应自生效之日起2个工作日内在指定媒介上公告。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（4）如果采用通讯方式进行表决，在公告基金份额持有人大会决议时，必须将公证书全文、公证机关、公证员姓名等一同公告。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10、鉴于本基金是目标ETF 的联接基金，本基金的基金份额持有人可以凭所持有的本基金份额出席或者委派代表出席目标ETF 的基金份额持有人大会并参与表决。在计算参会份额和计票时，本基金持有人其持有的享有表决权的基金份额数和表决票数为：在目标ETF 基金份额持有人大会的权益登记日，本基金持有目标ETF 份额的总数乘以该基金份额持有人所持有的本基金份额占本基金总份额的比例。计算结果按照四舍五入的方法，保留到整数位。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本基金的基金管理人不应以本基金的名义代表本基金的全体基金份额持有人以目标ETF 的基金份额持有人的身份行使表决权，但可接受本基金的特定基金份额持有人的委托以本基金的基金份额持有人代理人的身份出席目标ETF 的基金份额持有人大会并参与表决。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本基金的基金管理人代表本基金的基金份额持有人提议召开或召集目标ETF 基金份额持有人大会的，须先遵照本基金《基金合同》的约定召开本基金的基金份额持有人大会。本基金的基金份额持有人大会决定提议召开或召集目标ETF 基金份额持有人大会的，由本基金基金管理人代表本基金的基金份额持有人提议召开或召集目标ETF基金份额持有人大会。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（三）基金合同的变更与终止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（1）按照法律法规或本基金合同的规定，对基金合同的变更应当召开基金份额持有人大会的，基金合同变更的内容应经基金份额持有人大会决议通过，并依法报中国证监会核准，自中国证监会核准之日起生效。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（2）但出现下列情况时，可不经基金份额持有人大会决议，由基金管理人和基金托管人同意变更后公布经修订的基金合同，并报中国证监会备案：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1）调低基金管理费、基金托管费等应由基金或基金份额持有人承担的费用；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3）在法律法规和本基金合同规定的范围内调整基金的申购费率、调低赎回费率、变更或增加收费方式；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4）因相应的法律法规、证券交易所或者注册登记机构的相关业务规则发生变动必须对基金合同进行修改；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5）基金合同的修改不涉及本基金合同当事人权利义务关系发生重大变化；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6）基金合同的修改对基金份额持有人利益无实质性不利影响；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7）按照法律法规或本基金合同规定不需召开基金份额持有人大会的其他情形。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有下列情形之一的，本基金合同经中国证监会核准后将终止：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（2）基金管理人职责终止，而在6个月内没有新的基金管理人承接的；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（3）基金托管人职责终止，而在6个月内没有新的基金托管人承接的；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（四）争议的处理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本基金合同产生或与本基金合同有关的争议，基金合同当事人应尽量通过协商、调解途径解决。不愿或者不能通过协商、调解解决的，任何一方均有权将争议提交中国国际经济贸易仲裁委员会，按照中国国际经济贸易仲裁委员会届时有效的仲裁规则进行仲裁。仲裁地点为北京市。仲裁裁决是终局的，对当事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本基金合同适用中华人民共和国法律并从其解释。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（五）基金合同存放及投资者取得基金合同的方式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本基金合同正本一式六份，除上报相关监管部门两份外，基金管理人和基金托管人各持有两份。每份均具有同等的法律效力。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本基金合同可印制成册，供基金投资者在基金管理人和基金托管人办公场所查阅。基金合同条款及内容应以基金合同正本为准。</w:t>
      </w:r>
    </w:p>
    <w:p>
      <w:pPr>
        <w:pStyle w:val="Heading1"/>
        <w:snapToGrid w:val="0"/>
        <w:spacing w:before="240" w:beforeLines="0" w:after="0"/>
        <w:rPr>
          <w:rFonts w:ascii="宋体" w:hAnsi="宋体"/>
          <w:szCs w:val="30"/>
        </w:rPr>
      </w:pPr>
      <w:r>
        <w:br w:type="page"/>
      </w:r>
      <w:bookmarkStart w:id="44" w:name="_Toc256000021"/>
      <w:bookmarkStart w:id="45" w:name="_Toc256000047"/>
      <w:r>
        <w:rPr>
          <w:rFonts w:ascii="宋体" w:hAnsi="宋体"/>
          <w:sz w:val="30"/>
        </w:rPr>
        <w:t>二十一、托管协议的内容摘要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批准设立机关及批准设立文号：中国证监会证监基金字[2005]128号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注册资本：贰亿元人民币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经营范围：基金募集、基金销售、资产管理和中国证监会许可的其它业务。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邮政编码：100031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法定代表人：周慕冰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基金托管资格批准文号：中国证监会证监基字[1998]23号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注册资本：32,479,411.7万元人民币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经营范围：吸收公众存款；发放短期、中期、长期贷款；办理国内外结 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 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以目标ETF、标的指数成份股、备选成份股为主要投资对象（含中小板股票和创业板股票及其他经中国证监会核准的上市股票、存托凭证），把全部或接近全部的基金资产用于跟踪标的指数的表现，正常情况下投资于目标ETF的资产比例不低于基金资产净值的90%，基金持有的现金及到期日在一年以内的政府债券的投资比例合计不低于基金资产净值的5%，其中现金不包括结算备付金、存出保证金和应收申购款等。此外，为更好地实现投资目标，本基金也可少量投资于新股（含存托凭证）、债券、回购、权证及中国证监会允许基金投资的其它金融工具（但须符合中国证监会的相关规定）。如法律法规或监管机构以后允许基金投资其它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2、基金托管人根据有关法律法规的规定及基金合同的约定，对基金投资、融资、融券比例进行监督。基金托管人按下述比例和调整期限进行监督：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（1）进入全国银行间同业市场的债券回购融入的资金余额不超过基金资产净值的40%。债券回购最长期限为１年，债券回购到期后不得展期；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投资权证，在任何交易日买入权证的总金额，不得超过上一交易日基金资产净值的0.5%；本基金持有的全部权证，其市值不得超过基金资产净值的3%；本基金与本基金管理人管理的其他基金持有的同一权证，不得超过该权证的10%；法律法规或监管部门另有规定的，遵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持有的同一（指同一信用级别）资产支持证券的比例，不得超过该资产支持证券规模的10%；本基金投资于同一原始权益人的各类资产支持证券的比例，不得超过该基金资产净值的10%；本基金管理人管理的全部证券投资基金投资于同一原始权益人的各类资产支持证券，不得超过其各类资产支持证券合计规模的10%；本基金持有的全部资产支持证券，其市值不得超过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（6）本基金持有一家公司发行的流通受限证券，其市值不得超过基金资产净值的2%；本基金持有的所有流通受限证券，其市值不得超过该基金资产净值的15%；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（7）本基金不得违反基金合同中有关投资范围、投资策略、投资比例的规定；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（11）法律法规或监管部门对上述比例限制另有规定的，从其规定。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约定。在符合相关法律法规规定的前提下，除上述第（5）、（8）、（9）项以外,因证券市场波动、上市公司合并、基金规模变动、标的指数成分股调整、基金申购或赎回带来现金等基金管理人之外的因素致使基金投资组合比例不符合上述规定的投资比例的，基金管理人应当在10个交易日内进行调整。法律法规或监管部门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若法律法规或监管部门对上述约定的投资组合比例限制规定进行变更的，以变更后的规定为准；若法律法规或监管部门取消上述限制，在履行适当程序后，本基金投资可不受上述规定限制。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基金托管人对基金投资的监督和检查自基金合同生效之日起开始。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根据有关法律法规的规定及基金合同的约定，对本协议第十五条第九项基金投资禁止行为进行监督。基金托管人通过事后监督方式对基金管理人基金投资禁止行为和关联交易进行监督。根据法律法规有关基金禁止从事关联交易的规定，基金管理人和基金托管人相互提供与本机构有控股关系的股东、与本机构有其他重大利害关系的公司名单及有关关联方交易证券名单。基金管理人和基金托管人有责任确保关联交易名单的真实性、准确性、完整性，并负责及时将更新后的名单发送给对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托管人发现基金管理人与关联交易名单中列示的关联方进行法律法规禁止基金从事的关联交易时，基金托管人应及时提醒并协助基金管理人采取必要措施阻止该关联交易的发生，如基金托管人采取必要措施后仍无法阻止关联交易发生时，基金托管人有权向中国证监会报告。对于基金管理人已成交的关联交易，如基金托管人事前已严格遵循了监督流程仍无法阻止该关联交易的发生，而只能按相关法律法规和交易所规则进行事后结算，则基金托管人不承担由此造成的损失，并应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每半年对银行间债券市场交易对手名单进行更新，如基金管理人根据市场情况需要临时调整银行间债券市场交易对手名单，应向基金托管人说明理由，在与交易对手发生交易前1个工作日内与基金托管人协商解决。基金管理人与基金托管人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5、基金托管人根据有关法律法规的规定及基金合同的约定，对基金管理人选择存款银行进行监督。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本基金投资银行存款应符合如下规定：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（1）基金管理人、基金托管人应当与存款银行建立定期对账机制，确保基金银行存款业务账目及核算的真实、准确。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（2）基金托管人应加强对基金银行存款业务的监督与核查，严格审查、复核相关协议、账户资料、投资指令、存款证实书等有关文件，切实履行托管职责。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发现基金管理人在选择存款银行时有违反有关法律法规的规定及基金合同的约定的行为，应及时以书面形式通知基金管理人在10个工作日内纠正。基金管理人对基金托管人通知的违规事项未能在10个工作日内纠正的，基金托管人应报告中国证监会。基金托管人发现基金管理人有重大违规行为，应立即报告中国证监会，同时通知基金管理人在10个工作日内纠正或拒绝结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如果基金管理人未经基金托管人的审核擅自将不实的业绩表现数据印制在宣传推介材料上，则基金托管人对此不承担任何责任，并将在发现后立即报告中国证监会。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7、基金托管人根据有关法律法规的规定及基金合同的约定，对基金投资流通受限证券进行监督。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（1）基金投资流通受限证券，应遵守《关于规范基金投资非公开发行证券行为的紧急通知》、《关于基金投资非公开发行股票等流通受限证券有关问题的通知》等有关法律法规规定。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（4）在投资流通受限证券之前，基金管理人应至少提前一个交易日向基金托管人提供有关非公开定向增发流通受限证券的相关信息，具体应当包括但不限于如下文件（如有）：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任何责任，并有权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应保证基金投资的受限证券登记存管在本基金名下，并确保基金托管人能够正常查询。因基金管理人原因产生的受限证券登记存管问题，造成基金财产的损失或基金托管人无法安全保管基金财产的责任与损失，由基金管理人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如果基金管理人未按照本协议的约定向基金托管人报送相关数据或者报送了虚假的数据，导致基金托管人不能履行托管人职责的，基金管理人应依法承担相应法律后果。除基金托管人未能依据法律法规、基金合同及本协议履行职责外，因投资流通受限证券产生的损失，基金托管人在履行其监督职责后不承担上述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托管人发现基金管理人的上述事项及投资指令或实际投资运作中违反法律法规和基金合同的规定，应及时以书面形式通知基金管理人限期纠正。基金管理人应积极配合和协助基金托管人的监督和核查。基金管理人收到通知后应在下一工作日及时核对并以书面形式给基金托管人发出回函，就基金托管人的疑义进行解释或举证，说明违规原因及纠正期限，并保证在规定期限内及时改正。在上述规定期限内,基金托管人有权随时对通知事项进行复查, 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规要求需向中国证监会报送基金监督报告的事项，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对基金托管人履行托管职责情况进行核查，核查事项包括基金托管人安全保管基金财产、开设基金财产的资金账户和证券账户、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及时核对并以书面形式给基金管理人发出回函，说明违规原因及纠正期限，并保证在规定期限内及时改正。在上述规定期限内，基金管理人有权随时对通知事项进行复查, 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（2）基金托管人应安全保管基金财产。未经基金管理人依据合法程序作出的合法合规指令，基金托管人不得自行运用、处分、分配基金的任何财产。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（3）基金托管人按照规定开设基金财产的资金账户和证券账户。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（4）基金托管人对所托管的不同基金财产分别设置账户，与基金托管人的其他业务和其他基金的托管业务实行严格的分帐管理，确保基金财产的完整与独立。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因为基金申购、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任何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2、基金募集期间及募集资金的验资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（1）基金募集期间的认购款项应存于专用账户。该账户由基金管理人委托的注册登记机构开立并管理。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满或基金停止募集时，募集的基金份额总额、基金募集金额、基金份额持有人人数符合《基金法》、《运作办法》等有关规定后，基金管理人应将募集到的全部资金划入基金托管人为基金开立的基金托管资金账户，同时在规定时间内，聘请具有从事证券相关业务资格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（3）若基金募集期限届满，未能达到基金合同生效的条件，由基金管理人按规定办理退款等事宜，基金托管人应提供充分协助。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3、基金托管资金账户的开立和管理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（1）基金托管人应负责本基金的资金账户的开设和管理。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可以本基金的名义在其营业机构开设本基金的资金账户，并根据基金管理人合法合规的指令办理资金收付。本基金的银行预留印鉴由基金托管人保管和使用。本基金的一切货币收支活动，包括但不限于投资、支付赎回金额、支付基金收益、收取申购款，均需通过本基金的资金账户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（4）基金托管资金账户的开立和管理应符合相关法律法规的有关规定。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（5）在符合法律法规规定的条件下，基金托管人可以通过基金托管人专用账户办理基金资产的支付。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4、基金证券账户和结算备付金账户的开立和管理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（1）基金托管人在中国证券登记结算有限责任公司上海分公司、深圳分公司为基金开立基金托管人与基金联名的证券账户。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本托管协议生效日之后，本基金被允许从事其他投资品种的投资业务，涉及相关账户的开设、使用的，按有关规定开设、使用并管理；若无相关规定，则基金托管人应当比照并遵守上述关于账户开设、使用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5、债券托管专户的开设和管理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基金托管人根据中国人民银行、中央国债登记结算有限责任公司的有关规定，以基金的名义在中央国债登记结算有限责任公司开立债券托管与结算账户，并代表基金进行银行间市场债券的结算。基金管理人和基金托管人同时代表基金签订全国银行间债券市场债券回购主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6、其他账户的开立和管理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（1）因业务发展需要而开立的其他账户，可以根据法律法规和基金合同的规定，在基金管理人和基金托管人商议后由基金托管人负责开立。新账户按有关规则使用并管理。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（2）法律法规等有关规定对相关账户的开立和管理另有规定的，从其规定办理。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7、基金财产投资的有关有价凭证等的保管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的证券不承担保管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有一份正本的原件。重大合同的保管期限为基金合同终止后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（五）基金资产净值计算和会计复核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1、基金资产净值的计算及复核程序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基金资产净值是指基金资产总值减去负债后的金额。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基金份额净值是指基金资产净值除以基金份额总数。基金份额净值的计算，精确到0.001元，小数点后第四位四舍五入，由此产生的误差计入基金财产。国家另有规定的，从其规定。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每工作日计算基金资产净值及基金份额净值，并按规定公告。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基金管理人每工作日对基金资产进行估值后，将基金份额净值结果发送基金托管人，经基金托管人复核无误后，由基金管理人依据基金合同和有关法律法规的规定对外公布。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2、基金资产估值方法和特殊情形的处理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基金依法拥有的目标ETF份额、股票、债券、权证及其他基金资产和负债。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1）目标ETF估值方法：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目标ETF以该ETF份额当日净值估值；若估值日非证券交易所的营业日，以该基金最近工作日的基金份额净值估值。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2）股票估值方法：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市流通股票按估值日其所在证券交易所的收盘价估值；估值日无交易的，且最近交易日后经济环境未发生重大变化，以最近交易日的收盘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B.未上市股票的估值：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①首次发行未上市的股票，采用估值技术确定公允价值，在估值技术难以可靠计量公允价值的情况下，按成本价估值；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④非公开发行的且在发行时明确一定期限锁定期的股票，按监管机构或行业协会有关规定确定公允价值。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 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在任何情况下，基金管理人如采用本项第A－C小项规定的方法对基金资产进行估值，均应被认为采用了适当的估值方法。但是，如果基金管理人认为按本项第A－C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3）债券估值方法：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在证券交易所市场挂牌交易且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③首次发行未上市债券采用估值技术确定的公允价值进行估值，在估值技术难以可靠计量公允价值的情况下，按成本估值。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④交易所以大宗交易方式转让的资产支持证券，采用估值技术确定公允价值，在估值技术难以可靠计量公允价值的情况下，按成本进行后续计量。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⑤在全国银行间债券市场交易的债券、资产支持证券等固定收益品种，采用估值技术确定公允价值。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⑥同一债券同时在两个或两个以上市场交易的，按债券所处的市场分别估值。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⑦在任何情况下，基金管理人如采用本项第①－⑥小项规定的方法对基金资产进行估值，均应被认为采用了适当的估值方法。但是，如果基金管理人认为按本项第①－⑥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⑧国家有最新规定的，按其规定进行估值。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4）权证估值方法：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基金持有的权证，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②首次发行未上市的权证，采用估值技术确定公允价值，在估值技术难以可靠计量公允价值的情况下，按成本估值。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③因持有股票而享有的配股权，以及停止交易、但未行权的权证，采用估值技术确定公允价值进行估值。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在任何情况下，基金管理人如采用本项第①－③项规定的方法对基金资产进行估值，均应被认为采用了适当的估值方法。但是，如果基金管理人认为按本项第①－③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⑤国家有最新规定的，按其规定进行估值。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5）衍生品及其他有价证券等资产按国家有关规定进行估值。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本基金的基金会计责任方由基金管理人担任。因此，就与本基金有关的会计问题，如经相关各方在平等基础上充分讨论后，仍无法达成一致的意见，基金管理人有权按照其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1）基金管理人、基金托管人按股票估值方法的第D项、债券估值方法的第⑦项、权证估值方法的第④项进行估值时，所造成的误差不作为基金份额净值错误处理。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证券交易所或登记结算公司发送的数据错误，有关会计制度变化或由于其他不可抗力原因，基金管理人和基金托管人虽然已经采取必要、适当、合理的措施进行检查，但是未能发现该错误而造成的基金份额净值计算错误，基金管理人、基金托管人免除赔偿责任。但基金管理人、基金托管人应积极采取必要的措施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3、基金份额净值错误的处理方式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基金份额净值小数点后3位以内（含第3位）发生差错时，视为基金份额净值错误；基金份额净值出现错误时，基金管理人应当立即予以纠正，通报基金托管人，并采取合理的措施防止损失进一步扩大；错误偏差达到或超过基金资产净值的0.25%时，基金管理人应当及时通知基金托管人并报中国证监会；错误偏差达到基金资产净值的0.50%时，基金管理人应当公告、通报基金托管人并报中国证监会备案；当发生净值计算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若基金管理人计算的基金份额净值已由基金托管人复核确认后公告，基金份额净值出错且造成基金份额持有人损失的，应根据法律法规的规定对基金份额持有人或基金支付赔偿金，就实际向基金份额持有人或基金支付的赔偿金额，其中基金管理人承担50%，基金托管人承担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于基金管理人提供的信息错误（包括但不限于基金申购或赎回金额等），基金托管人在履行了正常的复核程序后仍不能发现该错误，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（4）前述内容如法律法规或监管机关另有规定的，从其规定处理。如果行业有通行做法，双方当事人应本着平等和保护基金份额持有人利益的原则进行协商。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4、暂停估值与公告基金份额净值的情形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（1）基金投资所涉及的证券交易所遇法定节假日或因其他原因暂停营业时；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（2）基金所投资之目标ETF发生暂停估值，暂停公告基金份额净值的情形；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（3）因不可抗力或其他情形致使基金管理人、基金托管人无法准确评估基金资产价值时；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（4）占基金相当比例的投资品种的估值出现重大转变，而基金管理人为保障基金份额持有人的利益，决定延迟估值时；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（6）中国证监会和基金合同认定的其他情形。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按国家有关部门规定的会计制度执行。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6、基金账册的建立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进行基金会计核算并编制基金财务会计报告。基金管理人独立地设置、记录和保管本基金的全套账册。基金托管人按规定制作相关账册并与基金管理人核对。若基金管理人和基金托管人对会计处理方法存在分歧，应以基金管理人的处理方法为准。若当日核对不符，暂时无法查找到错账的原因而影响到基金资产净值的计算和公告的，以基金管理人的账册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7、基金财务报表与报告的编制和复核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（1）财务报表的编制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及时编制并对外提供真实、完整的基金财务会计报告。月度报表的编制，基金管理人应于每月终了后5个工作日内完成；季度报告应在季度结束之日起15个工作日内编制完毕并予以公告；中期报告在会计年度半年终了后两个月内编制完毕并予以公告；年度报告在会计年度结束后三个月内编制完毕并予以公告。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（2）报表复核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基金管理人在报表或定期报告完成当日，对报表盖章后，以加密传真方式或双方书面商定的其他方式将有关报表提供基金托管人复核。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月度报表完成当日，将报表盖章后提供给基金托管人复核；基金托管人在收到后应在3日内进行复核，并将复核结果书面通知基金管理人。基金管理人在季度报告完成当日，将有关报告提供给基金托管人复核，基金托管人应在收到后7个工作日内完成复核，并将复核结果书面通知基金管理人。基金管理人在中期报告完成当日，将有关报告提供给基金托管人复核，基金托管人应在收到后30日内完成复核，并将复核结果书面通知基金管理人。基金管理人在年度报告完成当日，将有关报告提供基金托管人复核，基金托管人应在收到后45日内完成复核，并将复核结果书面通知基金管理人。基金管理人和基金托管人之间的上述文件往来均以加密传真的方式或双方商定的其他方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复核过程中，发现双方的报表存在不符时，基金管理人和基金托管人应共同查明原因，进行调整，调整以双方认可的账务处理方式为准；若双方无法达成一致，以基金管理人的账务处理为准。核对无误后，基金托管人在基金管理人提供的报告上加盖托管业务部门公章或者出具加盖托管业务专用章的复核意见书，双方各自留存一份。如果基金管理人与基金托管人不能于应当发布公告之日之前就相关报表达成一致，基金管理人有权按照其编制的报表对外发布公告，基金托管人有权就相关情况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（六）基金份额持有人名册的保管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及时向基金托管人提交基金份额持有人名册。每年6月30日和12月31日的基金份额持有人名册应于下月前十个工作日内提交；基金合同生效日、基金合同终止日等涉及到基金重要事项日期的基金份额持有人名册应于发生日后十个工作日内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应妥善保管基金份额持有人名册，保存期限为15年。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本协议适用中华人民共和国法律并从其解释。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（八）托管协议的变更与终止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本协议双方当事人经协商一致，可以对协议进行修改。修改后的新协议，其内容不得与基金合同的规定有任何冲突。基金托管协议的变更报中国证监会核准后生效。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（2）基金托管人解散、依法被撤销、破产或由其他基金托管人接管基金资产；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（3）基金管理人解散、依法被撤销、破产或由其他基金管理人接管基金管理权；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（4）发生法律法规或基金合同规定的终止事项。</w:t>
      </w:r>
    </w:p>
    <w:p>
      <w:pPr>
        <w:pStyle w:val="Heading1"/>
        <w:snapToGrid w:val="0"/>
        <w:spacing w:before="240" w:beforeLines="0" w:after="0"/>
        <w:rPr>
          <w:rFonts w:ascii="宋体" w:hAnsi="宋体"/>
          <w:szCs w:val="30"/>
        </w:rPr>
      </w:pPr>
      <w:r>
        <w:br w:type="page"/>
      </w:r>
      <w:bookmarkStart w:id="46" w:name="_Toc256000022"/>
      <w:bookmarkStart w:id="47" w:name="_Toc256000048"/>
      <w:r>
        <w:rPr>
          <w:rFonts w:ascii="宋体" w:hAnsi="宋体"/>
          <w:sz w:val="30"/>
        </w:rPr>
        <w:t>二十二、对基金份额持有人的服务</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本基金管理人承诺为基金份额持有人提供一系列的服务。本基金管理人根据基金份额持有人的需要和市场的变化，有权增加或变更服务项目。主要服务内容如下：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（一）持有人交易资料的寄送服务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（二）网上直销服务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已开通基金网上直销业务，个人投资人可以直接通过本基金管理人网站的网上直销交易平台办理开户和本基金前端基金份额的申购、赎回、定期定额投资和转换等业务。本公司暂不开展网上直销本基金后端基金份额的认/申购业务，通过转托管转入网上直销账户的本基金后端基金份额只能办理赎回业务。通过网上直销交易平台办理本基金前端基金份额申购和定期定额投资业务的个人投资者将享受前端申购费率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在条件成熟的时候，本基金管理人将根据基金网上直销业务的发展状况，适时调整可用于基金网上直销交易平台的银行卡种类，敬请投资者留意相关公告。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（三）信息咨询、查询服务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如果想查询申购、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为投资者预设基金查询密码，预设的基金查询密码为投资者开户证件号码的后6位数字，不足6位数字的，前面加“0”补足。基金查询密码用于投资者通过客户服务电话查询基金账户下的账户和交易信息。投资者请在其知晓基金账号后，及时拨打本基金管理人客户服务电话修改基金查询密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投资者可以拨打本基金管理人客户服务电话投诉直销机构的人员和服务。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（四）基金红利再投资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本基金收益分配时，投资人可以选择将当期分配所得的红利再投资于本基金，再投资红利按红利再投日（即除息日）除息后的基金份额净值自动转为基金份额，并免收申购费用。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本基金已开通定期定额投资计划，具体实施方法请参见相关公告。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投资者也可登录本基金管理人网站，直接提出有关本基金的问题和建议。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（六）如本招募说明书存在任何您/贵机构无法理解的内容，请通过上述方式联系基金管理人。请确保投资前，您/贵机构已经全面理解了本招募说明书。</w:t>
      </w:r>
    </w:p>
    <w:p>
      <w:pPr>
        <w:pStyle w:val="Heading1"/>
        <w:snapToGrid w:val="0"/>
        <w:spacing w:before="240" w:beforeLines="0" w:after="0"/>
        <w:rPr>
          <w:rFonts w:ascii="宋体" w:hAnsi="宋体"/>
          <w:szCs w:val="30"/>
        </w:rPr>
      </w:pPr>
      <w:r>
        <w:br w:type="page"/>
      </w:r>
      <w:bookmarkStart w:id="48" w:name="_Toc256000023"/>
      <w:bookmarkStart w:id="49" w:name="_Toc256000049"/>
      <w:r>
        <w:rPr>
          <w:rFonts w:ascii="宋体" w:hAnsi="宋体"/>
          <w:sz w:val="30"/>
        </w:rPr>
        <w:t>二十三、其他应披露事项</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交银施罗德深证300价值交易型开放式指数证券投资基金联接基金基金产品资料概要更新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交银施罗德深证300价值交易型开放式指数证券投资基金联接基金招募说明书更新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交银施罗德深证300价值交易型开放式指数证券投资基金联接基金2025年第3季度报告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交银施罗德深证300价值交易型开放式指数证券投资基金联接基金2025年第4季度报告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交银施罗德深证300价值交易型开放式指数证券投资基金联接基金2025年年度报告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交银施罗德深证300价值交易型开放式指数证券投资基金联接基金2026年第1季度报告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交银施罗德深证300价值交易型开放式指数证券投资基金联接基金2026年第2季度报告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交银施罗德深证300价值交易型开放式指数证券投资基金联接基金2026年中期报告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0" w:name="_Toc256000024"/>
      <w:bookmarkStart w:id="51" w:name="_Toc256000050"/>
      <w:r>
        <w:rPr>
          <w:rFonts w:ascii="宋体" w:hAnsi="宋体"/>
          <w:sz w:val="30"/>
        </w:rPr>
        <w:t>二十四、招募说明书的存放及查阅方式</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的办公场所，投资者可在办公时间查阅；投资者在支付工本费后，可在合理时间内取得上述文件复制件或复印件。对投资者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2" w:name="_Toc256000025"/>
      <w:bookmarkStart w:id="53" w:name="_Toc256000051"/>
      <w:r>
        <w:rPr>
          <w:rFonts w:ascii="宋体" w:hAnsi="宋体"/>
          <w:sz w:val="30"/>
        </w:rPr>
        <w:t>二十五、备查文件</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（一）中国证监会核准交银施罗德深证300价值交易型开放式指数证券投资基金联接基金募集的文件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（二）《交银施罗德深证300价值交易型开放式指数证券投资基金联接基金基金合同》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（三）《交银施罗德深证300价值交易型开放式指数证券投资基金联接基金托管协议》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（六）关于申请募集交银施罗德深证300价值交易型开放式指数证券投资基金联接基金之法律意见书</w:t>
      </w:r>
    </w:p>
    <w:sectPr>
      <w:footerReference w:type="default" r:id="rId15"/>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146</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交银施罗德深证300价值交易型开放式指数证券投资基金联接基金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交银施罗德深证300价值交易型开放式指数证券投资基金联接基金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1.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2.png"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147</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