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交银施罗德中证A500指数型证券投资基金招募说明书（更新）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基金托管人：招商银行股份有限公司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中证A500指数型证券投资基金（以下简称“本基金”）经2024年12月11日中国证券监督管理委员会（以下简称“中国证监会”）证监许可【2024】1810号文准予募集注册。本基金基金合同于2025年1月22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存托凭证的特定风险；投资科创板股票的特定风险；本基金参与融资业务的特定风险；本基金参与转融通证券出借业务的特定风险；本基金法律文件风险收益特征表述与销售机构基金风险评价可能不一致的风险；投资本基金的其他风险等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本基金是一只股票型基金，其预期风险和预期收益理论上高于混合型基金、债券型基金和货币市场基金。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本基金为指数型基金，主要采用完全复制法跟踪中证A500指数，具有与标的指数相似的风险收益特征。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本基金为指数基金，投资者投资于本基金面临跟踪误差控制未达约定目标、指数编制机构停止服务、成份股停牌等潜在风险。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本基金标的指数为中证A500指数。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1、样本空间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同中证全指指数的样本空间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2、可投资性筛选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过去一年日均成交金额排名位于样本空间前 90%。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3、选样方法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（1）对于样本空间内符合可投资性筛选条件的证券，剔除中证ESG评价结果在C及以下的上市公司证券；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（2）选取同时满足以下条件的证券作为待选样本：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■样本空间内总市值排名前 1500；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■属于沪股通或深股通证券范围；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■对主板证券，在所属中证三级行业内自由流通市值占比不低于 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（3）在待选样本中，优先选取三级行业自由流通市值最大或总市值在样本空间内排名前 1%的证券作为指数样本。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（4）在剩余待选样本中，从各中证一级行业按照自由流通市值选取一定数量证券，使样本数量达到 500 只，且各一级行业自由流通市值分布与样本空间尽可能一致。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4、指数计算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指数计算公式为：</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1.5pt;width:234.75pt">
            <v:imagedata r:id="rId11"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其中，调整市值＝∑(证券价格×调整股本数×权重因子)。调整股本数的计算方法、除数修正方法参见计算与维护细则。权重因子介于 0 和 1 之间，以使单个样本权重不超过10%，前五大样本权重合计不超过40%。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5、指数样本和权重调整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（1）定期调整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指数样本每半年调整一次，样本调整实施时间分别为每年6月和12月的第二个星期五的下一交易日。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权重因子随样本定期调整而调整，调整时间与指数样本定期调整实施时间相同。在下一个定期调整日前，权重因子一般固定不变。每次调整的样本比例一般不超过 10%。定期调整设置缓冲区，若主板老样本在所属中证三级行业内自由流通市值占比不低于 1%，仍作为待选样本；选样方法（4）中的入选顺序在前 400名的新样本优先进入，在前 600 名的老样本优先保留。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（2）临时调整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殊情况下将对指数进行临时调整。当样本退市时，将其从指数样本中剔除。样本公司发生收购、合并、分拆等情形的处理，参照计算与维护细则处理。当沪股通或深股通证券范围发生变动导致样本不再满足互联互通资格时，指数将相应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有关标的指数具体编制方案及成份股信息详见中证指数有限公司网站，网址：www.csindex.com.cn。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风险揭示”章节的具体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本基金可参与融资业务，面临的风险包括但不限于市场风险、流动性风险、信用风险等。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本基金可参与转融通证券出借业务，面临的风险包括但不限于流动性风险、信用风险、市场风险、其他风险等。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提前终止风险。《基金合同》生效后，连续50个工作日出现基金份额持有人数量不满200人或基金资产净值低于5000万元情形的，基金合同终止，不需召开基金份额持有人大会。因此，投资者可能面临基金合同提前终止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2"/>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_Toc256000027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_Toc256000028 \h </w:instrText>
      </w:r>
      <w:r>
        <w:fldChar w:fldCharType="separate"/>
      </w:r>
      <w:r>
        <w:rPr>
          <w:rStyle w:val="Hyperlink"/>
        </w:rPr>
        <w:t>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_Toc256000029 \h </w:instrText>
      </w:r>
      <w:r>
        <w:fldChar w:fldCharType="separate"/>
      </w:r>
      <w:r>
        <w:rPr>
          <w:rStyle w:val="Hyperlink"/>
        </w:rPr>
        <w:t>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_Toc256000030 \h </w:instrText>
      </w:r>
      <w:r>
        <w:fldChar w:fldCharType="separate"/>
      </w:r>
      <w:r>
        <w:rPr>
          <w:rStyle w:val="Hyperlink"/>
        </w:rPr>
        <w:t>12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_Toc256000031 \h </w:instrText>
      </w:r>
      <w:r>
        <w:fldChar w:fldCharType="separate"/>
      </w:r>
      <w:r>
        <w:rPr>
          <w:rStyle w:val="Hyperlink"/>
        </w:rPr>
        <w:t>20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_Toc256000032 \h </w:instrText>
      </w:r>
      <w:r>
        <w:fldChar w:fldCharType="separate"/>
      </w:r>
      <w:r>
        <w:rPr>
          <w:rStyle w:val="Hyperlink"/>
        </w:rPr>
        <w:t>27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_Toc256000033 \h </w:instrText>
      </w:r>
      <w:r>
        <w:fldChar w:fldCharType="separate"/>
      </w:r>
      <w:r>
        <w:rPr>
          <w:rStyle w:val="Hyperlink"/>
        </w:rPr>
        <w:t>49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_Toc256000034 \h </w:instrText>
      </w:r>
      <w:r>
        <w:fldChar w:fldCharType="separate"/>
      </w:r>
      <w:r>
        <w:rPr>
          <w:rStyle w:val="Hyperlink"/>
        </w:rPr>
        <w:t>50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八、基金份额的申购与赎回</w:t>
      </w:r>
      <w:r>
        <w:rPr>
          <w:rStyle w:val="Hyperlink"/>
        </w:rPr>
        <w:tab/>
      </w:r>
      <w:r>
        <w:fldChar w:fldCharType="begin"/>
      </w:r>
      <w:r>
        <w:rPr>
          <w:rStyle w:val="Hyperlink"/>
        </w:rPr>
        <w:instrText xml:space="preserve"> PAGEREF _Toc256000035 \h </w:instrText>
      </w:r>
      <w:r>
        <w:fldChar w:fldCharType="separate"/>
      </w:r>
      <w:r>
        <w:rPr>
          <w:rStyle w:val="Hyperlink"/>
        </w:rPr>
        <w:t>51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九、基金的转换</w:t>
      </w:r>
      <w:r>
        <w:rPr>
          <w:rStyle w:val="Hyperlink"/>
        </w:rPr>
        <w:tab/>
      </w:r>
      <w:r>
        <w:fldChar w:fldCharType="begin"/>
      </w:r>
      <w:r>
        <w:rPr>
          <w:rStyle w:val="Hyperlink"/>
        </w:rPr>
        <w:instrText xml:space="preserve"> PAGEREF _Toc256000036 \h </w:instrText>
      </w:r>
      <w:r>
        <w:fldChar w:fldCharType="separate"/>
      </w:r>
      <w:r>
        <w:rPr>
          <w:rStyle w:val="Hyperlink"/>
        </w:rPr>
        <w:t>64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_Toc256000037 \h </w:instrText>
      </w:r>
      <w:r>
        <w:fldChar w:fldCharType="separate"/>
      </w:r>
      <w:r>
        <w:rPr>
          <w:rStyle w:val="Hyperlink"/>
        </w:rPr>
        <w:t>71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_Toc256000038 \h </w:instrText>
      </w:r>
      <w:r>
        <w:fldChar w:fldCharType="separate"/>
      </w:r>
      <w:r>
        <w:rPr>
          <w:rStyle w:val="Hyperlink"/>
        </w:rPr>
        <w:t>84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_Toc256000039 \h </w:instrText>
      </w:r>
      <w:r>
        <w:fldChar w:fldCharType="separate"/>
      </w:r>
      <w:r>
        <w:rPr>
          <w:rStyle w:val="Hyperlink"/>
        </w:rPr>
        <w:t>87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_Toc256000040 \h </w:instrText>
      </w:r>
      <w:r>
        <w:fldChar w:fldCharType="separate"/>
      </w:r>
      <w:r>
        <w:rPr>
          <w:rStyle w:val="Hyperlink"/>
        </w:rPr>
        <w:t>88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十四、基金收益与分配</w:t>
      </w:r>
      <w:r>
        <w:rPr>
          <w:rStyle w:val="Hyperlink"/>
        </w:rPr>
        <w:tab/>
      </w:r>
      <w:r>
        <w:fldChar w:fldCharType="begin"/>
      </w:r>
      <w:r>
        <w:rPr>
          <w:rStyle w:val="Hyperlink"/>
        </w:rPr>
        <w:instrText xml:space="preserve"> PAGEREF _Toc256000041 \h </w:instrText>
      </w:r>
      <w:r>
        <w:fldChar w:fldCharType="separate"/>
      </w:r>
      <w:r>
        <w:rPr>
          <w:rStyle w:val="Hyperlink"/>
        </w:rPr>
        <w:t>95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_Toc256000042 \h </w:instrText>
      </w:r>
      <w:r>
        <w:fldChar w:fldCharType="separate"/>
      </w:r>
      <w:r>
        <w:rPr>
          <w:rStyle w:val="Hyperlink"/>
        </w:rPr>
        <w:t>97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_Toc256000043 \h </w:instrText>
      </w:r>
      <w:r>
        <w:fldChar w:fldCharType="separate"/>
      </w:r>
      <w:r>
        <w:rPr>
          <w:rStyle w:val="Hyperlink"/>
        </w:rPr>
        <w:t>100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_Toc256000044 \h </w:instrText>
      </w:r>
      <w:r>
        <w:fldChar w:fldCharType="separate"/>
      </w:r>
      <w:r>
        <w:rPr>
          <w:rStyle w:val="Hyperlink"/>
        </w:rPr>
        <w:t>101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十八、侧袋机制</w:t>
      </w:r>
      <w:r>
        <w:rPr>
          <w:rStyle w:val="Hyperlink"/>
        </w:rPr>
        <w:tab/>
      </w:r>
      <w:r>
        <w:fldChar w:fldCharType="begin"/>
      </w:r>
      <w:r>
        <w:rPr>
          <w:rStyle w:val="Hyperlink"/>
        </w:rPr>
        <w:instrText xml:space="preserve"> PAGEREF _Toc256000045 \h </w:instrText>
      </w:r>
      <w:r>
        <w:fldChar w:fldCharType="separate"/>
      </w:r>
      <w:r>
        <w:rPr>
          <w:rStyle w:val="Hyperlink"/>
        </w:rPr>
        <w:t>108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十九、风险揭示</w:t>
      </w:r>
      <w:r>
        <w:rPr>
          <w:rStyle w:val="Hyperlink"/>
        </w:rPr>
        <w:tab/>
      </w:r>
      <w:r>
        <w:fldChar w:fldCharType="begin"/>
      </w:r>
      <w:r>
        <w:rPr>
          <w:rStyle w:val="Hyperlink"/>
        </w:rPr>
        <w:instrText xml:space="preserve"> PAGEREF _Toc256000046 \h </w:instrText>
      </w:r>
      <w:r>
        <w:fldChar w:fldCharType="separate"/>
      </w:r>
      <w:r>
        <w:rPr>
          <w:rStyle w:val="Hyperlink"/>
        </w:rPr>
        <w:t>111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二十、基金合同的变更、终止与基金财产的清算</w:t>
      </w:r>
      <w:r>
        <w:rPr>
          <w:rStyle w:val="Hyperlink"/>
        </w:rPr>
        <w:tab/>
      </w:r>
      <w:r>
        <w:fldChar w:fldCharType="begin"/>
      </w:r>
      <w:r>
        <w:rPr>
          <w:rStyle w:val="Hyperlink"/>
        </w:rPr>
        <w:instrText xml:space="preserve"> PAGEREF _Toc256000047 \h </w:instrText>
      </w:r>
      <w:r>
        <w:fldChar w:fldCharType="separate"/>
      </w:r>
      <w:r>
        <w:rPr>
          <w:rStyle w:val="Hyperlink"/>
        </w:rPr>
        <w:t>123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二十一、基金合同内容摘要</w:t>
      </w:r>
      <w:r>
        <w:rPr>
          <w:rStyle w:val="Hyperlink"/>
        </w:rPr>
        <w:tab/>
      </w:r>
      <w:r>
        <w:fldChar w:fldCharType="begin"/>
      </w:r>
      <w:r>
        <w:rPr>
          <w:rStyle w:val="Hyperlink"/>
        </w:rPr>
        <w:instrText xml:space="preserve"> PAGEREF _Toc256000048 \h </w:instrText>
      </w:r>
      <w:r>
        <w:fldChar w:fldCharType="separate"/>
      </w:r>
      <w:r>
        <w:rPr>
          <w:rStyle w:val="Hyperlink"/>
        </w:rPr>
        <w:t>125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二十二、托管协议的内容摘要</w:t>
      </w:r>
      <w:r>
        <w:rPr>
          <w:rStyle w:val="Hyperlink"/>
        </w:rPr>
        <w:tab/>
      </w:r>
      <w:r>
        <w:fldChar w:fldCharType="begin"/>
      </w:r>
      <w:r>
        <w:rPr>
          <w:rStyle w:val="Hyperlink"/>
        </w:rPr>
        <w:instrText xml:space="preserve"> PAGEREF _Toc256000049 \h </w:instrText>
      </w:r>
      <w:r>
        <w:fldChar w:fldCharType="separate"/>
      </w:r>
      <w:r>
        <w:rPr>
          <w:rStyle w:val="Hyperlink"/>
        </w:rPr>
        <w:t>142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二十三、对基金份额持有人的服务</w:t>
      </w:r>
      <w:r>
        <w:rPr>
          <w:rStyle w:val="Hyperlink"/>
        </w:rPr>
        <w:tab/>
      </w:r>
      <w:r>
        <w:fldChar w:fldCharType="begin"/>
      </w:r>
      <w:r>
        <w:rPr>
          <w:rStyle w:val="Hyperlink"/>
        </w:rPr>
        <w:instrText xml:space="preserve"> PAGEREF _Toc256000050 \h </w:instrText>
      </w:r>
      <w:r>
        <w:fldChar w:fldCharType="separate"/>
      </w:r>
      <w:r>
        <w:rPr>
          <w:rStyle w:val="Hyperlink"/>
        </w:rPr>
        <w:t>160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二十四、其他应披露事项</w:t>
      </w:r>
      <w:r>
        <w:rPr>
          <w:rStyle w:val="Hyperlink"/>
        </w:rPr>
        <w:tab/>
      </w:r>
      <w:r>
        <w:fldChar w:fldCharType="begin"/>
      </w:r>
      <w:r>
        <w:rPr>
          <w:rStyle w:val="Hyperlink"/>
        </w:rPr>
        <w:instrText xml:space="preserve"> PAGEREF _Toc256000051 \h </w:instrText>
      </w:r>
      <w:r>
        <w:fldChar w:fldCharType="separate"/>
      </w:r>
      <w:r>
        <w:rPr>
          <w:rStyle w:val="Hyperlink"/>
        </w:rPr>
        <w:t>162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"_Toc256000052" </w:instrText>
      </w:r>
      <w:r>
        <w:fldChar w:fldCharType="separate"/>
      </w:r>
      <w:r>
        <w:rPr>
          <w:rStyle w:val="Hyperlink"/>
          <w:rFonts w:ascii="宋体" w:hAnsi="宋体"/>
        </w:rPr>
        <w:t>二十五、招募说明书的存放及查阅方式</w:t>
      </w:r>
      <w:r>
        <w:rPr>
          <w:rStyle w:val="Hyperlink"/>
        </w:rPr>
        <w:tab/>
      </w:r>
      <w:r>
        <w:fldChar w:fldCharType="begin"/>
      </w:r>
      <w:r>
        <w:rPr>
          <w:rStyle w:val="Hyperlink"/>
        </w:rPr>
        <w:instrText xml:space="preserve"> PAGEREF _Toc256000052 \h </w:instrText>
      </w:r>
      <w:r>
        <w:fldChar w:fldCharType="separate"/>
      </w:r>
      <w:r>
        <w:rPr>
          <w:rStyle w:val="Hyperlink"/>
        </w:rPr>
        <w:t>164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"_Toc256000053" </w:instrText>
      </w:r>
      <w:r>
        <w:fldChar w:fldCharType="separate"/>
      </w:r>
      <w:r>
        <w:rPr>
          <w:rStyle w:val="Hyperlink"/>
          <w:rFonts w:ascii="宋体" w:hAnsi="宋体"/>
        </w:rPr>
        <w:t>二十六、备查文件</w:t>
      </w:r>
      <w:r>
        <w:rPr>
          <w:rStyle w:val="Hyperlink"/>
        </w:rPr>
        <w:tab/>
      </w:r>
      <w:r>
        <w:fldChar w:fldCharType="begin"/>
      </w:r>
      <w:r>
        <w:rPr>
          <w:rStyle w:val="Hyperlink"/>
        </w:rPr>
        <w:instrText xml:space="preserve"> PAGEREF _Toc256000053 \h </w:instrText>
      </w:r>
      <w:r>
        <w:fldChar w:fldCharType="separate"/>
      </w:r>
      <w:r>
        <w:rPr>
          <w:rStyle w:val="Hyperlink"/>
        </w:rPr>
        <w:t>165</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3"/>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中证A500指数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和其他相关法律法规的规定以及《交银施罗德中证A500指数型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1、基金或本基金：指交银施罗德中证A500指数型证券投资基金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3、基金托管人：指招商银行股份有限公司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4、基金合同或《基金合同》：指《交银施罗德中证A500指数型证券投资基金基金合同》及对基金合同的任何有效修订和补充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5、托管协议：指基金管理人与基金托管人就本基金签订之《交银施罗德中证A500指数型证券投资基金托管协议》及对该托管协议的任何有效修订和补充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6、招募说明书、《招募说明书》或本招募说明书：指《交银施罗德中证A500指数型证券投资基金招募说明书》及其更新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7、基金份额发售公告：指《交银施罗德中证A500指数型证券投资基金基金份额发售公告》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8、基金产品资料概要：指《交银施罗德中证A500指数型证券投资基金基金产品资料概要》及其更新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11、《销售办法》：指《公开募集证券投资基金销售机构监督管理办法》及颁布机关对其不时做出的修订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14、《流动性风险管理规定》：指《公开募集开放式证券投资基金流动性风险管理规定》及颁布机关对其不时做出的修订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15、《指数基金指引》：指《公开募集证券投资基金运作指引第3号——指数基金指引》及颁布机关对其不时做出的修订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17、银行业监督管理机构：指中国人民银行和/或国家金融监督管理总局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22、投资人、投资者：指个人投资者、机构投资者、合格境外投资者以及法律法规或中国证监会允许购买证券投资基金的其他投资人的合称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35、T日：指销售机构在规定时间受理投资人申购、赎回或其他业务申请的开放日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37、开放日：指为投资人办理基金份额申购、赎回或其他业务的工作日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38、开放时间：指开放日基金接受申购、赎回或其他交易的时间段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39、《业务规则》：指中国证券登记结算有限责任公司相关业务规则及其不时做出的修订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40、认购：指在基金募集期内，投资人根据基金合同和招募说明书的规定申请购买基金份额的行为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41、申购：指基金合同生效后，投资人根据基金合同和招募说明书的规定申请购买基金份额的行为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44、转托管：指基金份额持有人在本基金的不同销售机构之间实施的变更所持基金份额销售机构的操作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49、基金资产总值：指基金拥有的各类有价证券、股指期货合约、银行存款本息、基金应收款项及其他资产的价值总和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52、基金资产估值：指计算评估基金资产和负债的价值，以确定基金资产净值和基金份额净值的过程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54、销售服务费：指从基金财产中计提的，用于本基金市场推广、销售以及基金份额持有人服务的费用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55、A类基金份额：指在投资人认购/申购时收取认购/申购费用、不从本类别基金资产中计提销售服务费的基金份额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56、C类基金份额：指在投资人认购/申购时不收取认购/申购费用、从本类别基金资产中计提销售服务费的基金份额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57、标的指数：指中证A500指数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62、转融通证券出借业务：指本基金以一定费率通过证券交易所综合业务平台向中国证券金融股份有限公司出借证券，中国证券金融股份有限公司到期归还所借证券及相应权益补偿并支付费用的业务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63、不可抗力：指基金合同当事人不能预见、不能避免且不能克服的客观事件</w:t>
      </w:r>
    </w:p>
    <w:p>
      <w:pPr>
        <w:pStyle w:val="Heading1"/>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A500指数增强型发起式证券投资基金（2026年02月10日至今）、交银施罗德中证智选沪深港科技50交易型开放式指数证券投资基金（2025年12月10日至今）、交银施罗德中证港股通央企红利指数型证券投资基金（2025年10月28日至今）、交银施罗德恒生港股通创新药精选指数型证券投资基金（2025年08月20日至今）、交银施罗德中证A50指数型证券投资基金（2025年04月02日至今）、交银施罗德上证科创板100指数型证券投资基金（2025年02月26日至今）、交银施罗德中证A500指数型证券投资基金（2025年01月22日至今）、交银施罗德中证红利低波动100指数型证券投资基金（2024年03月15日至今）、上证180公司治理交易型开放式指数证券投资基金（2021年04月30日至今）、交银施罗德上证180公司治理交易型开放式指数证券投资基金联接基金（2021年04月30日至今）、深证300价值交易型开放式指数证券投资基金（2021年04月30日至今）、交银施罗德深证300价值交易型开放式指数证券投资基金联接基金（2021年04月30日至今）、交银施罗德国证新能源指数证券投资基金（LOF）（2021年04月30日至今）、交银施罗德创业板50指数型证券投资基金（2021年04月30日至今）、交银施罗德中证海外中国互联网指数型证券投资基金(LOF)（2021年04月30日至今）、交银施罗德中证环境治理指数型证券投资基金(LOF)（2021年04月30日至今）的基金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（5）侵占、挪用基金财产；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（6）法律、行政法规和中国证监会禁止的其他行为。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名称：招商银行股份有限公司（以下简称“招商银行”）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设立日期：1987年3月31日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注册地址：深圳市深南大道7088号招商银行大厦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办公地址：深圳市深南大道7088号招商银行大厦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注册资本：252.20亿元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行长：王小青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资产托管业务批准文号：证监基金字[2002]83号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电话：4006195555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资产托管部信息披露负责人：张姗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2、发展概况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商银行于1987年在深圳创建，是中国境内第一家完全由企业法人持股的股份制商业银行，成立39年来逐步发展成为沪港两地上市，拥有商业银行、金融租赁、基金管理、人寿保险、境外投行、消费金融、理财子公司、金融资产投资等金融牌照的银行集团。成立以来，招商银行始终坚持创新驱动、特色鲜明、科技领先、服务优质，以自身转型发展助力社会经济高质量发展，全力服务居民和企业客户财富增长、资产安全、资金融通。截至2026年6月30日，本集团总资产137,852.80亿元人民币，高级法下资本充足率16.59%，权重法下资本充足率15.06%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262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w:t>
      </w:r>
      <w:r w:rsidRPr="00BB248E">
        <w:rPr>
          <w:rFonts w:ascii="宋体" w:hAnsi="宋体" w:hint="eastAsia"/>
          <w:kern w:val="0"/>
          <w:sz w:val="24"/>
        </w:rPr>
        <w:t>荣获《中国基金报》“最佳基金</w:t>
      </w:r>
      <w:r w:rsidRPr="00BB248E">
        <w:rPr>
          <w:rFonts w:ascii="宋体" w:hAnsi="宋体" w:hint="eastAsia"/>
          <w:kern w:val="0"/>
          <w:sz w:val="24"/>
        </w:rPr>
        <w:t>托管银行”奖；5月荣获国际财经权威媒体《亚洲银行家》“中国年度托管银行奖”</w:t>
      </w:r>
      <w:r w:rsidRPr="00BB248E">
        <w:rPr>
          <w:rFonts w:ascii="宋体" w:hAnsi="宋体" w:hint="eastAsia"/>
          <w:kern w:val="0"/>
          <w:sz w:val="24"/>
        </w:rPr>
        <w:t>；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w:t>
      </w:r>
      <w:r w:rsidRPr="00BB248E">
        <w:rPr>
          <w:rFonts w:ascii="宋体" w:hAnsi="宋体" w:hint="eastAsia"/>
          <w:kern w:val="0"/>
          <w:sz w:val="24"/>
        </w:rPr>
        <w:t>2020年1月，荣获中央国债登记结算有限责任公司“2019年度优秀资产托管机构”奖项；</w:t>
      </w:r>
      <w:r w:rsidRPr="00BB248E">
        <w:rPr>
          <w:rFonts w:ascii="宋体" w:hAnsi="宋体" w:hint="eastAsia"/>
          <w:kern w:val="0"/>
          <w:sz w:val="24"/>
        </w:rPr>
        <w:t>6月荣获《财资》“中国境内最佳托管机构”“最佳公募基金托管机构”“最佳公募基金行政外包机构”三项大奖；10月荣获《中国基金报》</w:t>
      </w:r>
      <w:r w:rsidRPr="00BB248E">
        <w:rPr>
          <w:rFonts w:ascii="宋体" w:hAnsi="宋体" w:hint="eastAsia"/>
          <w:kern w:val="0"/>
          <w:sz w:val="24"/>
        </w:rPr>
        <w:t>第二届中国公募基金英华奖</w:t>
      </w:r>
      <w:r w:rsidRPr="00BB248E">
        <w:rPr>
          <w:rFonts w:ascii="宋体" w:hAnsi="宋体" w:hint="eastAsia"/>
          <w:kern w:val="0"/>
          <w:sz w:val="24"/>
        </w:rPr>
        <w:t>“2019年度最佳基</w:t>
      </w:r>
      <w:r w:rsidRPr="00BB248E">
        <w:rPr>
          <w:rFonts w:ascii="宋体" w:hAnsi="宋体" w:hint="eastAsia"/>
          <w:kern w:val="0"/>
          <w:sz w:val="24"/>
        </w:rPr>
        <w:t>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w:t>
      </w:r>
      <w:r w:rsidRPr="00BB248E">
        <w:rPr>
          <w:rFonts w:ascii="宋体" w:hAnsi="宋体" w:hint="eastAsia"/>
          <w:kern w:val="0"/>
          <w:sz w:val="24"/>
        </w:rPr>
        <w:t>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2026年4月，荣获上海清算所“2025年度优秀托管机构”奖项。2026年7月，荣获《亚洲银行家》“中国最佳托管银行”“中国最佳股份制托管银行”奖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小青先生，招商银行党委书记、行长，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截至2026年6月30日，招商银行股份有限公司累计托管1875只证券投资基金。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 内部控制目标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 内部控制组织结构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招商银行资产托管业务建立三级内部控制及风险防范体系：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一级内部控制及风险防范是在招商银行总行风险管控层面对风险进行预防和控制；总行风险管理部、法律合规部、审计部独立对资产托管业务进行评估监督，并提出内控提升管理建议。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二级内部控制及风险防范是招商银行资产托管部设立风险合规管理相关团队，负责部门内部风险预防和控制，及时发现内部控制缺陷，提出整改方案，跟踪整改情况，并直接向部门总经理室报告。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三级内部控制及风险防范是招商银行资产托管部在设置专业岗位时，遵循内控制衡原则，视业务的风险程度制定相应监督制衡机制。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 内部控制原则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（1）全面性原则。内部控制覆盖各项业务过程和操作环节、覆盖所有团队和岗位，并由全部人员参与。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（2）审慎性原则。托管组织体系的构成、内部管理制度的建立均以防范风险、审慎经营为出发点，体现“内控优先”的要求。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（3）独立性原则。招商银行资产托管部各团队、各岗位职责保持相对独立，不同托管资产之间、托管资产和自有资产之间相互分离。内部控制的检查、评价部门独立于内部控制的建立和执行部门。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（6）防火墙原则。招商银行资产托管部办公场地与我行其他业务场地隔离，办公网和业务网物理分离，部门业务网和全行业务网防火墙策略分离，以达到风险防范的目的。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（7）重要性原则。内部控制在实现全面控制的基础上，关注重要托管业务重要事项和高风险环节。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（8）制衡性原则。内部控制能够实现在托管组织体系、机构设置、权责分配及业务流程等方面相互制约、相互监督，同时兼顾运营效率。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 内部控制措施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（2）业务信息风险控制。招商银行资产托管部在数据传输和保存方面有严格的加密和备份措施，采用加密、直连方式传输数据，数据执行异地实时备份，所有的业务信息须经过严格的授权方能进行访问。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（3）客户资料风险控制。招商银行资产托管部对业务办理过程中获取的客户资料严格保密，除法律法规和其他有关规定、监管机构及审计要求外，不向任何机构、部门或个人泄露。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（5）人力资源控制。招商银行资产托管部通过建立良好的企业文化和员工培训、激励机制、加强人力资源管理及建立人才梯级队伍及人才储备机制，有效地进行人力资源管理。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pPr>
        <w:pStyle w:val="Heading1"/>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法定代表人：郑杨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联系人：朱瑛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网址：www.spdb.com.cn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（4）名称：中国光大银行股份有限公司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住所：北京市西城区太平桥大街25号、甲25号中国光大中心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办公地址：北京市西城区太平桥大街25号、甲25号中国光大中心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法定代表人：李晓鹏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电话：（010）63639681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传真：（010）63639709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联系人：刘昭宇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网址：www.cebbank.com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电话：（010）89936330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联系人：丰靖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（6）名称：宁波银行股份有限公司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住所：宁波市江东区中山东路294号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法定代表人：陆华裕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电话：（021）63586210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传真：（021）63586215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联系人：胡技勋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客户服务电话：96528（上海地区962528）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网址：www.nbcb.com.cn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（7）名称：中国邮政储蓄银行股份有限公司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法定代表人：李国华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传真：（010）68858117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联系人：陈春林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网址：www.psbc.com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（8）名称：中国工商银行股份有限公司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注册地址：北京市西城区复兴门内大街55号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办公地址：北京市西城区复兴门内大街55号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法定代表人：廖林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网址：www.icbc.com.cn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（10）名称：国信证券股份有限公司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法定代表人：张纳沙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电话：（0755）82130833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传真：（0755）82133952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联系人：于智勇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网址：www.guosen.com.cn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（11）名称：招商证券股份有限公司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办公地址：深圳市福田区益田路江苏大厦A座38-45层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法定代表人：朱江涛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电话：（0755）82943666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传真：（0755）82943636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联系人：黄婵君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客户服务电话：400-8888-111，95565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网址：www.newone.com.cn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（13）名称：中国银河证券股份有限公司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法定代表人：陈共炎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电话：010-83574507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联系人：辛国政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网址：www.chinastock.com.cn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（14）名称：国投证券股份有限公司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电话：（0755）81688000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传真：（0755）82558355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网址：https://www.sdicsc.com.cn/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（15）名称：华泰证券股份有限公司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住所：江苏省南京市江东中路228号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办公地址：江苏省南京市建邺区江东中路228号华泰证券广场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电话：（0755）82492193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传真：（0755）82492962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联系人：徐浩津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网址：www.htsc.com.cn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（18）名称：平安证券股份有限公司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住所：深圳市福田区金田路大中华国际交易广场裙楼8楼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办公地址：深圳市福田区金田路大中华国际交易广场裙楼8楼(518048)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法定代表人：杨宇翔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电话：（0755）22627802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传真：（0755）82400862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联系人：郑舒丽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网址：www.pingan.com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（20）名称：东方财富证券股份有限公司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住所：西藏自治区拉萨市柳梧新区国际总部城10栋楼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法定代表人：戴彦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电话：（021）021-23586603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传真：（021）021-23586860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联系人：付佳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网址：http://www.18.cn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（22）名称：开源证券股份有限公司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注册地址：陕西省西安市高新区锦业路一号都市之门B座5层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办公地址：陕西省西安市高新区锦业路一号都市之门B座5层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电话：13709210036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联系人：赵东会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网址：www.kysec.cn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（23）名称：华宝证券股份有限公司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住所：中国上海市陆家嘴环路166号未来资产大厦27楼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办公地址：中国上海市浦东新区世纪大道100号上海环球金融中心57楼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陈林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电话：（021）68777222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传真：（021）68777822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客户服务电话：400-820-9898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网址：www.cnhbstock.com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（25）名称：深圳市新兰德证券投资咨询有限公司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住所：深圳市福田区华强北路赛格科技园4栋10层1006#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电话：（010）58325395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传真：（010）58325282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联系人：刘宝文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客户服务电话：400-850-7771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网址：http://8.jrj.com.cn/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（26）名称：和讯信息科技有限公司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住所：北京市朝阳区朝外大街22号泛利大厦10层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办公地址：北京市朝阳区朝外大街22号泛利大厦10层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电话：（021）20835789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传真：（021）20835879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客户服务电话：4009200022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网址：http://licaike.hexun.com/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（27）名称：上海挖财基金销售有限公司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法定代表人：吕柳霞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电话：021-50810673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传真：021-50810687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邮编：200120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联系人：毛善波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客服电话：400-711-8718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网址：www.wacaijijin.com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（28）名称：腾安基金销售（深圳）有限公司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办公地址：深圳市南山区海天二路33号腾讯滨海大厦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联系人：谭广峰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网址：http://www.tenganxinxi.com/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（29）名称：北京度小满基金销售有限公司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注册地址：北京市海淀区西北旺东路10号院西区4号楼1层103室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法定代表人：葛新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办公地址：北京市海淀区西北旺东路10号院西区4号楼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机构联系人：王笑宇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联系人电话：010-59403028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联系人传真：010-59403027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客户服务电话：95055-4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公司网址：www.baiyingfund.com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（30）名称：博时财富基金销售有限公司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法定代表人：王德英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客户服务电话：400-610-5568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网址：www.boserawealth.com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（31）名称：诺亚正行基金销售有限公司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住所:上海市虹口区飞虹路360弄9号3724室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办公地址:上海市杨浦区长阳路1687号长阳谷2号楼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法定代表：汪静波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电话：（021）80358523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传真：（021）80358749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客户服务电话：4008215399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网址：www.noah-fund.com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（32）名称：深圳众禄基金销售股份有限公司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电话：（0755）33227953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传真：（0755）33227951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联系人：汤素娅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客户服务电话：4006-788-887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网址：www.zlfund.cn，www.jjmmw.com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（35）名称：蚂蚁（杭州）基金销售有限公司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住所：浙江省杭州市余杭区五常街道文一西路969号3幢5层599室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办公地址：浙江省杭州市西湖区西溪路556号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电话：（0571）28829790，（021）60897869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传真：（0571）26698533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联系人：韩爱彬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网址：www.fund123.cn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（37）名称：浙江同花顺基金销售有限公司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住所：浙江省杭州市文二西路1号元茂大厦903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办公地址：浙江杭州余杭区五常街道同顺街18号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电话：（0571）88911818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传真：（0571）86800423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客户服务电话：952555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网址：https://fund.10jqka.com.cn/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（39）名称：嘉实财富管理有限公司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办公地址及其联系方式：北京市朝阳区建国门外大街21号北京国际俱乐部C座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张峰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010-85097302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联系人：闫欢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客户服务电话：400-021-8850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公司网址：http://www.harvestwm.cn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（40）名称：北京创金启富基金销售有限公司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梁蓉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电话：010-66154828-8047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传真：010-63583991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魏素清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客户服务电话：010-66154828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https://www.5irich.com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（41）名称：泛华普益基金销售有限公司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住所：成都市成华区建设路9号高地中心1101室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办公地址：成都市金牛区花照壁西顺街399号1栋1单元龙湖西宸天街B座1201号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法定代表人：于海锋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电话：028-8661-6229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联系人：隋亚方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客户服务电话：400-080-3388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网址：https://www.puyifund.com/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（42）名称：宜信普泽（北京）基金销售有限公司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住所：北京市朝阳区建国路乙118号12层01D、02A—02F、03A—03C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办公地址：北京市朝阳区建国路乙118号12层01D、02A—02F、03A—03C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法定代表人：汤蕾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电话：010-5090-5707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联系人：蒋凯帆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客户服务电话：400-6099-200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网址：http://www.puzefund.com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（43）名称：南京苏宁基金销售有限公司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联系人：冯鹏鹏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网址：www.snjijin.com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（44）名称：格上富信投资顾问有限公司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住所：北京市朝阳区东三环北路19号楼701内09室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办公地址：北京市朝阳区东三环北路19号楼701内09室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法定代表人：李悦章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电话：（010）85594745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传真：（010）65983333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客户服务电话：400-066-8586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网址：www.igesafe.com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（45）名称：北京汇成基金销售有限公司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住所：北京市西城区宣武门外大街甲1号4层401-2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办公地址：北京市西城区宣武门外大街甲1号环球财讯中心D座4层401-2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法定代表人：王伟刚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电话：（010）56282140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传真：（010）62680827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客户服务电话：010-63158805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网址：www.hcfunds.co</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（46）名称：上海大智慧基金销售有限公司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法定代表人：申健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电话：021-0219988-35374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传真：021-20219923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客户服务电话：021-20292031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网址：https://www.wg.com.cn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（47）名称：济安财富（北京）基金销售有限公司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住所：北京市朝阳区太阳宫中路16号院1号楼10层1005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办公地址：北京市朝阳区太阳宫中路16号院1号楼11层1105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电话：010-65309516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传真：010-65330699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联系人：宋静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客户服务电话：400-673-7010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网址：www.jianfortune.com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（48）名称：上海万得基金销售有限公司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住所：中国（上海）自由贸易试验区福山路33号11楼B座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办公地址：上海市浦东新区浦明路1500号万得大厦11楼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宋晓言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电话：021-50712782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传真：021-50710161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马烨莹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客户服务电话：400-799-1888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www.520fund.com.cn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（51）名称：上海陆金所基金销售有限公司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住所：上海市浦东新区陆家嘴环路1333号14楼09单元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办公地址：上海市浦东新区陆家嘴环路1333号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法定代表人：王之光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电话：（021）20665952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传真：（021）22066653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联系人：宁博宇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客户服务电话：4008219031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网址：www.lufunds.com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（53）名称：和耕传承基金销售有限公司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法定代表人：温丽燕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电话：0371-85518395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传真：0371-85518397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联系人：胡静华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客户服务电话：4000555671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网址：www.hgccpb.com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（54）名称：奕丰基金销售有限公司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办公地址：深圳市南山区海德三道航天科技广场A座17楼1704室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法定代表人：TEO WEE HOWE</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电话：（0755）89460500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传真：（0755）21674453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联系人：叶健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客户服务电话：400-684-0500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网址：www.ifastps.com.cn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（55）名称：京东肯特瑞基金销售有限公司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北京市海淀区西三旗建材城中路12号17号平房157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传真：010-89189566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客服热线：95118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网址：kenterui.jd.com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（56）名称：大连网金基金销售有限公司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樊怀东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电话：（0411-39027810）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传真：（0411-39027835）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于秀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4000-899-100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网址：http://www.yibaijin.com/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（57）名称：上海证达通基金销售有限公司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电话：（021）20530186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传真：（021）20538999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潘梦茹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客户服务电话：021-20538880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网址：www.zdt.fund</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（58）名称：深圳市金斧子基金销售有限公司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住所：深圳市南山区粤海街道科苑路16号东方科技大厦18楼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办公地址：深圳市南山区粤海街道科苑路科兴科学园B3单元7楼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法定代表人：赖任军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电话：（0755）66892301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传真：（0755）66892399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客户服务电话：400-9500-888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网址：www.jfzinv.com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（59）名称：北京雪球基金销售有限公司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住所：北京市朝阳区创远路 34 号院6号楼15层1501室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办公地址：北京市朝阳区创远路 34 号院融新科技中心 C 座 17 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电话：（010）61840688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传真：（010）84997571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联系人：武安广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客户服务电话：400-1599-288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网址：danjuanfunds.com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（60）名称：上海中欧财富基金销售有限公司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住所：中国（上海）自由贸易试验区陆家嘴环路479号1008-1室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办公地址：上海市虹口区公平路18号嘉昱大厦6楼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法定代表人：许欣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电话：021-68609600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传真：021-33830351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刘弘义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客户服务电话：400-700-9700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公司网址：https://www.zocaifu.com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（61）名称：万家财富基金销售（天津）有限公司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住所：天津自贸区（中心商务区）迎宾大道1988号滨海浙商大厦公寓2-2413室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办公地址：北京市西城区丰盛胡同28号太平洋保险大厦A座5层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电话：（010）59013825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传真：（010）59013828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联系人：王茜蕊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客户服务电话：010-59013895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网址：http://www.wanjiawealth.com/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（62）名称：上海华夏财富投资管理有限公司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住所：上海市虹口区东大名路687号1幢2楼268室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北京市西城区金融大街33号通泰大厦B座8层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毛淮平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电话：010-88066632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传真：010-63136184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张静怡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客户服务电话：400-817-5666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www.amcfortune.com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（63）名称：中信期货有限公司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（64）名称：玄元保险代理有限公司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法定代表人：马永谙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客户服务电话：400-080-8208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网址：www.licaimofang.cn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（65）名称：阳光人寿保险股份有限公司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住所：海南省三亚市迎宾路360-1号三亚阳光金融广场16层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办公地址：北京市朝阳区朝阳门外大街乙12号院1号昆泰国际大厦12层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电话：（010）85632771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传真：（010）85632773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网址：http://fund.sinosig.com/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（66）名称：上海攀赢基金销售有限公司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客户服务电话：021-68889082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网址：www.weonefunds.com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（67）名称：中国人寿保险股份有限公司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住所：中国北京市西城区金融大街16号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办公地址：北京市西城区金融大街16号中国人寿广场A座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www.e-chinalife.com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（68）名称：易方达财富管理基金销售（广州）有限公司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住所：广州市南沙区横沥镇期航二街2号101房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办公地址：广东省广州市天河区珠江东路30号广州银行大厦41楼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电话：020-85102688-7498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联系人：吕晋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客户服务电话：4001608888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网址：www.efundcf.com.cn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（69）名称：深圳前海微众银行股份有限公司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办公地址：广东省深圳市南山区沙河西路1819号深圳湾科技生态园7栋A座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法定代表人：顾敏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电话：15112686889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联系人：白冰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名称：中国证券登记结算有限责任公司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法定代表人：于文强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电话：（010）50938782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传真：（010）50938907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联系人：赵亦清</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办公地址：上海市银城中路68号时代金融中心18-20楼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联系人：丁媛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经办律师：黎明、丁媛</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名称：容诚会计师事务所（特殊普通合伙）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执行事务合伙人：肖厚发、刘维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联系人：李隐煜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经办会计师：沈兆杰、李隐煜</w:t>
      </w:r>
    </w:p>
    <w:p>
      <w:pPr>
        <w:pStyle w:val="Heading1"/>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本基金由基金管理人依照《基金法》、《运作办法》、《销售办法》、基金合同及其他有关规定，并经中国证监会2024年12月11日证监许可【2024】1810号文准予募集注册。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本基金为契约型开放式股票型基金。基金存续期间为不定期。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本基金2024年12月26日至2025年1月17日进行发售，本基金设立募集期共募集640,369,795.25份基金份额，有效认购户数为3,060户。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注册并成立追踪同一标的指数的交易型开放式指数基金（ETF），本基金可变更为该ETF的联接基金。该联接基金将其绝大部分基金财产投资于跟踪同一标的指数的ETF，紧密跟踪标的指数表现，追求跟踪偏离度和跟踪误差的最小化。该联接基金具体投资范围及比例等将依据届时有效的法律法规或监管机构要求确定。以上变更需经基金管理人和基金托管人协商一致后修改基金合同，但不需召开基金份额持有人大会审议。</w:t>
      </w:r>
    </w:p>
    <w:p>
      <w:pPr>
        <w:pStyle w:val="Heading1"/>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根据有关规定，本基金满足基金合同生效条件，基金合同已于2025年1月22日正式生效。自基金合同生效之日起，本基金管理人正式开始管理本基金。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法律法规或中国证监会另有规定时，从其规定。</w:t>
      </w:r>
    </w:p>
    <w:p>
      <w:pPr>
        <w:pStyle w:val="Heading1"/>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八、基金份额的申购与赎回</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1、本基金管理人的直销机构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2、除基金管理人之外的其他销售机构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本基金已于2025年2月10日起开放申购、赎回业务。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（三）申购与赎回的原则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5、办理申购、赎回业务时，应当遵循基金份额持有人利益优先原则，确保投资者的合法权益不受损害并得到公平对待。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3、最低基金份额余额的限制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4、基金管理人可以规定本基金的总规模上限、单个投资人累计持有的基金份额上限，具体规定请参见相关公告。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4、申购和赎回的登记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（六）基金的申购费和赎回费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本基金基金份额分为A类基金份额和C类基金份额。投资人申购A类基金份额在申购时支付申购费用；申购C类基金份额不支付申购费用、从该类别基金资产中计提销售服务费。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A类基金份额的申购费用由A类基金份额申购人承担，不列入基金财产，主要用于本基金的市场推广、销售、登记结算等各项费用。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投资人可以多次申购本基金，A类基金份额的申购费用按每笔A类基金份额的申购申请单独计算。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本基金A类基金份额（非养老金客户）的申购费率如下：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本基金对通过基金管理人直销柜台申购A类基金份额的养老金客户实施特定申购费率。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1）全国社会保障基金；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2）可以投资基金的地方社会保障基金；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3）企业年金单一计划以及集合计划；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4）企业年金理事会委托的特定客户资产管理计划；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5）企业年金养老金产品。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通过基金管理人直销柜台申购本基金A类基金份额的养老金客户特定申购费率如下表：</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赎回A类基金份额或C类基金份额收取赎回费用，该费用随基金份额的持有时间增加而递减。本基金A类基金份额和C类基金份额的赎回费用由赎回该类基金份额的基金份额持有人承担，在基金份额持有人赎回基金份额时收取。对于持续持有期间少于7日的投资者收取的赎回费全额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本基金C类基金份额的赎回费率如下：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（七）申购和赎回的数额和价格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1、申购和赎回数额、余额的处理方式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A类基金份额或C类基金份额的赎回金额为按实际确认的有效赎回份额乘以当日该类基金份额的基金份额净值并扣除相应的费用，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本基金采用金额申购的方式。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净申购金额=申购总金额/（1+申购费率）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申购费用=申购总金额-净申购金额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（注：对于适用固定金额申购费用的申购，申购费用＝固定申购费用金额）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申购份额=净申购金额/ T日A类基金份额净值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例四：某投资者（非养老金客户）投资100,000.00元申购本基金的A类基金份额，假设申购当日A类基金份额净值为1.0400元，申购费率为1.0%，则其可得到的申购份额为：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净申购金额=100,000.00/（1+1.0%）=99,009.90元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申购费用=100,000.00-99,009.90=990.10元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申购份额=99,009.90/1.0400=95,201.83份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即：该投资者（非养老金客户）投资100,000.00元申购本基金A类基金份额，假设申购当日A类基金份额净值为1.0400元，则其可得到95,201.83份A类基金份额。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例五：某养老金客户投资1,000,000.00元通过基金管理人的直销柜台申购本基金的A类基金份额，假设申购当日A类基金份额净值为1.0400元，申购费率为0.12%，则其可得到的申购份额为：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净申购金额=1,000,000.00/（1+0.12%）=998,801.44元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申购费用=1,000,000.00-998,801.44=1,198.56元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申购份额=998,801.44/1.0400=960,386.00份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即：该养老金客户投资1,000,000.00元通过基金管理人的直销柜台申购本基金的A类基金份额，假设申购当日A类基金份额净值为1.0400元，则其可得到960,386.00份A类基金份额。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如果投资者选择申购C类基金份额，则申购份额的计算方法如下：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申购份额=申购总金额/T日C类基金份额净值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例六：某投资者投资100,000.00元申购本基金的C类基金份额，假设申购当日C类基金份额净值为1.0400元，则其可得到的申购份额为：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申购份额＝100,000.00/1.0400＝96,153.85份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即：投资者投资100,000.00元申购本基金的C类基金份额，假设申购当日C类基金份额净值为1.0400元，则其可得到96,153.85份C类基金份额。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本基金采用“份额赎回”的方式。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如果投资者赎回A类基金份额，则赎回金额的计算方法如下：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赎回费用=赎回份额×T日A类基金份额净值×赎回费率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赎回金额=赎回份额×T日A类基金份额净值-赎回费用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例七：某投资者赎回100,000.00份A类基金份额，持有期限为6日，对应的赎回费率为1.5%，假设赎回当日A类基金份额净值是1.0160元，则其可得到的赎回金额为：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赎回费用=100,000.00×1.0160×1.5%＝1,524.00元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赎回金额=100,000.00×1.0160-1,524.00＝100,076.00元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即：该投资者赎回100,000.00份A类基金份额，持有期限为6日，对应的赎回费率为1.5%，假设赎回当日A类基金份额净值是1.0160元，则其可得到的赎回金额为100,076.00元。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如果投资者赎回C类基金份额，赎回金额的计算方法如下：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赎回费用=赎回份额×T日C类基金份额净值×赎回费率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赎回金额=赎回份额×T日C类基金份额净值-赎回费用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例八：某投资者赎回100,000.00份C类基金份额，持有期限为6日，对应的赎回费率为1.5%，假设赎回当日C类基金份额净值是1.0160元，则其可得到的赎回金额为：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赎回费用=100,000.00×1.0160×1.5%＝1,524.00元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赎回金额=100,000.00×1.0160-1,524.00＝100,076.00元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即：该投资者赎回100,000.00份C类基金份额，持有期限为6日，对应的赎回费率为1.5%，假设赎回当日C类基金份额净值是1.0160元，则其可得到的赎回金额为100,076.00元。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（八）拒绝或暂停申购的情形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发生下列情况时，基金管理人可拒绝或暂停接受投资人的申购申请：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（九）暂停赎回或延缓支付赎回款项的情形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1、因不可抗力导致基金管理人不能支付赎回款项。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4、连续两个或两个以上开放日发生巨额赎回。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5、发生继续接受赎回申请将损害现有基金份额持有人利益的情形时，基金管理人可暂停接受基金份额持有人的赎回申请。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6、指数编制单位或指数发布机构因异常情况使标的指数数据无法正常计算、计算错误或发布异常时。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（十一）暂停申购或赎回的公告和重新开放申购或赎回的公告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2、如发生暂停的时间为1日，基金管理人应于重新开放日，在规定媒介上刊登基金重新开放申购或赎回公告，并公布最近1个开放日的各类基金份额的基金份额净值。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（十二）基金的非交易过户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（十三）基金的转托管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（十四）定期定额投资计划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本基金2025年2月7日刊登公告自2025年2月10日起开通定期定额投资计划业务，具体开通销售机构名单和业务规则参见相关公告。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（十五）基金份额的冻结和解冻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（十六）基金份额的转让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（十七）实施侧袋机制期间本基金的申购与赎回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本基金实施侧袋机制的，本基金的申购和赎回安排详见本招募说明书“侧袋机制”部分的规定或相关公告。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（十八）其他业务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Heading1"/>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九、基金的转换</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（二）转换业务办理时间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本基金2025年2月7日刊登公告自2025年2月10日起开放日常转换业务。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本基金转换业务具体开通销售机构名单参见相关公告。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（三）基金转换的程序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1、申请方式：书面申请或销售机构公布的其他方式。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2、基金转换申请的确认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（四）基金转换的数额限制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2、转出基金的赎回费用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4、后端收费模式下转出与转入基金的申购补差费用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5、网上直销的申购补差费率优惠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（六）基金转换份额的计算公式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1、前端收费模式下基金转换份额的计算公式及举例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转出确认金额=100,000×1.0100=101,000元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转出基金的赎回费=101,000×0.5%=505元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转入确认金额=101,000-505=100,495元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转出与转入基金的申购补差费=100,495×0/（1+0）=0元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转入基金确认份额=（100,495-0）/2.2700=44,270.93份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转出确认金额=1,000,000×1.0200=1,020,000元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转出基金的赎回费=1,020,000×0.05%=510元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转入确认金额=1,020,000-510=1,019,490元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转出与转入基金的申购补差费=1,019,490×0.5%/（1+0.5%）=5,072.09元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转入基金确认份额=（1,019,490-5,072.09）/1.0100=1,004,374.17份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转出与转入基金的申购补差费=125,000×1.5%/（1+1.5%）=1,847.29元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转入基金确认份额=（125,000-1,847.29）/2.2700=54,252.30份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转出与转入基金的申购补差费=100,000×0.8%/（1+0.8%）=793.65元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转入基金确认份额=（100,000-793.65+61.52）/1.2700=78,163.68份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2、后端收费模式下基金转换份额的计算公式及举例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转入基金确认份额=（124,750-0）/2.2700=54,955.95份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转出与转入基金的申购补差费=124,750×1.2%=1497元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转入基金确认份额=（124,750-1497）/1.00=123,253.00份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转出确认金额=100,000×0.8500=85,000元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转出基金的赎回费=85,000×0=0元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转入确认金额=85,000-0=85,000元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转出与转入基金的申购补差费=85,000×0.2%=170元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转入基金确认份额=（85,000-170）/1.0500=80,790.48份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转入基金确认份额=（100,000-0+61.52）/1.2700=78,788.60份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Heading1"/>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本基金采用指数化投资策略，紧密跟踪中证A500指数，追求跟踪偏离度与跟踪误差最小化。</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中证A500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本基金可根据法律法规的规定参与融资及转融通证券出借业务。未来在法律法规允许的前提下，本基金可根据相关法律法规规定参与融券业务。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本基金投资于中证A500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（1）组合复制策略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本基金主要采取完全复制法，即按照标的指数成份股及其权重构建基金的股票投资组合，并根据标的指数成份股及其权重的变动对股票投资组合进行相应地调整。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（2）替代性策略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出现市场流动性不足、因法律法规原因个别成份股被限制投资等情况，导致本基金无法获得足够数量的股票时，或出于其他基金管理人认定不适合投资的股票或可能严重限制本基金跟踪标的指数的合理原因，基金管理人将通过投资成份股、非成份股等进行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本基金将以降低跟踪误差和流动性管理为目的，综合考虑流动性和收益性，适当参与债券投资。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3、股指期货投资策略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4、资产支持证券投资策略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5、存托凭证投资策略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本基金投资存托凭证的策略依照境内上市交易的股票投资策略执行。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6、融资、转融通证券出借业务投资策略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在条件允许的情况下，本着谨慎原则，适度参与融资、转融通证券出借业务。本基金在参与融资业务时，将通过对市场环境、利率水平、基金规模以及基金申购赎回情况等因素的研究和判断，决定融资规模。本基金管理人将充分考虑融资业务的收益性、流动性及风险性特征，谨慎进行投资。为了更好地实现投资目标，在加强风险防范并遵守审慎原则的前提下，本基金可根据投资管理需要参与转融通证券出借业务。本基金将在分析市场情况、投资者类型与结构、基金历史申购赎回情况、出借证券流动性情况等因素的基础上，合理确定出借证券的范围、期限和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未来，随着投资工具的发展和丰富，基金管理人可以在不改变投资目标的前提下，在履行适当程序后相应调整和更新相关投资策略，并在招募说明书中更新，而无需召开基金份额持有人大会。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（1）本基金投资于中证A500指数成份股（含存托凭证）及备选成份股（含存托凭证）的比例不低于基金资产净值的90%且不低于非现金基金资产的80%；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（11）本基金资产总值不超过基金资产净值的140%；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（13）本基金参与融资业务后，每个交易日日终，本基金持有的融资买入股票与其他有价证券市值之和，不得超过基金资产净值的95%；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（14）本基金参与转融通证券出借业务，需遵守下列投资限制：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1）出借证券资产不得超过基金资产净值的30%，出借期限在10个交易日以上的出借证券应纳入《流动性风险管理规定》所述流动性受限证券的范围；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2）参与出借业务的单只证券不得超过本基金持有该证券总量的50%；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3）最近6个月内日均基金资产净值不得低于2亿元；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4）证券出借的平均剩余期限不得超过30天，平均剩余期限按照市值加权平均计算；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因证券市场波动、上市公司合并、基金规模变动等基金管理人之外的因素致使基金投资不符合上述规定的，基金管理人不得新增出借业务；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本基金业绩比较基准：中证A500指数收益率×95%＋人民币银行活期存款利率（税后）×5%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但若标的指数变更对基金投资无实质性影响（包括但不限于编制机构名称变更、指数更名等），则无需召开基金份额持有人大会，经基金管理人与基金托管人协商一致并按照监管部门要求履行适当程序后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自指数编制机构停止标的指数的编制及发布至解决方案确定期间，基金管理人应按照指数编制机构提供的最近一个交易日的指数信息遵循基金份额持有人利益优先原则维持基金投资运作。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本基金运作过程中，当标的指数成份股发生明显负面事件面临退市风险，且指数编制机构暂未作出调整的，基金管理人应当按照持有人利益优先的原则，履行内部决策程序后及时对相关成份股进行调整。</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本基金是一只股票型基金，其预期风险和预期收益理论上高于混合型基金、债券型基金和货币市场基金。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本基金为指数型基金，主要采用完全复制法跟踪中证A500指数，具有与标的指数相似的风险收益特征。</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（七）基金管理人代表基金行使股东或债权人权利的处理原则及方法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1、基金管理人按照国家有关规定代表基金独立行使股东或债权人权利，保护基金份额持有人的利益；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基金托管人招商银行股份有限公司根据本基金合同约定，于2026年07月17日复核了本报告中的财务指标、净值表现和投资组合报告等内容，保证复核内容不存在虚假记载、误导性陈述或者重大遗漏。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235,975,888.42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91.61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235,975,888.42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91.61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24,000.64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24,000.64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20,406,210.39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1,191,649.07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257,597,748.52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报告期末指数投资按行业分类的境内股票投资组合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745,641.00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9,761,489.50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166,409,059.51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65.69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5,174,043.00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2,893,490.00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1,807,887.00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5,288,488.00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109,984.00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13,020,186.15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23,020,671.00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1,323,891.00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1,716,331.80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2,835,455.00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407,129.40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79,560.00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463,092.00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181,517.00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424,882.00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235,662,797.36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93.03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报告期末积极投资按行业分类的境内股票投资组合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311,813.18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1,277.88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313,091.06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0.12</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 报告期末按行业分类的港股通投资股票投资组合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报告期末指数投资按公允价值占基金资产净值比例大小排序的前十名股票投资明细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中际旭创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10,160,000.00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300750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宁德时代</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7,427,889.00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300502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新易盛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9,944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6,036,008.00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600519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贵州茅台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5,216,156.00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603986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兆易创新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3,830,500.00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601318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中国平安</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76,400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3,647,336.00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688256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寒武纪</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2,169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3,460,747.95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600036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招商银行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3,152,400.00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601899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紫金矿业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2,971,548.00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002371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北方华创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2,697,908.00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1.07</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 报告期末积极投资按公允价值占基金资产净值比例大小排序的前五名股票投资明细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联讯仪器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74,463.51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C臻宝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38,899.61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盛合晶微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38,768.26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688635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长进光子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28,969.86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恒运昌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20,378.60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24,000.64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24,000.64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111025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圣泉转债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14,000.18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113704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春风转债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10,000.46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9、报告期末本基金投资的股指期货交易情况说明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报告期末本基金投资的股指期货持仓和损益明细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本基金投资股指期货的投资政策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2025年09月12日,国家金融监督管理总局公示行政处罚决定书,给予招商银行股份有限公司60万元人民币的行政处罚。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11.3 其他资产构成</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22,079.07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1,169,570.00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1,191,649.07</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11.4 报告期末持有的处于转股期的可转换债券明细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11.5 报告期末股票中存在流通受限情况的说明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报告期末指数投资前十名股票中存在流通受限情况的说明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报告期末积极投资前五名股票中存在流通受限情况的说明</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流通受限部分的公允价值（元）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流通受限情况</w:t>
            </w:r>
            <w:r>
              <w:rPr>
                <w:rFonts w:ascii="宋体" w:hAnsi="宋体"/>
                <w:color w:val="000000"/>
                <w:kern w:val="0"/>
                <w:sz w:val="24"/>
                <w:szCs w:val="24"/>
              </w:rPr>
              <w:br/>
              <w:t>说明</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联讯仪器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74,463.51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C臻宝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38,899.61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盛合晶微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38,768.26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688635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长进光子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28,969.86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恒运昌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20,378.60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（1）交银中证A500指数A</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15.34%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13.47%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11.34%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23.48%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23.90%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-0.05%</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（2）交银中证A500指数C</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15.29%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13.37%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11.34%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注：本基金的业绩比较基准为中证A500指数收益率×95%＋人民币银行活期存款利率（税后）×5%，每日进行再平衡过程。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交银施罗德中证A500指数型证券投资基金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(2025年01月22日至2026年06月30日)</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（1）交银中证A500指数A</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268.27pt;width:439.5pt">
            <v:imagedata r:id="rId14" o:title=""/>
          </v:shape>
        </w:pic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（2）交银中证A500指数C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type="#_x0000_t75" style="height:268.27pt;width:439.5pt">
            <v:imagedata r:id="rId15"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基金合同生效日为2025年1月22日，截至报告期期末，本基金已完成建仓但报告期期末距建仓结束未满一年。本基金建仓期为自基金合同生效日起的6个月。截至建仓期结束，本基金各项资产配置比例符合基金合同及招募说明书有关投资比例的约定。</w:t>
      </w:r>
    </w:p>
    <w:p>
      <w:pPr>
        <w:pStyle w:val="Heading1"/>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基金资产总值是指基金拥有的各类有价证券、股指期货合约、银行存款本息、基金应收款项及其他资产的价值总和。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（四）基金财产的保管和处分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Heading1"/>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（三）估值原则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（2）首次公开发行未上市的股票，采用估值技术确定公允价值；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8、同一证券同时在两个或两个以上市场交易的，按证券所处的市场分别估值。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11、基金参与融资和转融通证券出借业务的，应参照相关法律法规和中国证券投资基金业协会发布的相关规定进行估值。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13、当发生大额申购或赎回情形时，基金管理人可以采用摆动定价机制，以确保基金估值的公平性。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基金管理人于每个工作日计算各类基金份额的基金资产净值及基金份额净值，经基金托管人复核，并按规定公告。如遇特殊情况，经履行适当程序，可以适当延迟计算或公告。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（4）估值错误调整采用尽量恢复至假设未发生估值错误的正确情形的方式。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（5）按法律法规规定的其他原则处理估值错误。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4、基金份额净值估值错误处理的方法如下：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 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1、基金管理人或基金托管人按估值方法的第12项进行估值时，所造成的误差不作为基金资产估值错误处理。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期货交易所、证券/期货经纪机构、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本基金实施侧袋机制的，应根据本部分的约定对主袋账户资产进行估值并披露主袋账户的基金净值信息，暂停披露侧袋账户份额净值。</w:t>
      </w:r>
    </w:p>
    <w:p>
      <w:pPr>
        <w:pStyle w:val="Heading1"/>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（二）基金可供分配利润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2、基金管理人可每季度对基金相对业绩比较基准的超额收益率以及基金的可供分配利润进行评价，在符合收益分配相关规定的前提下，基金管理人可进行收益分配；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3、在符合有关基金分红条件的前提下，本基金可每季度进行收益分配，基金管理人也可根据实际情况在其他日期对本基金进行收益分配，具体分配方案以公告为准； 若《基金合同》生效不满3个月可不进行收益分配；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5、本基金同一基金份额类别的每一基金份额享有同等分配权；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基金管理人可在不违反法律法规且对基金份额持有人利益无实质性不利影响的前提下，经与基金托管人协商一致后对上述原则进行修改或调整，而无需召开基金份额持有人大会审议。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（四）基金相对业绩比较基准的超额收益率计算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在评价日，基金管理人计算基金累计报酬率、业绩比较基准同期累计报酬率。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基金评价日本基金相对业绩比较基准的超额收益率＝基金累计报酬率－业绩比较基准同期累计报酬率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基金累计报酬率＝（评价日基金份额净值/基金合同生效日所对应的 3 个月月度对日的前一工作日基金份额净值－1）×100%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业绩比较基准同期累计报酬率＝（评价日业绩比较基准数值/基金合同生效日所对应的 3 个月月度对日的前一工作日业绩比较基准数值－1）×100%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3个月月度对日指某一特定日期在之后第3个月月度中的对应日期，若该日历月度中不存在对应日期，则取该月度最后一日。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如基金份额发生折算，则采用剔除折算因素的基金份额净值，详见届时基金管理人发布的相关公告。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（六）收益分配方案的确定、公告与实施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本基金收益分配方案由基金管理人拟定，并由基金托管人复核，依照《信息披露办法》的规定在规定媒介公告。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（八）收益分配方式的修改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投资人可至销售机构办理收益分配方式的修改，投资人对本基金不同的基金交易账户可设置不同的收益分配方式。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投资人同一日多次申报收益分配方式变更的，按照《业务规则》执行，最终确认的收益分配方式以登记机构记录为准。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（九）实施侧袋机制期间的收益分配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本基金实施侧袋机制的，侧袋账户不进行收益分配。</w:t>
      </w:r>
    </w:p>
    <w:p>
      <w:pPr>
        <w:pStyle w:val="Heading1"/>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3、《基金合同》生效后与基金相关的信息披露费用；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4、《基金合同》生效后与基金相关的会计师费、律师费、仲裁费和诉讼费；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6、基金的证券/期货交易费用；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7、基金的银行汇划费用；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8、基金的开户费用、账户维护费用；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9、本基金从C类基金份额的基金财产中计提的销售服务费；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10、按照国家有关规定和《基金合同》约定，可以在基金财产中列支的其他费用。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本基金的管理费按前一日基金资产净值的0.15%年费率计提。管理费的计算方法如下：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H＝E×0.15%÷当年天数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提，逐日累计至每月月末，按月支付。经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本基金的托管费按前一日基金资产净值的0.05%的年费率计提。托管费的计算方法如下：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H＝E×0.05%÷当年天数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逐日累计至每月月末，按月支付。经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本基金A类基金份额不收取销售服务费，C类基金份额的销售服务费按前一日C类基金份额的基金资产净值的0.15%年费率计提。销售服务费的计算方法如下：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H＝E×0.15%÷当年天数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H为C类基金份额每日应计提的销售服务费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E为C类基金份额前一日基金资产净值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销售服务费每日计提，逐日累计至每月月末，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下列费用不列入基金费用：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2、基金管理人和基金托管人处理与基金运作无关的事项发生的费用；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3、《基金合同》生效前的相关费用；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4、标的指数许可使用费（由基金管理人承担）；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5、其他根据相关法律法规及中国证监会的有关规定不得列入基金费用的项目。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pStyle w:val="Heading1"/>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1、基金管理人为本基金的基金会计责任方；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7、基金托管人每月与基金管理人就基金的会计核算、报表编制等进行核对并以双方认可的方式确认。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（二）基金的年度审计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3、基金管理人认为有充足理由更换会计师事务所，须通报基金托管人。更换会计师事务所需依照《信息披露办法》的规定在规定媒介公告。</w:t>
      </w:r>
    </w:p>
    <w:p>
      <w:pPr>
        <w:pStyle w:val="Heading1"/>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1、基金招募说明书、《基金合同》、基金托管协议、基金产品资料概要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基金管理人应当就基金份额发售的具体事宜编制基金份额发售公告，并在披露招募说明书的当日登载于规定媒介上。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基金管理人应当在收到中国证监会确认文件的次日在规定媒介上登载《基金合同》生效公告。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（16）任一类基金份额净值计价错误达该类基金份额净值百分之零点五；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（18）本基金发生巨额赎回并延期办理；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（19）本基金连续发生巨额赎回并暂停接受赎回申请或延缓支付赎回款项；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（22）基金管理人采用摆动定价机制进行估值；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（23）本基金增加或调整基金份额类别；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（24）本基金推出新业务或服务；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（25）本基金变更标的指数；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（26）《基金合同》生效后，连续30、40、45个工作日出现基金份额持有人数量不满200人或者基金资产净值低于5000万元情形，基金管理人应当发布提示性公告；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10、实施侧袋机制期间的信息披露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12、基金投资资产支持证券情况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13、基金投资股指期货情况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14、基金参与融资和转融通证券出借业务情况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本基金参与转融通证券出借业务的，基金管理人应当在基金定期报告等文件中就报告期内发生的重大关联交易事项做详细说明。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未来在法律法规允许的前提下，本基金可依据法律法规的相关规定参与融券业务，并相应履行信息披露义务。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基金信息披露义务人公开披露基金信息，应当符合中国证监会相关基金信息披露内容与格式准则等法律法规的规定。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依法必须披露的信息发布后，基金管理人、基金托管人应当按照相关法律法规规定将信息置备于各自办公场所，供社会公众查阅、复制。</w:t>
      </w:r>
    </w:p>
    <w:p>
      <w:pPr>
        <w:pStyle w:val="Heading1"/>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十八、侧袋机制</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（一）侧袋机制的实施条件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（二）实施侧袋机制期间基金份额的申购与赎回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（三）实施侧袋机制期间的基金投资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（五）实施侧袋账户期间的基金费用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1、本基金实施侧袋机制的，管理费和托管费等按主袋账户基金资产净值作为基数计提。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（六）侧袋账户中特定资产的处置变现和支付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（七）侧袋机制的信息披露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Heading1"/>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业务，具体业务办理时间在赎回开始公告中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（五）本基金的特有风险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为股票型基金，投资于中证A500指数成份股（含存托凭证）及备选成份股（含存托凭证）的比例不低于基金资产净值的90%且不低于非现金基金资产的80%，因投资权益类资产而面临权益类资产市场的系统性风险和个股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2、标的指数回报与股票市场平均回报偏离的风险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标的指数并不能代表整个股票市场。标的指数成份股的平均回报率与整个股票市场的平均回报率可能存在偏离。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3、标的指数波动的风险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标的指数成份股的价格可能受到政治因素、经济因素、上市公司经营状况、投资人心理和交易制度等各种因素的影响而波动，导致指数波动，从而使基金收益水平发生变化，产生风险。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4、基金投资组合回报与标的指数回报偏离及跟踪误差控制未达约定目标的风险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以下因素可能使基金投资组合的收益率与标的指数的收益率发生偏离，也可能使基金的跟踪误差控制未达约定目标：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（1）由于标的指数调整成份股或变更编制方法，使本基金在相应的组合调整中产生跟踪偏离度与跟踪误差。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（2）由于标的指数成份股发生配股、增发等行为导致成份股在标的指数中的权重发生变化，使本基金在相应的组合调整中产生跟踪偏离度和跟踪误差。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（3）标的指数成份股派发现金红利、新股市值配售收益将导致基金收益率超过标的指数收益率，产生正的跟踪偏离度。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（4）由于标的指数成份股停牌、摘牌或流动性差等原因使本基金无法及时调整投资组合或承担冲击成本而产生跟踪偏离度和跟踪误差。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（5）因法律法规的限制或其他限制，本基金可能不能投资于部分标的指数成份股。在使用替代方法，如投资同行业中相关性较高的股票以替代上述投资受限股票时，会产生一定的跟踪偏离度和跟踪误差。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（6）基金有投资成本、各种费用及税收，而指数编制不考虑费用和税收，这将导致基金收益率落后于标的指数收益率，产生负的跟踪偏离度。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（7）在本基金指数化投资过程中，基金管理人的管理能力，例如跟踪指数的水平、技术手段、买入卖出的时机选择等，都会对本基金的收益产生影响，从而影响本基金对标的指数的跟踪程度。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在正常市场情况下，本基金力争控制本基金日均跟踪偏离度的绝对值不超过0.35%，年跟踪误差不超过4%。但因标的指数编制规则调整或其他因素可能导致跟踪偏离度和跟踪误差超过上述范围，本基金净值表现与指数价格走势可能发生较大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5、指数编制机构停止服务的风险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标的指数由指数编制机构发布并管理和维护，未来指数编制机构可能由于各种原因停止对标的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投资人将面临转换运作方式，与其他基金合并或者终止基金合同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6、成份股停牌或退市的风险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标的指数成份股可能因各种原因临时或长期停牌，发生成份股停牌时可能面临如下风险：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（1）基金可能因无法及时调整投资组合而导致跟踪偏离度和跟踪误差扩大。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（2）若成份股停牌时间较长，在约定时间内仍未能及时买入或卖出的，由此可能影响投资者的投资损益并使基金产生跟踪偏离度和跟踪误差。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当标的指数成份股发生明显负面事件面临退市风险，且指数编制机构暂未作出调整的，基金管理人应当按照持有人利益优先的原则，履行内部决策程序后及时对相关成份股进行调整，可能影响投资者的投资损益并使基金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 、基金合同提前终止风险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（六）投资股指期货的特定风险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（2）流动性风险是指由于股指期货合约无法及时变现所带来的风险。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（5）信用风险是指期货经纪公司违约而产生损失的风险。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（七）投资资产支持证券的特定风险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（八）投资流通受限证券的特定风险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（九）投资存托凭证的特定风险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（十一）本基金参与融资业务的特定风险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本基金可根据法律法规的规定参与融资业务，面临的风险包括但不限于：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可能放大投资损失的风险：融资业务具有杠杆效应，它在放大投资收益的同时也必然放大投资风险。将股票作为担保品进行融资交易时，既需要承担原有的股票价格下跌带来的风险，又得承担融资买入股票带来的风险，同时还须支付相应的利息和费用，由此承担的风险可能远远超过普通证券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2）利率变动带来的成本加大风险：在从事融资交易期间，如中国人民银行规定的同期贷款基准利率调高，证券公司将相应调高融资利率，投资成本也因为利率的上调而增加，将面临融资成本增加的风险。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强制平仓风险：融资交易中，投资组合与证券公司间除了普通交易的委托买卖关系外，还存在着较为复杂的债权债务关系，以及由于债权债务产生的信托关系和担保关系。证券公司为保护自身债权，对投资组合信用账户的资产负债情况实时监控，在一定条件下可以对投资组合担保资产执行强制平仓,且平仓的品种、数量、价格、时机将不受投资组合的控制，平仓的数额可能超过全部负债，由此给投资组合带来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外部监管风险：在融资交易出现异常或市场出现系统性风险时，监管部门、证券交易所和证券公司都将可能对融资交易采取相应措施，例如提高融资保证金比例、维持担保比例和强制平仓的条件等，以维护市场平稳运行。这些措施将可能给本金带来杠杆效应降低、甚至提前进入追加担保物或强制平仓状态等潜在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融资业务的流动性风险主要指当基金不能按照约定的期限清偿债务，或上市证券价格波动导致担保物价值与融资债务之间的比例低于平仓维持担保比例，且不能按照约定的时间追加担保物时面临强制平仓的风险。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信用风险主要指交易对手违约产生的风险。一方面，如果证券公司没有按照融资合同的要求履行义务可能带来风险；另一方面，若在从事融资交易期间，证券公司融资业务资格、融资业务交易权限被取消或被暂停，证券公司可能无法履约，则投资组合可能会面临一定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（十二）本基金参与转融通证券出借业务的特定风险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本基金可根据法律法规和基金合同的约定参与转融通证券出借业务，面临的风险包括但不限于：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面对大额赎回时，可能因证券出借原因发生无法及时变现、支付赎回款项的风险；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证券出借对手方可能无法及时归还证券、无法支付相应权益补偿及借券费用的风险；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证券出借后可能面临出借期间无法及时处置证券的风险；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如宏观政策变化、证券市场剧烈波动、个别证券出现重大事件、交易对手方违约、业务规则调整、信息技术不能正常运行等风险。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（十四）其他风险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7、其他意外导致的风险。</w:t>
      </w:r>
    </w:p>
    <w:p>
      <w:pPr>
        <w:pStyle w:val="Heading1"/>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二十、基金合同的变更、终止与基金财产的清算</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（一）基金份额持有人、基金管理人和基金托管人的权利与义务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（1）根据《基金法》、《运作办法》及其他有关规定，基金管理人的权利包括但不限于：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2）自《基金合同》生效之日起，根据法律法规和《基金合同》独立运用并管理基金财产；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8）选择、更换基金销售机构，对基金销售机构的相关行为进行监督和处理；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10）依据《基金合同》及有关法律规定决定基金收益的分配方案；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11）在《基金合同》约定的范围内，拒绝或暂停受理申购与赎回申请；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13）在法律法规允许的前提下，为基金的利益依法为基金进行融资及转融通证券出借业务；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（2）根据《基金法》、《运作办法》及其他有关规定，基金管理人的义务包括但不限于：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3）自《基金合同》生效之日起，以诚实信用、谨慎勤勉的原则管理和运用基金财产；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14）按规定受理申购与赎回申请，及时、足额支付赎回款项；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16）按规定保存基金财产管理业务活动的会计账册、报表、记录和其他相关资料不低于法律法规规定的最低期限；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（1）根据《基金法》、《运作办法》及其他有关规定，基金托管人的权利包括但不限于：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1）自《基金合同》生效之日起，依法律法规和《基金合同》的规定安全保管基金财产；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4）根据相关市场规则，为基金开设资金账户、证券账户等投资所需账户，为基金办理证券交易资金清算；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6）在基金管理人更换时，提名新的基金管理人；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（2）根据《基金法》、《运作办法》及其他有关规定，基金托管人的义务包括但不限于：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1）以诚实信用、勤勉尽责的原则持有并安全保管基金财产；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6）按规定开设基金财产的资金账户、证券账户等投资所需账户，按照《基金合同》的约定，根据基金管理人的投资指令，及时办理清算、交割事宜；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8）复核、审查基金管理人计算的基金资产净值、基金份额净值、基金份额申购、赎回价格；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11）保存基金托管业务活动的记录、账册、报表和其他相关资料不低于法律法规规定的最低期限；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16）按照法律法规和《基金合同》的规定监督基金管理人的投资运作；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同一类别每份基金份额具有同等的合法权益。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（1）根据《基金法》、《运作办法》及其他有关规定，基金份额持有人的权利包括但不限于：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3）依法并按照基金合同和招募说明书的规定转让或者申请赎回其持有的基金份额；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4）按照规定要求召开基金份额持有人大会或者召集基金份额持有人大会；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（2）根据《基金法》、《运作办法》及其他有关规定，基金份额持有人的义务包括但不限于：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1）认真阅读并遵守《基金合同》、招募说明书等信息披露文件；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3）关注基金信息披露，及时行使权利和履行义务；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5）在其持有的基金份额范围内，承担基金亏损或者《基金合同》终止的有限责任；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6）不从事任何有损基金及其他《基金合同》当事人合法权益的活动；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8）返还在基金交易过程中因任何原因获得的不当得利；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9）遵守基金管理人、基金托管人、销售机构和登记机构的相关交易及业务规则；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（二）基金份额持有人大会召集、议事及表决的程序和规则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本基金份额持有人大会不设日常机构。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（1）当出现或需要决定下列事由之一的，应当召开基金份额持有人大会，法律法规、中国证监会另有规定的除外：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1）终止《基金合同》，基金合同另有规定的除外；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2）更换基金管理人；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3）更换基金托管人；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5）调整基金管理人、基金托管人的报酬标准或提高销售服务费率；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8）变更基金投资目标、范围或策略，基金合同另有规定的除外；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9）变更基金份额持有人大会程序，基金合同另有规定的除外；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10）基金管理人或基金托管人要求召开基金份额持有人大会；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12）对基金合同当事人权利和义务产生重大影响的其他事项；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1）调低基金销售服务费率；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2）法律法规要求增加的基金费用的收取；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3）在法律法规和《基金合同》规定的范围内调整本基金的申购费率、在对现有基金份额持有人利益无实质性不利影响的前提下变更收费方式；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6）在法律法规允许的情况下，且在对现有基金份额持有人利益无实质性不利影响的前提下，基金管理人履行适当程序后，推出新业务或服务；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7）在符合法律法规及本基金合同规定、并且对基金份额持有人利益无实质性不利影响的前提下，增加或调整本基金份额类别的设置、对基金份额分类办法及规则进行调整；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8）若将来本基金管理人注册并成立追踪同一标的指数的交易型开放式指数基金（ETF），则基金管理人在履行适当程序后有权决定将本基金转换为该基金的联接基金，并相应修改《基金合同》；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10）按照法律法规和《基金合同》规定不需召开基金份额持有人大会的其他情形。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（2）基金管理人未按规定召集或不能召集时，由基金托管人召集；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2）会议拟审议的事项、议事程序和表决方式；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3）有权出席基金份额持有人大会的基金份额持有人的权益登记日；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5）会务常设联系人姓名及联系电话；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在同时符合以下条件时，通讯开会的方式视为有效：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基金份额持有人所持每份基金份额有一票表决权。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8、生效与公告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基金份额持有人大会的决议，召集人应当自通过之日起5日内报中国证监会备案。基金份额持有人大会的决议自表决通过之日起生效。法律法规另有规定的，从其规定。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9、实施侧袋机制期间基金份额持有人大会的特殊约定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同一主侧袋账户内的每份基金份额具有平等的表决权。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（三）基金合同解除和终止的事由、程序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基金合同》而产生的或与《基金合同》有关的一切争议，如经友好协商未能解决的，任何一方均有权将争议提交深圳国际仲裁院，仲裁地点为深圳市，按照深圳国际仲裁院届时有效的仲裁规则进行仲裁。仲裁裁决是终局的，对各方当事人均有约束力，除非仲裁裁决另有规定，仲裁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《基金合同》受中国法律（为本基金合同之目的，不含港澳台地区法律）管辖并从其解释。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（五）基金合同存放及投资者取得基金合同的方式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《基金合同》正本一式三份，除上报有关监管机构一份外，基金管理人、基金托管人各持有一份，每份具有同等的法律效力。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《基金合同》可印制成册，供投资者在基金管理人、基金托管人、销售机构的办公场所和营业场所查阅，但应以《基金合同》正本为准。</w:t>
      </w:r>
    </w:p>
    <w:p>
      <w:pPr>
        <w:pStyle w:val="Heading1"/>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批准设立文号：中国证监会证监基金字[2005]128号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住所：深圳市深南大道7088号招商银行大厦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办公地址：深圳市深南大道7088号招商银行大厦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邮政编码：518040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成立时间：1987年4月8日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批准设立机关和批准设立文号：中国人民银行银复字（1986）175号文、银复（1987）86号文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基金托管业务批准文号：证监基金字[2002]83号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注册资本：人民币252.20亿元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1、基金托管人根据有关法律法规的规定以及《基金合同》的约定，对基金投资范围、投资比例、投资限制、关联方交易等进行监督。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（1）本基金的投资范围为：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中证A500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本基金可根据法律法规的规定参与融资及转融通证券出借业务。未来在法律法规允许的前提下，本基金可根据相关法律法规规定参与融券业务。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（2）本基金各类品种的投资比例、投资限制为：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中证A500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1）本基金投资于中证A500指数成份股（含存托凭证）及备选成份股（含存托凭证）的比例不低于基金资产净值的90%且不低于非现金基金资产的80%；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11）本基金资产总值不超过基金资产净值的140%；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13）本基金参与融资业务后，每个交易日日终，本基金持有的融资买入股票与其他有价证券市值之和，不得超过基金资产净值的95%；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14）本基金参与转融通证券出借业务，需遵守下列投资限制：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a）出借证券资产不得超过基金资产净值的30%，出借期限在10个交易日以上的出借证券应纳入《流动性风险管理规定》所述流动性受限证券的范围；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b）参与出借业务的单只证券不得超过本基金持有该证券总量的50%；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c）最近6个月内日均基金资产净值不得低于2亿元；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d）证券出借的平均剩余期限不得超过30天，平均剩余期限按照市值加权平均计算；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因证券市场波动、上市公司合并、基金规模变动等基金管理人之外的因素致使基金投资不符合上述规定的，基金管理人不得新增出借业务；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（3）本基金财产不得用于以下投资或者活动：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本基金投资银行存款应符合如下规定：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有关法律法规或监管部门制定或修改新的定期存款投资政策，基金管理人履行适当程序后，可相应调整投资组合限制的规定。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1）基金管理人负责控制信用风险。信用风险主要包括存款银行的信用等级、存款银行的支付能力等涉及到存款银行选择方面的风险。因选择存款银行不当造成基金财产损失的，由基金管理人承担责任。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3）基金管理人须加强内部风险控制制度的建设。如因基金管理人员工职务行为导致基金财产受到损失的，需由基金管理人承担由此造成的损失。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3、基金投资银行存款协议的签订、账户开设与管理、投资指令与资金划付、账目核对、到期兑付、提前支取、基金投资银行存款的监督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（1）基金投资银行存款协议的签订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2）基金托管人依据相关法规对《总体合作协议》和《存款协议书》的内容进行复核，审查存款银行资格等。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3）基金管理人应在《存款协议书》中明确存款证实书或其他有效存款凭证的办理方式、邮寄地址、联系人和联系电话，以及存款证实书或其他有效凭证在邮寄过程中遗失后，存款余额的确认及兑付办法等。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5）基金管理人应在《存款协议书》中规定，基金存放到期或提前兑付的资金应全部划转到指定的基金托管账户，并在《存款协议书》写明账户名称和账号，未划入指定账户的，由存款银行承担一切责任。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应在《存款协议书》中规定，在存期内，如本基金银行账户、预留印鉴发生变更，基金管理人应及时书面通知存款银行，书面通知应加盖基金托管人预留印鉴。存款银行分支机构应及时就变更事项向基金管理人、基金托管人出具正式书面确认书。变更通知的送达方式同开户手续。在存期内，存款分支机构和基金托管人的指定联系人变更，应及时加盖公章书面通知对方及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7）基金管理人应在《存款协议书》中规定，因定期存款产生的存单不得被质押或以任何方式被抵押，不得用于转让和背书。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（2）基金投资银行存款时的账户开设与管理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1）基金投资于银行存款时，基金管理人应当依据基金管理人与存款银行签订的《总体合作协议》、《存款协议书》等，以基金的名义在存款银行总行或授权分行指定的分支机构开立银行账户。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2）基金投资于银行存款时的预留印鉴由基金托管人保管和使用。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（3）存款凭证传递、账目核对及到期兑付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1）存款证实书等存款凭证传递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2）存款凭证的遗失补办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存款凭证在邮寄过程中遗失的，由基金管理人向存款银行提出补办申请，基金管理人应督促存款银行尽快补办存款凭证，并按以上1）的方式快递或上门交付至基金托管人，原存款凭证自动作废。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3）账目核对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每个工作日，基金管理人应与基金托管人核对各项银行存款投资余额及应计利息。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存款协议书》中规定，对于存期超过3个月的定期存款，基金托管人于每季度向存款银行发起查询查复，存款银行应按照中国人民银行查询查复的有关时限要求及时回复。基金管理人及基金托管人有责任督促存款银行及时回复查询查复。因存款银行未及时回复造成的资金被挪用、盗取的责任由存款银行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存款银行应配合基金托管人对存款凭证的询证，并在询证函上加盖存款银行公章寄送至基金托管人指定联系人。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4）到期兑付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存款协议书》中规定，存款凭证在邮寄过程中遗失的，存款银行应立即通知基金托管人及基金管理人，基金托管人在原存款凭证复印件上加盖公章并出具相关证明文件后，与存款银行指定会计主管电话确认后，存款银行应在到期日将存款本息划至指定的基金资金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如果存款到期日为法定节假日，存款银行顺延至到期后第一个工作日支付，存款银行需按原协议约定利率和实际延期天数支付延期利息。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（4）提前支取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如果在存款期限内，由于基金规模发生缩减的原因或者出于流动性管理的需要等原因，基金管理人可以提前支取全部或部分资金。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提前支取的具体事项按照基金管理人与存款银行签订的《存款协议书》执行。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（5）基金投资银行存款的监督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5、本基金投资流通受限证券，应遵守《关于基金投资非公开发行股票等流通受限证券有关问题的通知》等有关监管规定。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流通受限证券与上文所述的流动性受限资产的范围并不完全一致，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本基金不得投资未经中国证监会批准的非公开发行证券。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本基金不得投资有锁定期但锁定期不明确的证券。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由于基金管理人未及时提供有关证券的具体的必要的信息，致使基金托管人无法审核认购指令而影响认购款项划拨的，基金托管人免于承担责任。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应在基金投资非公开发行股票后按照法律法规规定的期限，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6、基金管理人应当对投资中期票据业务进行研究，认真评估中期票据投资业务的风险，本着审慎、勤勉尽责的原则进行中期票据的投资业务，并应符合法律法规及监管机构的相关规定。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参与转融通证券出借业务，基金管理人应当遵守谨慎经营的原则，配备技术系统和专业人员，制定科学合理的投资策略和风险管理制度，完善业务流程，有效防范和控制风险，基金托管人将对基金参与转融通证券出借业务进行监督与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12、基金托管人发现基金管理人有重大违规行为，应及时报告中国证监会，同时通知基金管理人限期纠正。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13、侧袋机制的实施和投资运作安排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侧袋机制实施期间，基金合同约定的投资组合比例、投资策略、组合限制、业绩比较基准、风险收益特征等约定仅适用于主袋账户。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侧袋账户的实施条件、实施程序、运作安排、投资安排、特定资产的处置变现和支付等对投资者权益有重大影响的事项详见招募说明书的规定。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基金财产的完整性和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4、基金管理人发现基金托管人有重大违规行为，应及时报告中国证监会，同时通知基金托管人限期纠正，并将纠正结果报告中国证监会。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（3）基金托管人按照规定开设基金财产的资金账户、证券账户等投资所需的相关账户。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（4）基金托管人对所托管的不同基金财产分别设置账户，独立核算，分账管理，确保基金财产的完整与独立。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对因为基金管理人投资产生的存放或存管在基金托管人以外机构的基金资产，或交由期货公司或证券公司负责清算交收的基金资产及其收益（包括但不限于期货保证金账户内的资金、期货合约等），由于该等机构或该机构会员单位等本协议当事人外第三方的欺诈、疏忽、过失或破产等原因给基金资产造成的损失等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（8）除依据法律法规和基金合同的规定外，基金托管人不得委托第三人托管基金财产。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2、基金募集期间及募集资金的验资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（1）基金募集期间募集认购款项应开立“基金募集专户”。该账户由基金管理人或基金管理人委托的登记机构开立并管理。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（3）若基金募集期限届满，未能达到基金合同生效的条件，由基金管理人按规定办理退款等事宜。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3、基金资金账户的开立和管理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本基金的名义在其营业机构开立基金的资金账户（也可称为“托管账户”），保管基金的银行存款，并根据基金管理人的指令办理资金收付。托管账户名称应为“交银施罗德中证A500指数型证券投资基金”，预留印鉴为基金托管人印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（3）基金资金账户的开立和管理应符合法律法规及银行业监督管理机构的有关规定。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4、基金证券账户和结算备付金账户的开立和管理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（1）基金托管人在中国证券登记结算有限责任公司上海分公司、深圳分公司为基金开立基金托管人与基金联名的证券账户。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5、债券托管账户的开设和管理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6、其他账户的开立和管理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基金托管人和基金管理人应当在开户过程中相互配合，并提供所需资料。基金管理人保证所提供的账户开户材料的真实性和有效性，且在相关资料变更后及时将变更的资料提供给基金托管人。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（2）因业务发展需要而开立的其他账户，可以根据法律法规和基金合同的规定，由基金管理人协助基金托管人按照有关法律法规和本协议的约定协商后开立。新账户按有关规定使用并管理。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（3）法律法规等有关规定对相关账户的开立和管理另有规定的，从其规定办理。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7、基金财产投资的有关有价凭证等的保管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（五）基金资产净值的计算及复核程序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1、基金资产净值的计算、复核与完成的时间及程序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基金管理人于每个工作日分别计算各类基金份额的基金资产净值、基金份额净值，经基金托管人复核，按规定公告，但基金管理人根据法律法规或基金合同的规定暂停估值时除外。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（2）复核程序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每个工作日对基金资产进行估值后，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基金管理人及基金托管人应当按照《基金合同》的约定进行估值。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3、基金份额净值错误的处理方式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基金管理人及基金托管人应当按照《基金合同》的约定处理基金份额净值错误。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按国家有关部门规定的会计制度执行。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6、基金财务报表与报告的编制和复核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（1）财务报表的编制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基金财务报表由基金管理人编制，基金托管人复核。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（2）报表复核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（3）财务报表的编制与复核时间安排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7、在有需要时，基金管理人应每季度向基金托管人提供基金业绩比较基准的基础数据和编制结果。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（六）基金份额持有人名册的保管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本协议受中华人民共和国法律（为本托管协议之目的，不含港澳台地区法律）管辖并从其解释。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本协议双方当事人经协商一致，可以对协议进行修改。修改后的新协议，其内容不得与基金合同的规定有任何冲突。基金托管协议的变更应按规定报中国证监会备案。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（2）基金托管人因解散、破产、撤销等事由，不能继续担任基金托管人的职务，而在6个月内无其他适当的托管机构承接其原有权利义务；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（3）基金管理人因解散、破产、撤销等事由，不能继续担任基金管理人的职务，而在6个月内无其他适当的基金管理机构承接其原有权利义务；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（4）发生法律法规或《基金合同》规定的其他终止事项。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基金管理人与基金托管人按照《基金合同》的约定处理基金财产的清算。</w:t>
      </w:r>
    </w:p>
    <w:p>
      <w:pPr>
        <w:pStyle w:val="Heading1"/>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每次交易结束后，可在T+2个工作日后通过销售机构的网点查询和打印确认单。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（四）基金红利再投资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本基金已开通定期定额投资计划，具体实施方法请参见相关公告。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5"/>
        <w:gridCol w:w="3629"/>
        <w:gridCol w:w="2823"/>
        <w:gridCol w:w="1613"/>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交银施罗德中证A500指数型证券投资基金（A类份额）基金产品资料概要更新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交银施罗德中证A500指数型证券投资基金2025年年度报告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交银施罗德中证A500指数型证券投资基金2026年第1季度报告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交银施罗德基金管理有限公司关于旗下基金所持停牌股票估值调整的公告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交银施罗德中证A500指数型证券投资基金2026年中期报告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5"/>
      <w:bookmarkEnd w:id="5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（一）中国证监会准予交银施罗德中证A500指数型证券投资基金募集注册的文件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（二）《交银施罗德中证A500指数型证券投资基金基金合同》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（三）《交银施罗德中证A500指数型证券投资基金托管协议》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（六）关于申请募集注册交银施罗德中证A500指数型证券投资基金的法律意见书</w:t>
      </w:r>
    </w:p>
    <w:sectPr>
      <w:footerReference w:type="default" r:id="rId16"/>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5</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165</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交银施罗德中证A500指数型证券投资基金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交银施罗德中证A500指数型证券投资基金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image" Target="media/image1.png"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footer" Target="foot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