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交银施罗德优择回报灵活配置混合型证券投资基金招募说明书（更新）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324920538"/>
      <w:bookmarkStart w:id="1" w:name="_Toc256000000"/>
      <w:bookmarkStart w:id="2" w:name="_Toc496884613"/>
      <w:bookmarkStart w:id="3" w:name="_Toc256000026"/>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优择回报灵活配置混合型证券投资基金（以下简称“本基金”）经2016年3月1日中国证券监督管理委员会（以下简称“中国证监会”）证监许可【2016】393号文准予募集注册。本基金基金合同于2016年4月22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200人或基金资产净值低于5000万元情形时基金管理人将依基金合同约定提前终止基金合同的风险；投资科创板股票的特定风险；投资本基金特有的其他风险等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本基金是一只混合型基金，其风险和预期收益高于债券型基金和货币市场基金，低于股票型基金。属于承担较高风险、预期收益较高的证券投资基金品种。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本招募说明书所载内容截止日为2026年09月02日（其中业绩比较基准相关信息的更新截止日为2026年09月21日），有关财务和业绩表现数据截止日为2026年06月30日，财务和业绩表现数据未经审计。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"_Toc256000026"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_Toc256000026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rPr>
        <w:t>一、绪言</w:t>
      </w:r>
      <w:r>
        <w:rPr>
          <w:rStyle w:val="18"/>
        </w:rPr>
        <w:tab/>
      </w:r>
      <w:r>
        <w:fldChar w:fldCharType="begin"/>
      </w:r>
      <w:r>
        <w:rPr>
          <w:rStyle w:val="18"/>
        </w:rPr>
        <w:instrText xml:space="preserve"> PAGEREF _Toc256000027 \h </w:instrText>
      </w:r>
      <w:r>
        <w:fldChar w:fldCharType="separate"/>
      </w:r>
      <w:r>
        <w:rPr>
          <w:rStyle w:val="18"/>
        </w:rPr>
        <w:t>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二、释义</w:t>
      </w:r>
      <w:r>
        <w:rPr>
          <w:rStyle w:val="18"/>
        </w:rPr>
        <w:tab/>
      </w:r>
      <w:r>
        <w:fldChar w:fldCharType="begin"/>
      </w:r>
      <w:r>
        <w:rPr>
          <w:rStyle w:val="18"/>
        </w:rPr>
        <w:instrText xml:space="preserve"> PAGEREF _Toc256000028 \h </w:instrText>
      </w:r>
      <w:r>
        <w:fldChar w:fldCharType="separate"/>
      </w:r>
      <w:r>
        <w:rPr>
          <w:rStyle w:val="18"/>
        </w:rPr>
        <w:t>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_Toc256000029 \h </w:instrText>
      </w:r>
      <w:r>
        <w:fldChar w:fldCharType="separate"/>
      </w:r>
      <w:r>
        <w:rPr>
          <w:rStyle w:val="18"/>
        </w:rPr>
        <w:t>10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_Toc256000030 \h </w:instrText>
      </w:r>
      <w:r>
        <w:fldChar w:fldCharType="separate"/>
      </w:r>
      <w:r>
        <w:rPr>
          <w:rStyle w:val="18"/>
        </w:rPr>
        <w:t>17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_Toc256000031 \h </w:instrText>
      </w:r>
      <w:r>
        <w:fldChar w:fldCharType="separate"/>
      </w:r>
      <w:r>
        <w:rPr>
          <w:rStyle w:val="18"/>
        </w:rPr>
        <w:t>21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六、基金的募集</w:t>
      </w:r>
      <w:r>
        <w:rPr>
          <w:rStyle w:val="18"/>
        </w:rPr>
        <w:tab/>
      </w:r>
      <w:r>
        <w:fldChar w:fldCharType="begin"/>
      </w:r>
      <w:r>
        <w:rPr>
          <w:rStyle w:val="18"/>
        </w:rPr>
        <w:instrText xml:space="preserve"> PAGEREF _Toc256000032 \h </w:instrText>
      </w:r>
      <w:r>
        <w:fldChar w:fldCharType="separate"/>
      </w:r>
      <w:r>
        <w:rPr>
          <w:rStyle w:val="18"/>
        </w:rPr>
        <w:t>41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七、基金合同的生效</w:t>
      </w:r>
      <w:r>
        <w:rPr>
          <w:rStyle w:val="18"/>
        </w:rPr>
        <w:tab/>
      </w:r>
      <w:r>
        <w:fldChar w:fldCharType="begin"/>
      </w:r>
      <w:r>
        <w:rPr>
          <w:rStyle w:val="18"/>
        </w:rPr>
        <w:instrText xml:space="preserve"> PAGEREF _Toc256000033 \h </w:instrText>
      </w:r>
      <w:r>
        <w:fldChar w:fldCharType="separate"/>
      </w:r>
      <w:r>
        <w:rPr>
          <w:rStyle w:val="18"/>
        </w:rPr>
        <w:t>42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_Toc256000034 \h </w:instrText>
      </w:r>
      <w:r>
        <w:fldChar w:fldCharType="separate"/>
      </w:r>
      <w:r>
        <w:rPr>
          <w:rStyle w:val="18"/>
        </w:rPr>
        <w:t>43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九、基金的转换</w:t>
      </w:r>
      <w:r>
        <w:rPr>
          <w:rStyle w:val="18"/>
        </w:rPr>
        <w:tab/>
      </w:r>
      <w:r>
        <w:fldChar w:fldCharType="begin"/>
      </w:r>
      <w:r>
        <w:rPr>
          <w:rStyle w:val="18"/>
        </w:rPr>
        <w:instrText xml:space="preserve"> PAGEREF _Toc256000035 \h </w:instrText>
      </w:r>
      <w:r>
        <w:fldChar w:fldCharType="separate"/>
      </w:r>
      <w:r>
        <w:rPr>
          <w:rStyle w:val="18"/>
        </w:rPr>
        <w:t>56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十、基金的投资</w:t>
      </w:r>
      <w:r>
        <w:rPr>
          <w:rStyle w:val="18"/>
        </w:rPr>
        <w:tab/>
      </w:r>
      <w:r>
        <w:fldChar w:fldCharType="begin"/>
      </w:r>
      <w:r>
        <w:rPr>
          <w:rStyle w:val="18"/>
        </w:rPr>
        <w:instrText xml:space="preserve"> PAGEREF _Toc256000036 \h </w:instrText>
      </w:r>
      <w:r>
        <w:fldChar w:fldCharType="separate"/>
      </w:r>
      <w:r>
        <w:rPr>
          <w:rStyle w:val="18"/>
        </w:rPr>
        <w:t>63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十一、基金的业绩</w:t>
      </w:r>
      <w:r>
        <w:rPr>
          <w:rStyle w:val="18"/>
        </w:rPr>
        <w:tab/>
      </w:r>
      <w:r>
        <w:fldChar w:fldCharType="begin"/>
      </w:r>
      <w:r>
        <w:rPr>
          <w:rStyle w:val="18"/>
        </w:rPr>
        <w:instrText xml:space="preserve"> PAGEREF _Toc256000037 \h </w:instrText>
      </w:r>
      <w:r>
        <w:fldChar w:fldCharType="separate"/>
      </w:r>
      <w:r>
        <w:rPr>
          <w:rStyle w:val="18"/>
        </w:rPr>
        <w:t>78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十二、基金的财产</w:t>
      </w:r>
      <w:r>
        <w:rPr>
          <w:rStyle w:val="18"/>
        </w:rPr>
        <w:tab/>
      </w:r>
      <w:r>
        <w:fldChar w:fldCharType="begin"/>
      </w:r>
      <w:r>
        <w:rPr>
          <w:rStyle w:val="18"/>
        </w:rPr>
        <w:instrText xml:space="preserve"> PAGEREF _Toc256000038 \h </w:instrText>
      </w:r>
      <w:r>
        <w:fldChar w:fldCharType="separate"/>
      </w:r>
      <w:r>
        <w:rPr>
          <w:rStyle w:val="18"/>
        </w:rPr>
        <w:t>81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十三、基金资产的估值</w:t>
      </w:r>
      <w:r>
        <w:rPr>
          <w:rStyle w:val="18"/>
        </w:rPr>
        <w:tab/>
      </w:r>
      <w:r>
        <w:fldChar w:fldCharType="begin"/>
      </w:r>
      <w:r>
        <w:rPr>
          <w:rStyle w:val="18"/>
        </w:rPr>
        <w:instrText xml:space="preserve"> PAGEREF _Toc256000039 \h </w:instrText>
      </w:r>
      <w:r>
        <w:fldChar w:fldCharType="separate"/>
      </w:r>
      <w:r>
        <w:rPr>
          <w:rStyle w:val="18"/>
        </w:rPr>
        <w:t>82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十四、基金收益与分配</w:t>
      </w:r>
      <w:r>
        <w:rPr>
          <w:rStyle w:val="18"/>
        </w:rPr>
        <w:tab/>
      </w:r>
      <w:r>
        <w:fldChar w:fldCharType="begin"/>
      </w:r>
      <w:r>
        <w:rPr>
          <w:rStyle w:val="18"/>
        </w:rPr>
        <w:instrText xml:space="preserve"> PAGEREF _Toc256000040 \h </w:instrText>
      </w:r>
      <w:r>
        <w:fldChar w:fldCharType="separate"/>
      </w:r>
      <w:r>
        <w:rPr>
          <w:rStyle w:val="18"/>
        </w:rPr>
        <w:t>87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十五、基金的费用与税收</w:t>
      </w:r>
      <w:r>
        <w:rPr>
          <w:rStyle w:val="18"/>
        </w:rPr>
        <w:tab/>
      </w:r>
      <w:r>
        <w:fldChar w:fldCharType="begin"/>
      </w:r>
      <w:r>
        <w:rPr>
          <w:rStyle w:val="18"/>
        </w:rPr>
        <w:instrText xml:space="preserve"> PAGEREF _Toc256000041 \h </w:instrText>
      </w:r>
      <w:r>
        <w:fldChar w:fldCharType="separate"/>
      </w:r>
      <w:r>
        <w:rPr>
          <w:rStyle w:val="18"/>
        </w:rPr>
        <w:t>89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十六、基金的会计与审计</w:t>
      </w:r>
      <w:r>
        <w:rPr>
          <w:rStyle w:val="18"/>
        </w:rPr>
        <w:tab/>
      </w:r>
      <w:r>
        <w:fldChar w:fldCharType="begin"/>
      </w:r>
      <w:r>
        <w:rPr>
          <w:rStyle w:val="18"/>
        </w:rPr>
        <w:instrText xml:space="preserve"> PAGEREF _Toc256000042 \h </w:instrText>
      </w:r>
      <w:r>
        <w:fldChar w:fldCharType="separate"/>
      </w:r>
      <w:r>
        <w:rPr>
          <w:rStyle w:val="18"/>
        </w:rPr>
        <w:t>92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十七、基金的信息披露</w:t>
      </w:r>
      <w:r>
        <w:rPr>
          <w:rStyle w:val="18"/>
        </w:rPr>
        <w:tab/>
      </w:r>
      <w:r>
        <w:fldChar w:fldCharType="begin"/>
      </w:r>
      <w:r>
        <w:rPr>
          <w:rStyle w:val="18"/>
        </w:rPr>
        <w:instrText xml:space="preserve"> PAGEREF _Toc256000043 \h </w:instrText>
      </w:r>
      <w:r>
        <w:fldChar w:fldCharType="separate"/>
      </w:r>
      <w:r>
        <w:rPr>
          <w:rStyle w:val="18"/>
        </w:rPr>
        <w:t>93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十八、风险揭示</w:t>
      </w:r>
      <w:r>
        <w:rPr>
          <w:rStyle w:val="18"/>
        </w:rPr>
        <w:tab/>
      </w:r>
      <w:r>
        <w:fldChar w:fldCharType="begin"/>
      </w:r>
      <w:r>
        <w:rPr>
          <w:rStyle w:val="18"/>
        </w:rPr>
        <w:instrText xml:space="preserve"> PAGEREF _Toc256000044 \h </w:instrText>
      </w:r>
      <w:r>
        <w:fldChar w:fldCharType="separate"/>
      </w:r>
      <w:r>
        <w:rPr>
          <w:rStyle w:val="18"/>
        </w:rPr>
        <w:t>99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十九、基金合同的变更、终止与基金财产的清算</w:t>
      </w:r>
      <w:r>
        <w:rPr>
          <w:rStyle w:val="18"/>
        </w:rPr>
        <w:tab/>
      </w:r>
      <w:r>
        <w:fldChar w:fldCharType="begin"/>
      </w:r>
      <w:r>
        <w:rPr>
          <w:rStyle w:val="18"/>
        </w:rPr>
        <w:instrText xml:space="preserve"> PAGEREF _Toc256000045 \h </w:instrText>
      </w:r>
      <w:r>
        <w:fldChar w:fldCharType="separate"/>
      </w:r>
      <w:r>
        <w:rPr>
          <w:rStyle w:val="18"/>
        </w:rPr>
        <w:t>106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二十、基金合同内容摘要</w:t>
      </w:r>
      <w:r>
        <w:rPr>
          <w:rStyle w:val="18"/>
        </w:rPr>
        <w:tab/>
      </w:r>
      <w:r>
        <w:fldChar w:fldCharType="begin"/>
      </w:r>
      <w:r>
        <w:rPr>
          <w:rStyle w:val="18"/>
        </w:rPr>
        <w:instrText xml:space="preserve"> PAGEREF _Toc256000046 \h </w:instrText>
      </w:r>
      <w:r>
        <w:fldChar w:fldCharType="separate"/>
      </w:r>
      <w:r>
        <w:rPr>
          <w:rStyle w:val="18"/>
        </w:rPr>
        <w:t>108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二十一、托管协议的内容摘要</w:t>
      </w:r>
      <w:r>
        <w:rPr>
          <w:rStyle w:val="18"/>
        </w:rPr>
        <w:tab/>
      </w:r>
      <w:r>
        <w:fldChar w:fldCharType="begin"/>
      </w:r>
      <w:r>
        <w:rPr>
          <w:rStyle w:val="18"/>
        </w:rPr>
        <w:instrText xml:space="preserve"> PAGEREF _Toc256000047 \h </w:instrText>
      </w:r>
      <w:r>
        <w:fldChar w:fldCharType="separate"/>
      </w:r>
      <w:r>
        <w:rPr>
          <w:rStyle w:val="18"/>
        </w:rPr>
        <w:t>124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二十二、对基金份额持有人的服务</w:t>
      </w:r>
      <w:r>
        <w:rPr>
          <w:rStyle w:val="18"/>
        </w:rPr>
        <w:tab/>
      </w:r>
      <w:r>
        <w:fldChar w:fldCharType="begin"/>
      </w:r>
      <w:r>
        <w:rPr>
          <w:rStyle w:val="18"/>
        </w:rPr>
        <w:instrText xml:space="preserve"> PAGEREF _Toc256000048 \h </w:instrText>
      </w:r>
      <w:r>
        <w:fldChar w:fldCharType="separate"/>
      </w:r>
      <w:r>
        <w:rPr>
          <w:rStyle w:val="18"/>
        </w:rPr>
        <w:t>142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二十三、其他应披露事项</w:t>
      </w:r>
      <w:r>
        <w:rPr>
          <w:rStyle w:val="18"/>
        </w:rPr>
        <w:tab/>
      </w:r>
      <w:r>
        <w:fldChar w:fldCharType="begin"/>
      </w:r>
      <w:r>
        <w:rPr>
          <w:rStyle w:val="18"/>
        </w:rPr>
        <w:instrText xml:space="preserve"> PAGEREF _Toc256000049 \h </w:instrText>
      </w:r>
      <w:r>
        <w:fldChar w:fldCharType="separate"/>
      </w:r>
      <w:r>
        <w:rPr>
          <w:rStyle w:val="18"/>
        </w:rPr>
        <w:t>144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二十四、招募说明书的存放及查阅方式</w:t>
      </w:r>
      <w:r>
        <w:rPr>
          <w:rStyle w:val="18"/>
        </w:rPr>
        <w:tab/>
      </w:r>
      <w:r>
        <w:fldChar w:fldCharType="begin"/>
      </w:r>
      <w:r>
        <w:rPr>
          <w:rStyle w:val="18"/>
        </w:rPr>
        <w:instrText xml:space="preserve"> PAGEREF _Toc256000050 \h </w:instrText>
      </w:r>
      <w:r>
        <w:fldChar w:fldCharType="separate"/>
      </w:r>
      <w:r>
        <w:rPr>
          <w:rStyle w:val="18"/>
        </w:rPr>
        <w:t>146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二十五、备查文件</w:t>
      </w:r>
      <w:r>
        <w:rPr>
          <w:rStyle w:val="18"/>
        </w:rPr>
        <w:tab/>
      </w:r>
      <w:r>
        <w:fldChar w:fldCharType="begin"/>
      </w:r>
      <w:r>
        <w:rPr>
          <w:rStyle w:val="18"/>
        </w:rPr>
        <w:instrText xml:space="preserve"> PAGEREF _Toc256000051 \h </w:instrText>
      </w:r>
      <w:r>
        <w:fldChar w:fldCharType="separate"/>
      </w:r>
      <w:r>
        <w:rPr>
          <w:rStyle w:val="18"/>
        </w:rPr>
        <w:t>147</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01"/>
      <w:bookmarkStart w:id="5" w:name="_Toc256000027"/>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优择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择回报灵活配置混合型证券投资基金基金合同》（以下简称“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28"/>
      <w:bookmarkStart w:id="7" w:name="_Toc256000002"/>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1、基金或本基金：指交银施罗德优择回报灵活配置混合型证券投资基金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2、基金管理人或本基金管理人：指交银施罗德基金管理有限公司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3、基金托管人或本基金托管人：指中信银行股份有限公司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4、基金合同或《基金合同》：指《交银施罗德优择回报灵活配置混合型证券投资基金基金合同》及对基金合同的任何有效修订和补充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5、托管协议：指基金管理人与基金托管人就本基金签订之《交银施罗德优择回报灵活配置混合型证券投资基金托管协议》及对该托管协议的任何有效修订和补充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6、招募说明书、《招募说明书》或本招募说明书：指《交银施罗德优择回报灵活配置混合型证券投资基金招募说明书》及其更新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7、基金份额发售公告：指《交银施罗德优择回报灵活配置混合型证券投资基金基金份额发售公告》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8、基金产品资料概要：指《交银施罗德优择回报灵活配置混合型证券投资基金基金产品资料概要》及其更新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11、《销售办法》：指《证券投资基金销售管理办法》及颁布机关对其不时做出的修订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16、银行业监督管理机构：指中国人民银行和/或中国银行业监督管理委员会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32、基金募集期：指自基金份额发售之日起至发售结束之日止的期间，最长不得超过3个月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35、T日：指销售机构在规定时间受理投资人申购、赎回或其他业务申请的开放日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37、开放日：指为投资人办理基金份额申购、赎回或其他业务的工作日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38、开放时间：指开放日基金接受申购、赎回或其他交易的时间段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40、认购：指在基金募集期内，投资人根据基金合同和招募说明书的规定申请购买基金份额的行为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43、销售服务费：指从基金资产中计提的，用于本基金市场推广、销售以及基金份额持有人服务的费用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44、基金份额类别：指本基金根据认购/申购费用、赎回费用及销售服务费收取方式的不同，将基金份额分为不同的类别。两类基金份额分设不同的基金代码，并分别公布基金份额净值和基金资产净值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45、A类基金份额：指对投资者收取认购/申购费用、赎回时收取赎回费用的，且不从本类别基金资产中计提销售服务费的基金份额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46、C类基金份额：指对投资者不收取认购/申购费用、赎回时收取赎回费用的，且从本类别基金资产中计提销售服务费的基金份额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48、转托管：指基金份额持有人在本基金的不同销售机构之间实施的变更所持基金份额销售机构的操作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53、基金资产总值：指基金拥有的各类有价证券、股指期货合约、银行存款本息、基金应收申购款及其他资产的价值总和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55、基金份额净值：指计算日基金资产净值除以计算日基金份额总数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59、不可抗力：指基金合同当事人不能预见、不能避免且不能克服的客观事件</w:t>
      </w:r>
    </w:p>
    <w:p>
      <w:pPr>
        <w:pStyle w:val="2"/>
        <w:snapToGrid w:val="0"/>
        <w:spacing w:before="240" w:beforeLines="0" w:after="0"/>
        <w:rPr>
          <w:rFonts w:ascii="宋体" w:hAnsi="宋体"/>
          <w:szCs w:val="30"/>
        </w:rPr>
      </w:pPr>
      <w:r>
        <w:br w:type="page"/>
      </w:r>
      <w:bookmarkStart w:id="8" w:name="_Toc256000029"/>
      <w:bookmarkStart w:id="9" w:name="_Toc256000003"/>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高扬先生:基金经理。北京大学计算机科学与技术硕士、经济学学士，北京邮电大学信息工程学士。10年证券投资行业从业经验。2016年加入交银施罗德基金管理有限公司，曾任行业分析师，现任权益部基金经理。</w:t>
      </w:r>
      <w:bookmarkStart w:id="54" w:name="_GoBack"/>
      <w:bookmarkEnd w:id="54"/>
      <w:r>
        <w:rPr>
          <w:rFonts w:hint="eastAsia" w:ascii="宋体" w:hAnsi="宋体"/>
          <w:kern w:val="0"/>
          <w:sz w:val="24"/>
        </w:rPr>
        <w:t>现任交银施罗德优择回报灵活配置混合型证券投资基金（2026年07月25日至今）、交银施罗德定期支付月月丰债券型证券投资基金（2026年05月16日至今）、交银施罗德启合混合型证券投资基金（2024年11月27日至今）、交银施罗德数据产业灵活配置混合型证券投资基金（2024年06月18日至今）、交银施罗德科锐科技创新混合型证券投资基金（2021年08月11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本基金历任基金经理：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凌超先生（2019年07月20日至2020年07月22日）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王艺伟女士（2020年07月09日至2024年12月07日）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李娜女士（2016年04月22日至2020年12月18日）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姜承操女士（2024年12月06日至2025年12月27日）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（5）侵占、挪用基金财产；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（6）泄露因职务便利获取的未公开信息、利用该信息从事或者明示、暗示他人从事相关的交易活动；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（7）玩忽职守，不按照规定履行职责；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（8）法律、行政法规和中国证监会禁止的其他行为。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04"/>
      <w:bookmarkStart w:id="11" w:name="_Toc256000030"/>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名称：中信银行股份有限公司（简称“中信银行”）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住所：北京市朝阳区光华路10号院1号楼6-30层、32-42层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办公地址：北京市朝阳区光华路10号院1号楼6-30层、32-42层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法定代表人：方合英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成立时间：1987年4月20日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注册资本：556.4516亿元人民币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批准设立文号：中华人民共和国国务院办公厅国办函[1987]14号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基金托管业务批准文号：中国证监会证监基金字[2004]125号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联系人：中信银行资产托管部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联系电话：4006800000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传真：010-85230024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网址：www.citicbank.com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坚先生，中信银行资产托管部总经理，工商管理硕士。王先生1993年在中信实业银行南京分行城北支行参加工作，2008年8月任中信银行南京分行零售银行部副总经理，2010年2月任中信银行南京分行金融同业部总经理，2016年6月调入总行授信审批部，先后任总经理助理、副总经理，2023年4月任中信银行大连分行行长，2026年6月任资产托管部总经理，待获得基金从业资格并履行备案程序后正式履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2004年8月18日，中信银行经中国证券监督管理委员会和中国银行业监督管理委员会批准，取得基金托管人资格。中信银行本着“诚实信用、勤勉尽责”的原则，切实履行托管人职责。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截至2026年二季度末，中信银行托管447只公开募集证券投资基金，以及基金公司、证券公司资产管理产品、信托产品、企业年金、股权基金、QDII等其他托管资产，托管总规模达到20.23万亿元人民币。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pStyle w:val="2"/>
        <w:snapToGrid w:val="0"/>
        <w:spacing w:before="240" w:beforeLines="0" w:after="0"/>
        <w:rPr>
          <w:rFonts w:ascii="宋体" w:hAnsi="宋体"/>
          <w:szCs w:val="30"/>
        </w:rPr>
      </w:pPr>
      <w:r>
        <w:br w:type="page"/>
      </w:r>
      <w:bookmarkStart w:id="12" w:name="_Toc256000031"/>
      <w:bookmarkStart w:id="13" w:name="_Toc256000005"/>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（3）名称：中信银行股份有限公司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法定代表人：朱鹤新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电话：（010）89936330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传真：（010）85230024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联系人：丰靖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（4）名称：中国邮政储蓄银行股份有限公司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法定代表人：李国华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传真：（010）68858117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联系人：陈春林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网址：www.psbc.com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（5）名称：兴业银行股份有限公司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注册地址：福建省福州市台江区江滨中大道398号兴业银行大厦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办公地址：上海市浦东新区银城路 167 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法定代表人：吕家进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联系人：蔡宣铭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联系电话：021-52629999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客服热线：95561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（6）名称：宁波银行股份有限公司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住所：宁波市江东区中山东路294号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法定代表人：陆华裕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电话：（021）63586210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传真：（021）63586215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联系人：胡技勋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客户服务电话：96528（上海地区962528）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网址：www.nbcb.com.cn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（7）名称：东莞农村商业银行股份有限公司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法定代表人：王耀球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电话：（0769）22866254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传真：（0769）22866282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联系人：林培珊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客户服务电话：（0769）961122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网址：www.drcbank.com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（9）名称：华西证券股份有限公司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法定代表人：杨炯洋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电话：（028）86135991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传真：（028）86150400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联系人：周志茹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（10）名称：申万宏源证券有限公司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法定代表人：杨玉成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电话：（021）33389888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联系人：李清怡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客户服务电话：95523或4008895523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网址：www.sywg.com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（11）名称：申万宏源西部证券有限公司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住所：新疆乌鲁木齐市建设路2号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办公地址：北京市西城区太平桥大街19号宏源证券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法定代表人：冯戎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电话：（010）88085858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传真：（010）88085195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客户服务电话：4008-000-562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网址：www.hysec.com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（12）名称：国金证券股份有限公司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法定代表人：冉云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电话：（028）86690057，（028）86690058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传真：（028）86690126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联系人：刘婧漪 贾鹏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网址：www.gjzq.com.cn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（13）名称：国泰海通证券股份有限公司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注册地址：中国（上海）自由贸易试验区商城路618号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办公地址：上海市静安区南京西路768号国泰君安大厦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联系电话：021-38676666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传真：021-38670666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联系人：邵亚杰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服务热线 : 95521 / 4008888666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网址：www.gtht.com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（14）名称：华宝证券股份有限公司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住所：中国上海市陆家嘴环路166号未来资产大厦27楼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办公地址：中国上海市浦东新区世纪大道100号上海环球金融中心57楼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陈林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电话：（021）68777222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传真：（021）68777822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客户服务电话：400-820-9898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网址：www.cnhbstock.com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（15）名称：中信证券股份有限公司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住所：广东省深圳市福田区中心三路8号卓越时代广场（二期）北座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办公地址：北京市朝阳区亮马桥路48号中信证券大厦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法定代表人：张佑君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（16）名称：中信证券（山东）有限责任公司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住所：青岛市崂山区深圳路222号1号楼2001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办公地址：青岛市市南区东海西路28号龙翔广场东座5层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法定代表人：肖海峰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电话：0531-89606166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传真：0532-85022605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联系人：赵如意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网址：sd.citics.com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（17）名称：中信证券华南股份有限公司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法定代表人：陈可可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电话：020-88836999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传真：020-88836984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联系人：郭杏燕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客服电话：（020）95396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网址：www.gzs.com.cn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（18）名称：长江证券股份有限公司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住所：武汉市新华路特8号长江证券大厦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办公地址：武汉市新华路特8号长江证券大厦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法定代表人：胡运钊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电话：（027）65799999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传真：（027）85481900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客户服务电话：95579或4008-888-999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网址：www.95579.com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（19）名称：华泰证券股份有限公司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住所：江苏省南京市江东中路228号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办公地址：江苏省南京市建邺区江东中路228号华泰证券广场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电话：（0755）82492193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传真：（0755）82492962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联系人：徐浩津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网址：www.htsc.com.cn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（20）名称：招商证券股份有限公司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办公地址：深圳市福田区益田路江苏大厦A座38-45层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法定代表人：朱江涛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电话：（0755）82943666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传真：（0755）82943636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联系人：黄婵君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客户服务电话：400-8888-111，95565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网址：www.newone.com.cn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（21）名称：中国银河证券股份有限公司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法定代表人：陈共炎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电话：010-83574507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联系人：辛国政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网址：www.chinastock.com.cn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（22）名称：西部证券股份有限公司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住所：陕西省西安市新城区东新街 319 号 8 幢 10000 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办公地址：陕西省西安市新城区东新街 319 号 8 幢 10000 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法定代表人：徐朝晖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电话：029-87211668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联系人：张吉安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网址：www.west95582.com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（23）名称：中国中金财富证券有限公司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办公地址：深圳市福田区益田路6003号荣超商务中心A栋第04、18层至21层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法定代表人：高涛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电话：（0755）88320851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联系人：胡芷境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客户服务电话：95532/400-600-8008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（24）名称：平安证券股份有限公司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住所：深圳市福田区金田路大中华国际交易广场裙楼8楼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办公地址：深圳市福田区金田路大中华国际交易广场裙楼8楼(518048)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法定代表人：杨宇翔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电话：（0755）22627802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传真：（0755）82400862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联系人：郑舒丽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（25）名称：东方证券股份有限公司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住所：上海市中山南路318号2号楼22层-29层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法定代表人：王益民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电话：（021）63325888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传真：（021）63326173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网址：www.dfzq.com.cn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（26）名称：国联民生证券股份有限公司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住所：江苏省无锡市金融一街8号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办公地址：江苏省无锡市金融一街8号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法定代表人：顾伟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联系电话：0510-82832051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传真：0510-82830162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网址：www.glsc.com.cn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（27）名称：民生证券股份有限公司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住所：北京市东城区建国门内大街28号民生金融中心A座16层--18层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办公地址：北京市东城区建国门内大街28号民生金融中心A座16层--18层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法定代表人：冯鹤年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电话：（010）85127561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传真：（010）85127641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联系人：周照清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网址：www.mszq.com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（28）名称：中航证券有限公司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法定代表人：杜航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电话：（0791）86768681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传真：（0791）86770178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联系人：戴蕾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客户服务电话：400-8895-335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网址：www.avicsec.com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（29）名称：中泰证券股份有限公司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电话：（0531）68889155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传真：（0531）68889752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联系人：许曼华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网址：www.zts.com.cn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（32）名称：南京苏宁基金销售有限公司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联系人：冯鹏鹏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网址：www.snjijin.com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（33）名称：上海大智慧基金销售有限公司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法定代表人：申健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电话：021-0219988-35374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传真：021-20219923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客户服务电话：021-20292031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网址：https://www.wg.com.cn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（37）名称：北京雪球基金销售有限公司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住所：北京市朝阳区创远路 34 号院6号楼15层1501室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办公地址：北京市朝阳区创远路 34 号院融新科技中心 C 座 17 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电话：（010）61840688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传真：（010）84997571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联系人：武安广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客户服务电话：400-1599-288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网址：danjuanfunds.com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（38）名称：北京度小满基金销售有限公司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注册地址：北京市海淀区西北旺东路10号院西区4号楼1层103室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法定代表人：葛新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办公地址：北京市海淀区西北旺东路10号院西区4号楼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机构联系人：王笑宇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联系人电话：010-59403028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联系人传真：010-59403027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客户服务电话：95055-4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公司网址：www.baiyingfund.com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（39）名称：中国人寿保险股份有限公司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住所：中国北京市西城区金融大街16号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办公地址：北京市西城区金融大街16号中国人寿广场A座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www.e-chinalife.com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（41）名称：上海长量基金销售有限公司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住所：上海市浦东新区高翔路526号2幢220室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办公地址：上海市浦东新区浦东大道555号裕景国际B座16层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法定代表人：张跃伟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电话：（021）20691832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传真：（021）20691861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联系人：单丙烨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客户服务电话：400-820-2899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网址：www.erichfund.com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（42）名称：北京创金启富基金销售有限公司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梁蓉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电话：010-66154828-8047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传真：010-63583991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魏素清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客户服务电话：010-66154828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https://www.5irich.com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（45）名称：济安财富（北京）基金销售有限公司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住所：北京市朝阳区太阳宫中路16号院1号楼10层1005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办公地址：北京市朝阳区太阳宫中路16号院1号楼11层1105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电话：010-65309516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传真：010-65330699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联系人：宋静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客户服务电话：400-673-7010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网址：www.jianfortune.com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（46）名称：大连网金基金销售有限公司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樊怀东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电话：（0411-39027810）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传真：（0411-39027835）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于秀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4000-899-100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网址：http://www.yibaijin.com/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（47）名称：上海好买基金销售有限公司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住所：上海市虹口区场中路685弄37号4号楼449室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办公地址：上海市浦东新区浦东南路1118号鄂尔多斯国际大厦903-906室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法定代表人：杨文斌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传真：（021）68596916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联系人：薛年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客户服务电话：400-700-9665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网址：www.howbuy.com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（48）名称：博时财富基金销售有限公司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法定代表人：王德英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客户服务电话：400-610-5568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网址：www.boserawealth.com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（49）名称：北京汇成基金销售有限公司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住所：北京市西城区宣武门外大街甲1号4层401-2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办公地址：北京市西城区宣武门外大街甲1号环球财讯中心D座4层401-2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法定代表人：王伟刚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电话：（010）56282140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传真：（010）62680827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客户服务电话：010-63158805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网址：www.hcfunds.co</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（50）名称：诺亚正行基金销售有限公司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住所:上海市虹口区飞虹路360弄9号3724室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办公地址:上海市杨浦区长阳路1687号长阳谷2号楼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法定代表：汪静波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电话：（021）80358523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传真：（021）80358749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客户服务电话：4008215399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网址：www.noah-fund.com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（51）名称：嘉实财富管理有限公司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办公地址及其联系方式：北京市朝阳区建国门外大街21号北京国际俱乐部C座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张峰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010-85097302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联系人：闫欢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客户服务电话：400-021-8850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公司网址：http://www.harvestwm.cn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（53）名称：泛华普益基金销售有限公司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住所：成都市成华区建设路9号高地中心1101室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办公地址：成都市金牛区花照壁西顺街399号1栋1单元龙湖西宸天街B座1201号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法定代表人：于海锋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电话：028-8661-6229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联系人：隋亚方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客户服务电话：400-080-3388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网址：https://www.puyifund.com/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（54）名称：和耕传承基金销售有限公司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法定代表人：温丽燕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电话：0371-85518395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传真：0371-85518397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联系人：胡静华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客户服务电话：4000555671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网址：www.hgccpb.com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（55）名称：上海中欧财富基金销售有限公司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住所：中国（上海）自由贸易试验区陆家嘴环路479号1008-1室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办公地址：上海市虹口区公平路18号嘉昱大厦6楼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电话：021-68609600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传真：021-33830351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刘弘义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客户服务电话：400-700-9700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公司网址：https://www.zocaifu.com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（56）名称：深圳众禄基金销售股份有限公司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电话：（0755）33227953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传真：（0755）33227951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联系人：汤素娅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客户服务电话：4006-788-887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网址：www.zlfund.cn，www.jjmmw.com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（57）名称：深圳前海微众银行股份有限公司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办公地址：广东省深圳市南山区沙河西路1819号深圳湾科技生态园7栋A座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法定代表人：顾敏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电话：15112686889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联系人：白冰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（58）名称：中信期货有限公司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电话：010-60833754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传真：021-60819988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联系人：刘宏莹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客服电话：400-990-8826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网站：www.citicsf.com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（59）名称：北京新浪仓石基金销售有限公司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电话：010-58982465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客服电话：010-6267 5369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网址：www.xincai.com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（60）名称：宜信普泽（北京）基金销售有限公司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法定代表人：汤蕾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电话：010-5090-5707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联系人：蒋凯帆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客户服务电话：400-6099-200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网址：http://www.puzefund.com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（61）名称：易方达财富管理基金销售（广州）有限公司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住所：广州市南沙区横沥镇期航二街2号101房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办公地址：广东省广州市天河区珠江东路30号广州银行大厦41楼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电话：020-85102688-7498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联系人：吕晋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客户服务电话：4001608888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网址：www.efundcf.com.cn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名称：中国证券登记结算有限责任公司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法定代表人：于文强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电话：（010）50938782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传真：（010）50938907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联系人：赵亦清</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联系人：丁媛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经办律师：黎明、丁媛</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名称：毕马威华振会计师事务所(特殊普通合伙)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住所：北京市东城区东长安街1号东方广场2座办公楼8层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办公地址：中国上海南京西路1266号恒隆广场2期25楼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执行事务合伙人：邹俊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电话：+86 (21) 2212 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传真：+86 (21) 6288 1889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联系人：侯雯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经办注册会计师：王国蓓、侯雯</w:t>
      </w:r>
    </w:p>
    <w:p>
      <w:pPr>
        <w:pStyle w:val="2"/>
        <w:snapToGrid w:val="0"/>
        <w:spacing w:before="240" w:beforeLines="0" w:after="0"/>
        <w:rPr>
          <w:rFonts w:ascii="宋体" w:hAnsi="宋体"/>
          <w:szCs w:val="30"/>
        </w:rPr>
      </w:pPr>
      <w:r>
        <w:br w:type="page"/>
      </w:r>
      <w:bookmarkStart w:id="14" w:name="_Toc256000006"/>
      <w:bookmarkStart w:id="15" w:name="_Toc256000032"/>
      <w:r>
        <w:rPr>
          <w:rFonts w:ascii="宋体" w:hAnsi="宋体"/>
          <w:sz w:val="30"/>
        </w:rPr>
        <w:t>六、基金的募集</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本基金由基金管理人依照《基金法》、《运作办法》、《销售办法》、基金合同及其他有关规定，并经中国证监会2016年3月1日证监许可[2016]393号文准予募集注册。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本基金为契约型开放式混合型基金。基金存续期间为不定期。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本基金募集期间基金份额净值为人民币1.00元，按初始面值发售。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本基金自2016年4月15日至2016年 4月19日进行发售，本基金设立募集期共募集500,085,413.82份基金份额，有效认购户数为258户。</w:t>
      </w:r>
    </w:p>
    <w:p>
      <w:pPr>
        <w:pStyle w:val="2"/>
        <w:snapToGrid w:val="0"/>
        <w:spacing w:before="240" w:beforeLines="0" w:after="0"/>
        <w:rPr>
          <w:rFonts w:ascii="宋体" w:hAnsi="宋体"/>
          <w:szCs w:val="30"/>
        </w:rPr>
      </w:pPr>
      <w:r>
        <w:br w:type="page"/>
      </w:r>
      <w:bookmarkStart w:id="16" w:name="_Toc256000007"/>
      <w:bookmarkStart w:id="17" w:name="_Toc256000033"/>
      <w:r>
        <w:rPr>
          <w:rFonts w:ascii="宋体" w:hAnsi="宋体"/>
          <w:sz w:val="30"/>
        </w:rPr>
        <w:t>七、基金合同的生效</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根据有关规定，本基金满足基金合同生效条件，基金合同已于2016年4月22日正式生效。自基金合同生效之日起，本基金管理人正式开始管理本基金。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法律法规另有规定时，从其规定。</w:t>
      </w:r>
    </w:p>
    <w:p>
      <w:pPr>
        <w:pStyle w:val="2"/>
        <w:snapToGrid w:val="0"/>
        <w:spacing w:before="240" w:beforeLines="0" w:after="0"/>
        <w:rPr>
          <w:rFonts w:ascii="宋体" w:hAnsi="宋体"/>
          <w:szCs w:val="30"/>
        </w:rPr>
      </w:pPr>
      <w:r>
        <w:br w:type="page"/>
      </w:r>
      <w:bookmarkStart w:id="18" w:name="_Toc256000008"/>
      <w:bookmarkStart w:id="19" w:name="_Toc256000034"/>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1、本基金管理人的直销机构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本基金直销机构为基金管理人以及基金管理人的网上直销交易平台。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2、除基金管理人之外的其他销售机构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本基金除基金管理人之外的其他销售机构参见本招募说明书“五、相关服务机构”章节或拨打本公司客户服务电话进行咨询。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2、申购、赎回开始日及业务办理时间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本基金已于2016年7月21日起开放申购、赎回业务。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3、最低保留余额的限制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4、申购和赎回的登记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本基金基金份额分为A类和C类基金份额。投资人申购A类基金份额支付申购费用，申购C类基金份额不支付申购费用，而是从该类别基金资产中计提销售服务费。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本基金A类基金份额的申购费用由A类基金份额申购人承担，不列入基金财产，主要用于本基金的市场推广、销售、登记等各项费用。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投资人可以多次申购本基金，申购费用按每笔申购申请单独计算。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本基金A类基金份额的申购费率如下：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1）全国社会保障基金；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2）可以投资基金的地方社会保障基金；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3）企业年金单一计划以及集合计划；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4）企业年金理事会委托的特定客户资产管理计划；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5）企业年金养老金产品。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通过基金管理人直销柜台申购本基金A类基金份额的养老金客户特定申购费率如下表：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（1）本基金A类基金份额的赎回费率如下：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0.75%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30日（含）—6个月</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6个月以上（含）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上表中的“月”指的是30个自然日。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（2）本基金C类基金份额的赎回费率如下：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7天（含）-30天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30天以上（含）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申购份额=（申购总金额-申购费用）/ T日A类基金份额净值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例一：某投资者（非养老金客户）投资100,000元申购本基金的A类基金份额，假设申购当日A类基金份额净值为1.0400元，申购费率为0.8%，则其可得到的申购份额为：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净申购金额=100,000/（1+0.8%）=99,206.35元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申购费用=100,000-99,206.35=793.65元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申购份额=（100,000-793.65）/1.0400=95,390.72份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即：某投资者（非养老金客户）投资100,000元申购本基金A类基金份额，假设申购当日A类基金份额净值为1.0400元，如果其选择申购A类基金份额，则其可得到95,390.72份A类基金份额。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例二：某养老金客户投资100,000元通过基金管理人的直销柜台申购本基金的A类基金份额，假设申购当日A类基金份额净值为1.0400元，申购费率为0.32%，则其可得到的申购份额为：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净申购金额=100,000/（1+0.32%）=99,681.02元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申购费用=100,000-99,681.02=318.98元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申购份额=（100,000-318.98）/1.0400=95,847.13份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即：该养老金客户投资100,000元通过基金管理人的直销柜台申购本基金的A类基金份额，假设申购当日A类基金份额净值为1.0400元，则其可得到95,847.13份A类基金份额。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赎回金额为按实际确认的有效赎回份额乘以当日各类基金份额净值并扣除相应的费用，赎回金额单位为元，计算结果保留到小数点后两位，第三位四舍五入，由此产生的收益或损失由基金财产承担。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如果投资者赎回A类基金份额，则赎回金额的计算方法如下：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例四：某投资者赎回持有的10,000份A类基金份额，持有时间为30日，对应的赎回费率为0.5%，假设赎回当日A类基金份额净值是1.0160元，则其可得到的赎回金额为：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 = 10,000×1.0160×0.5% ＝ 50.80元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 = 10,000×1.0160-50.80 ＝ 10,109.20元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即：投资者赎回本基金10,000份A类基金份额，持有时间为30日，对应的赎回费率为0.5%，假设赎回当日A类基金份额净值是1.0160元，则其可得到的赎回金额为10,109.20元。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例五：某投资者赎回持有的10,000份C类基金份额，持有时间为20日，对应的赎回费率为0.5%，假设赎回当日C类基金份额净值是1.0160元，则其可得到的赎回金额为：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 = 10,000×1.0160×0.5% ＝ 50.80元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 = 10,000×1.0160-50.80＝ 10,109.20元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即：投资者赎回本基金10,000份C类基金份额，持有时间为20日，对应的赎回费率为0.5%，假设赎回当日C类基金份额净值是1.0160元，则其可得到的赎回金额为10,109.20元。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9、基金合同约定、法律法规规定或中国证监会认定的其他情形。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1、因不可抗力导致基金管理人不能支付赎回款项。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5、继续接受赎回申请将损害现有基金份额持有人利益的情形时，可暂停接受投资人的赎回申请。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7、基金合同约定、法律法规规定或中国证监会认定的其他情形。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2、暂停结束，基金重新开放申购或赎回时，基金管理人应依照《信息披露办法》的有关规定，不迟于重新开放日，在指定媒介上刊登基金重新开放申购或赎回公告，并公布最近一个开放日的基金份额净值。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本基金2016年7月18日刊登公告自2016年7月21日起开通定期定额投资计划业务，具体开通销售机构名单和业务规则参见相关公告。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（十六）基金上市交易和场内申购赎回业务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（十七）基金份额的转让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2"/>
        <w:snapToGrid w:val="0"/>
        <w:spacing w:before="240" w:beforeLines="0" w:after="0"/>
        <w:rPr>
          <w:rFonts w:ascii="宋体" w:hAnsi="宋体"/>
          <w:szCs w:val="30"/>
        </w:rPr>
      </w:pPr>
      <w:r>
        <w:br w:type="page"/>
      </w:r>
      <w:bookmarkStart w:id="20" w:name="_Toc256000009"/>
      <w:bookmarkStart w:id="21" w:name="_Toc256000035"/>
      <w:r>
        <w:rPr>
          <w:rFonts w:ascii="宋体" w:hAnsi="宋体"/>
          <w:sz w:val="30"/>
        </w:rPr>
        <w:t>九、基金的转换</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2020年5月26日刊登公告自2020年5月28日起开放日常转换业务。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本基金转换业务具体开通销售机构名单参见相关公告。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1、申请方式：书面申请或销售机构公布的其他方式。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2、基金转换申请的确认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2、转出基金的赎回费用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4、后端收费模式下转出与转入基金的申购补差费用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5、网上直销的申购补差费率优惠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1、前端收费模式下基金转换份额的计算公式及举例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转出确认金额=100,000×1.0100=101,000元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转出基金的赎回费=101,000×0.5%=505元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转入确认金额=101,000-505=100,495元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转出与转入基金的申购补差费=100,495×0/（1+0）=0元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转入基金确认份额=（100,495-0）/2.2700=44,270.93份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转出确认金额=1,000,000×1.0200=1,020,000元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转出基金的赎回费=1,020,000×0.05%=510元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转入确认金额=1,020,000-510=1,019,490元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转出与转入基金的申购补差费=1,019,490×0.5%/（1+0.5%）=5,072.09元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转入基金确认份额=（1,019,490-5,072.09）/1.0100=1,004,374.17份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转出与转入基金的申购补差费=125,000×1.5%/（1+1.5%）=1,847.29元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转入基金确认份额=（125,000-1,847.29）/2.2700=54,252.30份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转出与转入基金的申购补差费=100,000×0.8%/（1+0.8%）=793.65元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转入基金确认份额=（100,000-793.65+61.52）/1.2700=78,163.68份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2、后端收费模式下基金转换份额的计算公式及举例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转入基金确认份额=（124,750-0）/2.2700=54,955.95份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转出与转入基金的申购补差费=124,750×1.2%=1497元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转入基金确认份额=（124,750-1497）/1.00=123,253.00份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转出确认金额=100,000×0.8500=85,000元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转出基金的赎回费=85,000×0=0元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转入确认金额=85,000-0=85,000元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转出与转入基金的申购补差费=85,000×0.2%=170元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转入基金确认份额=（85,000-170）/1.0500=80,790.48份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转入基金确认份额=（100,000-0+61.52）/1.2700=78,788.60份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2"/>
        <w:snapToGrid w:val="0"/>
        <w:spacing w:before="240" w:beforeLines="0" w:after="0"/>
        <w:rPr>
          <w:rFonts w:ascii="宋体" w:hAnsi="宋体"/>
          <w:szCs w:val="30"/>
        </w:rPr>
      </w:pPr>
      <w:r>
        <w:br w:type="page"/>
      </w:r>
      <w:bookmarkStart w:id="22" w:name="_Toc256000010"/>
      <w:bookmarkStart w:id="23" w:name="_Toc256000036"/>
      <w:r>
        <w:rPr>
          <w:rFonts w:ascii="宋体" w:hAnsi="宋体"/>
          <w:sz w:val="30"/>
        </w:rPr>
        <w:t>十、基金的投资</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本基金在控制风险并保持基金资产良好的流动性的前提下，通过灵活的资产配置策略和积极主动的投资管理，力争为投资者提供长期稳健的投资回报。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1、大类资产配置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2、股票投资策略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（1）行业选择和配置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（2）个股精选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本基金在前述行业优选的基础上，根据下述标准挑选出其中具有投资潜力的上市公司构建股票池并从中精选个股，且需满足以下要求：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1）主业清晰并在产品、技术、营销、营运、成本控制等某一方面具有较强竞争优势，销售收入或利润超过行业平均水平；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2）根据波特五要素分析，行业发展环境良好；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3）具有较强或可预期的盈利增长前景；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4）盈利质量较高，经营性现金流加投资收益应该超过净利润（特殊理由除外）；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5）较好的公司治理结构，财务报表和信息披露较为透明、规范；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6）股票估值具有吸引力，或符合一定时期内的投资主题。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对上述重点上市公司进行内在价值的评估和成长性跟踪研究，在明确的价值评估基础上精选优秀质地的投资标的构建股票组合。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本基金投资存托凭证的策略依照境内上市交易的股票投资策略执行。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（1）久期管理策略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（2）债券的类属配置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（3）收益率曲线配置策略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本基金将通过预期收益率曲线形态变化来调整投资组合的头寸。在考察收益率曲线的基础上，将确定采用子弹策略、哑铃策略或梯形策略等，以从收益率曲线的形变中获利。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（4）杠杆放大策略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当回购利率低于债券收益率时，本基金将通过正回购融入资金并投资于信用债券等可投资标的，从而获取收益率超出回购资金成本（即回购利率）的套利价值。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（5）信用债券投资策略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（6）资产支持证券（含资产收益计划）投资策略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（7）可转换债券投资策略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（8）中小企业私募债券投资策略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4、权证投资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5、股指期货投资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（1）股票资产（含存托凭证）占基金资产的0%-95%，股票资产按照基金所持有的股票市值以及买入、卖出股指期货合约价值合计（轧差计算)；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（2）每个交易日日终在扣除股指期货合约需缴纳的交易保证金后，保持不低于基金资产净值5％的现金或者到期日在一年以内的政府债券，其中现金不包括结算备付金、存出保证金、应收申购款等；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（3）本基金持有一家公司发行的证券，其市值不超过基金资产净值的10%；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（4）本基金管理人管理的全部基金持有一家公司发行的证券，不超过该证券的10%；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（5）本基金持有的全部权证，其市值不得超过基金资产净值的3%；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（6）本基金管理人管理的全部基金持有的同一权证，不得超过该权证的10%；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（7）本基金在任何交易日买入权证的总金额，不得超过上一交易日基金资产净值的0.5%；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（14）本基金进入全国银行间同业市场进行债券回购的资金余额不得超过基金资产净值的40%，本基金在全国银行间同业市场中的债券回购最长期限为1 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（15）本基金若投资股指期货，则：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3）本基金在任何交易日日终，持有的卖出期货合约价值不得超过基金持有的股票总市值的20%；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4）本基金所持有的股票市值和买入、卖出股指期货合约价值，合计（轧差计算）应当符合基金合同关于股票投资比例的有关约定，即占基金资产的0%-95%；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（16）本基金的基金资产总值不得超过基金资产净值的140%；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（17）本基金持有单只中小企业私募债券，其市值不得超过基金资产净值的10%；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本基金业绩比较基准：沪深300指数收益率×75%+中债-国债总全价(1-3年)指数收益率×25%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1、业绩比较基准设定的原因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于基金投资范围以及预期投资的主要资产类别，本基金主要投资于股票、债券等资产，相应选取与之匹配的股票指数、债券指数作为基准要素。同时基于基金投资股票资产（含存托凭证）占基金资产的比例为0%-95%等投资比例限制，以及预期的资产配置比例，本基金将股票资产与债券资产所对应的基准要素权重分别设置为75%与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全价(1-3年)指数作为债券部分的业绩比较基准要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中债-国债总全价(1-3年)指数隶属于中债-国债总指数，该指数成份券由在境内公开发行且上市流通的记账式国债组成，成份券待偿期在1-3年（含1年），适合作为本基金债券部分的业绩比较基准要素。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综上，本基金选取的业绩比较基准与基金投资目标、投资范围、投资策略、投资比例限制相匹配。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2、业绩比较基准要素的基本信息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沪深300指数由中证指数有限公司编制发布，指数代码为000300，指数具体信息详见中证指数有限公司网站，网址：www.csindex.com.cn。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中债-国债总全价(1-3年)指数由中债金融估值中心有限公司编制发布，指数代码为CBA00623，指数具体信息详见中国债券信息网，网址：www.chinabond.com.cn。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3、业绩比较基准的计算方法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业绩比较基准收益率的计算方法以每日收益率为基础，以时间加权为计算原则。本基金先分别计算业绩比较基准中沪深300指数、中债-国债总全价(1-3年)指数的每日收益率，再按照预设权重比例计算当日组合要素基准的日收益率，并连乘每日收益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4、管理投资偏离业绩比较基准的定性或定量方法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5、未来可能变更业绩比较基准的情况和程序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（2）调整业绩比较基准的要素权重、更换相同或相近特征的要素等，使新业绩比较基准代表性更强，且符合相关法律法规规定的；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（3）中国证监会认可的其他情形。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业绩比较基准变更涉及以下情形的，基金管理人应当按照规定履行变更注册、召开基金份额持有人大会等程序，法律法规、中国证监会另有规定的除外：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（1）基金投资目标、投资范围、投资策略、投资比例等拟进行重大调整，并变更业绩比较基准的；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（2）其他对基金份额持有人利益产生重大实质性影响的情形。</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（七）基金管理人代表基金行使股东及债权人权利的处理原则及方法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1、基金管理人按照国家有关规定代表基金独立行使股东及债权人权利，保护基金份额持有人的利益；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2、不谋求对上市公司的控股，不参与所投资上市公司的经营管理；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基金托管人中信银行股份有限公司根据本基金合同约定，于2026年07月17日复核了本报告中的财务指标、净值表现和投资组合报告等内容，保证复核内容不存在虚假记载、误导性陈述或者重大遗漏。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8,728,223,526.56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82.75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8,728,223,526.56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82.75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544,914,263.04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544,914,263.04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445,000,000.00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577,007,463.14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253,047,318.62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10,548,192,571.36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报告期末按行业分类的境内股票投资组合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36,149.82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7,884,541,073.45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80.63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1,583.46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843,642,275.85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2,443.98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8,728,223,526.56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89.26</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报告期末按行业分类的港股通投资股票投资组合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报告期末按公允价值占基金资产净值比例大小排序的前十名股票投资明细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中际旭创</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687,607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873,260,890.00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300502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新易盛</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1,434,976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871,030,432.00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002371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北方华创</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958,400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847,762,304.00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688256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寒武纪</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528,747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843,642,275.85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天孚通信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2,510,392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759,845,450.56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7.77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301526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国际复材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10,692,115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499,001,007.05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拓荆科技</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540,458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475,349,024.74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002156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通富微电</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5,740,592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435,538,715.04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4.45</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688041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海光信息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899,133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332,948,949.90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688012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中微公司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691,593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324,011,320.50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543,373,916.35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5.56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1,540,346.69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544,914,263.04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5.57</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019785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25国债13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3,181,240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322,140,468.04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019835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938,200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93,974,404.58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0.96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661,000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66,528,454.77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019792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25国债19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601,000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60,730,588.96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珂玛转债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1,540,346.69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9、报告期末本基金投资的股指期货交易情况说明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报告期末本基金投资的股指期货持仓和损益明细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本基金投资股指期货的投资政策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2,017,747.86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251,029,570.76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253,047,318.62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11.4 报告期末持有的处于转股期的可转换债券明细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11.5 报告期末前十名股票中存在流通受限情况的说明</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流通受限部分的公允价值（元）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流通受限情况说明</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拓荆科技</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475,349,024.74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重大事项</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4" w:name="_Toc256000037"/>
      <w:bookmarkStart w:id="25" w:name="_Toc256000011"/>
      <w:r>
        <w:rPr>
          <w:rFonts w:ascii="宋体" w:hAnsi="宋体"/>
          <w:sz w:val="30"/>
        </w:rPr>
        <w:t>十一、基金的业绩</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（1）交银优择回报灵活配置混合A</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99.81%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2.90%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93.58%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2.27%</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109.59%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4.37%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105.22%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2.18%</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141.27%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7.94%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133.33%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1.96%</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10.35%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-7.53%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-0.38%</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-4.68%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4.61%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-10.80%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-0.39%</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8.54%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9.75%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-0.38%</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15.55%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13.50%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8.53%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-9.46%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4.41%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-11.02%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15.43%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6.07%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8.60%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-2.53%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2016年度（自基金合同生效起至2016年12月31日）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-0.36%</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（2）交银优择回报灵活配置混合C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99.71%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2.90%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93.48%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2.27%</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109.38%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4.37%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105.01%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2.18%</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140.77%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7.94%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132.83%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1.96%</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2.67%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10.35%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-7.68%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-0.38%</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-4.68%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4.39%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-10.80%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8.25%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9.46%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13.50%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8.34%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-9.65%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6.01%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-11.02%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17.03%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5.78%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8.60%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2016年度（自基金合同生效起至2016年12月31日）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-0.35%</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注：本基金的业绩比较基准为沪深300指数收益率×75%+中债-国债总全价(1-3年)指数收益率×25%，每日进行再平衡过程。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交银施罗德优择回报灵活配置混合型证券投资基金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(2016年04月22日至2026年06月30日)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（1）交银优择回报灵活配置混合A</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5" o:spt="75" type="#_x0000_t75" style="height:268.25pt;width:439.5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（2）交银优择回报灵活配置混合C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o:spt="75" type="#_x0000_t75" style="height:268.25pt;width:439.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注：本基金建仓期为自基金合同生效日起的6个月。截至建仓期结束，本基金各项资产配置比例符合基金合同及招募说明书有关投资比例的约定。</w:t>
      </w:r>
    </w:p>
    <w:p>
      <w:pPr>
        <w:pStyle w:val="2"/>
        <w:snapToGrid w:val="0"/>
        <w:spacing w:before="240" w:beforeLines="0" w:after="0"/>
        <w:rPr>
          <w:rFonts w:ascii="宋体" w:hAnsi="宋体"/>
          <w:szCs w:val="30"/>
        </w:rPr>
      </w:pPr>
      <w:r>
        <w:br w:type="page"/>
      </w:r>
      <w:bookmarkStart w:id="26" w:name="_Toc256000038"/>
      <w:bookmarkStart w:id="27" w:name="_Toc256000012"/>
      <w:r>
        <w:rPr>
          <w:rFonts w:ascii="宋体" w:hAnsi="宋体"/>
          <w:sz w:val="30"/>
        </w:rPr>
        <w:t>十二、基金的财产</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基金资产总值是指基金拥有的各类有价证券、股指期货合约、银行存款本息、基金应收申购款及其他资产的价值总和。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pStyle w:val="2"/>
        <w:snapToGrid w:val="0"/>
        <w:spacing w:before="240" w:beforeLines="0" w:after="0"/>
        <w:rPr>
          <w:rFonts w:ascii="宋体" w:hAnsi="宋体"/>
          <w:szCs w:val="30"/>
        </w:rPr>
      </w:pPr>
      <w:r>
        <w:br w:type="page"/>
      </w:r>
      <w:bookmarkStart w:id="28" w:name="_Toc256000039"/>
      <w:bookmarkStart w:id="29" w:name="_Toc256000013"/>
      <w:r>
        <w:rPr>
          <w:rFonts w:ascii="宋体" w:hAnsi="宋体"/>
          <w:sz w:val="30"/>
        </w:rPr>
        <w:t>十三、基金资产的估值</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基金所拥有的股票、债券、衍生工具和其它投资等持续以公允价值计量的金融资产及负债。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（3）当投资品种不存在活跃市场，采用市场参与者普遍认同，且被以往市场实际交易价格验证具有可靠性的估值技术，确定投资品种的公允价值。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（4）如有充足理由认为按原有方法进行估值不能客观反映上述资产或负债公允价值的，基金管理人可根据具体情况与基金托管人商定后，按最能反映公允价值的方法估值。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（6）存在相关法律法规以及监管部门有相关规范的，从其规定。如有新增事项，按监管部门最新规定估值。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基金管理人于每个工作日分别计算A类基金份额、C类基金份额的基金资产净值及基金份额净值，并按规定公告。如遇特殊情况，经中国证监会同意，可以适当延迟计算或公告。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（4）估值错误调整采用尽量恢复至假设未发生估值错误的正确情形的方式。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（5）按法律法规规定的其他原则处理估值错误。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估值错误被发现后，有关的当事人应当及时进行处理，处理的程序如下：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4、基金份额净值估值错误处理的方法如下：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（3）前述内容如法律法规或监管机关另有规定的，从其规定处理。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3、占基金相当比例的投资品种的估值出现重大转变，而基金管理人为保障基金份额持有人的利益，决定延迟估值；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1、基金管理人或基金托管人按估值方法的第（4）项进行估值时，所造成的误差不作为基金资产估值错误处理。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pPr>
        <w:pStyle w:val="2"/>
        <w:snapToGrid w:val="0"/>
        <w:spacing w:before="240" w:beforeLines="0" w:after="0"/>
        <w:rPr>
          <w:rFonts w:ascii="宋体" w:hAnsi="宋体"/>
          <w:szCs w:val="30"/>
        </w:rPr>
      </w:pPr>
      <w:r>
        <w:br w:type="page"/>
      </w:r>
      <w:bookmarkStart w:id="30" w:name="_Toc256000014"/>
      <w:bookmarkStart w:id="31" w:name="_Toc256000040"/>
      <w:r>
        <w:rPr>
          <w:rFonts w:ascii="宋体" w:hAnsi="宋体"/>
          <w:sz w:val="30"/>
        </w:rPr>
        <w:t>十四、基金收益与分配</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1、若《基金合同》生效不满3个月可不进行收益分配；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4、由于本基金A类基金份额不收取销售服务费，C类基金份额收取销售服务费，各基金份额类别对应的可供分配利润将有所不同，本基金同一类别的每份基金份额享有同等分配权；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本基金收益分配方案由基金管理人拟定，并由基金托管人复核，依照《信息披露办法》的有关规定在指定媒介公告。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基金红利发放日距离收益分配基准日（即可供分配利润计算截止日）的时间不得超过15个工作日。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投资人同一日多次申报收益分配方式变更的，按照《业务规则》执行，最终确认的收益分配方式以登记机构记录为准。</w:t>
      </w:r>
    </w:p>
    <w:p>
      <w:pPr>
        <w:pStyle w:val="2"/>
        <w:snapToGrid w:val="0"/>
        <w:spacing w:before="240" w:beforeLines="0" w:after="0"/>
        <w:rPr>
          <w:rFonts w:ascii="宋体" w:hAnsi="宋体"/>
          <w:szCs w:val="30"/>
        </w:rPr>
      </w:pPr>
      <w:r>
        <w:br w:type="page"/>
      </w:r>
      <w:bookmarkStart w:id="32" w:name="_Toc256000015"/>
      <w:bookmarkStart w:id="33" w:name="_Toc256000041"/>
      <w:r>
        <w:rPr>
          <w:rFonts w:ascii="宋体" w:hAnsi="宋体"/>
          <w:sz w:val="30"/>
        </w:rPr>
        <w:t>十五、基金的费用与税收</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3、《基金合同》生效后与基金相关的信息披露费用；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4、《基金合同》生效后与基金相关的会计师费、律师费和诉讼费；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6、基金的证券、期货交易费用；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7、基金的银行汇划费用；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8、基金的开户费用、账户维护费用；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9、本基金从C类基金份额的基金财产中计提的销售服务费；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10、按照国家有关规定和《基金合同》约定，可以在基金财产中列支的其他费用。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本基金的管理费按前一日基金资产净值的0.6%年费率计提。管理费的计算方法如下：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H＝E×0.6%÷当年天数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本基金的托管费按前一日基金资产净值的0.2%的年费率计提。托管费的计算方法如下：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H＝E×0.2%÷当年天数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本基金A类基金份额不收取销售服务费，C类基金份额的销售服务费按前一日C类基金资产净值的0.2%年费率计提。计算方法如下：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H=E×0.2%÷当年天数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下列费用不列入基金费用：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2、基金管理人和基金托管人处理与基金运作无关的事项发生的费用；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3、《基金合同》生效前的相关费用；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4、其他根据相关法律法规及中国证监会的有关规定不得列入基金费用的项目。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本基金运作过程中涉及的各纳税主体，其纳税义务按国家税收法律、法规执行。</w:t>
      </w:r>
    </w:p>
    <w:p>
      <w:pPr>
        <w:pStyle w:val="2"/>
        <w:snapToGrid w:val="0"/>
        <w:spacing w:before="240" w:beforeLines="0" w:after="0"/>
        <w:rPr>
          <w:rFonts w:ascii="宋体" w:hAnsi="宋体"/>
          <w:szCs w:val="30"/>
        </w:rPr>
      </w:pPr>
      <w:r>
        <w:br w:type="page"/>
      </w:r>
      <w:bookmarkStart w:id="34" w:name="_Toc256000016"/>
      <w:bookmarkStart w:id="35" w:name="_Toc256000042"/>
      <w:r>
        <w:rPr>
          <w:rFonts w:ascii="宋体" w:hAnsi="宋体"/>
          <w:sz w:val="30"/>
        </w:rPr>
        <w:t>十六、基金的会计与审计</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1、基金管理人为本基金的基金会计责任方；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2、基金的会计年度为公历年度的1月1日至12月31日；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3、基金管理人认为有充足理由更换会计师事务所，须通报基金托管人。更换会计师事务所需依照《信息披露办法》的有关规定在指定媒介公告。</w:t>
      </w:r>
    </w:p>
    <w:p>
      <w:pPr>
        <w:pStyle w:val="2"/>
        <w:snapToGrid w:val="0"/>
        <w:spacing w:before="240" w:beforeLines="0" w:after="0"/>
        <w:rPr>
          <w:rFonts w:ascii="宋体" w:hAnsi="宋体"/>
          <w:szCs w:val="30"/>
        </w:rPr>
      </w:pPr>
      <w:r>
        <w:br w:type="page"/>
      </w:r>
      <w:bookmarkStart w:id="36" w:name="_Toc256000043"/>
      <w:bookmarkStart w:id="37" w:name="_Toc256000017"/>
      <w:r>
        <w:rPr>
          <w:rFonts w:ascii="宋体" w:hAnsi="宋体"/>
          <w:sz w:val="30"/>
        </w:rPr>
        <w:t>十七、基金的信息披露</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（一）本基金的信息披露应符合《基金法》、《运作办法》、《信息披露办法》、《流动性规定》、《基金合同》及其他有关规定。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1、基金招募说明书、《基金合同》、基金托管协议、基金产品资料概要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基金管理人应当就基金份额发售的具体事宜编制基金份额发售公告，并在披露招募说明书的当日登载于指定媒介上。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基金管理人应当在收到中国证监会确认文件的次日在指定媒介上登载《基金合同》生效公告。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《基金合同》生效后，在开始办理基金份额申购或者赎回前，基金管理人应当至少每周在指定网站披露一次A类基金份额和C类基金份额所对应的基金份额净值和基金份额累计净值。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开始办理基金份额申购或者赎回后，基金管理人应当在不晚于每个开放日的次日，通过指定网站、销售机构网站或者营业网点披露开放日的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基金管理人应当在不晚于半年度和年度最后一日的次日，在指定网站披露半年度和年度最后一日的A类基金份额和C类基金份额所对应的基金份额净值和基金份额累计净值。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6、基金定期报告，包括基金年度报告、基金中期报告和基金季度报告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7、临时报告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本基金发生重大事件，有关信息披露义务人应当在2日内编制临时报告书，并登载在指定报刊和指定网站上。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（16）任一类基金份额净值计价错误达该类基金份额净值百分之零点五；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（八）本基金信息披露事项以法律法规规定及本章节约定的内容为准。</w:t>
      </w:r>
    </w:p>
    <w:p>
      <w:pPr>
        <w:pStyle w:val="2"/>
        <w:snapToGrid w:val="0"/>
        <w:spacing w:before="240" w:beforeLines="0" w:after="0"/>
        <w:rPr>
          <w:rFonts w:ascii="宋体" w:hAnsi="宋体"/>
          <w:szCs w:val="30"/>
        </w:rPr>
      </w:pPr>
      <w:r>
        <w:br w:type="page"/>
      </w:r>
      <w:bookmarkStart w:id="38" w:name="_Toc256000018"/>
      <w:bookmarkStart w:id="39" w:name="_Toc256000044"/>
      <w:r>
        <w:rPr>
          <w:rFonts w:ascii="宋体" w:hAnsi="宋体"/>
          <w:sz w:val="30"/>
        </w:rPr>
        <w:t>十八、风险揭示</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（五）本基金投资策略所特有的风险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（2）流动性风险是指由于股指期货合约无法及时变现所带来的风险。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（5）信用风险是指期货经纪公司违约而产生损失的风险。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（七）基金合同提前终止风险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（八）投资科创板股票的特定风险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（3）退市风险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科创板退市制度较主板更为严格，退市时间更短，退市速度更快；退市情形更多，新增市值低于规定标准、上市公司信息披露或者规范运作存在重大缺陷导致退市的情形；执行标准更严，明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（4）系统性风险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（5）政策风险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（九）投资存托凭证的特定风险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（十一）其他风险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0" w:name="_Toc256000019"/>
      <w:bookmarkStart w:id="41" w:name="_Toc256000045"/>
      <w:r>
        <w:rPr>
          <w:rFonts w:ascii="宋体" w:hAnsi="宋体"/>
          <w:sz w:val="30"/>
        </w:rPr>
        <w:t>十九、基金合同的变更、终止与基金财产的清算</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3、连续60个工作日出现基金份额持有人数量不满200人或者基金资产净值低于5000万元情形的；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pStyle w:val="2"/>
        <w:snapToGrid w:val="0"/>
        <w:spacing w:before="240" w:beforeLines="0" w:after="0"/>
        <w:rPr>
          <w:rFonts w:ascii="宋体" w:hAnsi="宋体"/>
          <w:szCs w:val="30"/>
        </w:rPr>
      </w:pPr>
      <w:r>
        <w:br w:type="page"/>
      </w:r>
      <w:bookmarkStart w:id="42" w:name="_Toc256000020"/>
      <w:bookmarkStart w:id="43" w:name="_Toc256000046"/>
      <w:r>
        <w:rPr>
          <w:rFonts w:ascii="宋体" w:hAnsi="宋体"/>
          <w:sz w:val="30"/>
        </w:rPr>
        <w:t>二十、基金合同内容摘要</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（1）根据《基金法》、《运作办法》及其他有关规定，基金管理人的权利包括但不限于：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2）自《基金合同》生效之日起，根据法律法规和《基金合同》独立运用并管理基金财产；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4）销售基金份额；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8）选择、更换基金销售机构，对基金销售机构的相关行为进行监督和处理；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10）依据《基金合同》及有关法律规定决定基金收益的分配方案；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11）在《基金合同》约定的范围内，拒绝或暂停受理申购与赎回申请；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13）在法律法规允许的前提下，为基金的利益依法为基金进行融资；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（2）根据《基金法》、《运作办法》及其他有关规定，基金管理人的义务包括但不限于：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3）自《基金合同》生效之日起，以诚实信用、谨慎勤勉的原则管理和运用基金财产；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14）按规定受理申购与赎回申请，及时、足额支付赎回款项；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（1）根据《基金法》、《运作办法》及其他有关规定，基金托管人的权利包括但不限于：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1）自《基金合同》生效之日起，依法律法规和《基金合同》的规定安全保管基金财产；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4）根据相关市场规则，为基金开设资金账户、证券账户等投资所需账户、协助开立股指期货业务相关账户及交易编码、为基金办理证券、期货交易资金清算；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5）提议召开或召集基金份额持有人大会；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6）在基金管理人更换时，提名新的基金管理人；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（2）根据《基金法》、《运作办法》及其他有关规定，基金托管人的义务包括但不限于：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1）以诚实信用、勤勉尽责的原则持有并安全保管基金财产；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6）按规定开设基金财产的资金账户和证券账户等投资所需账户，协助开立股指期货业务相关账户及交易编码，按照《基金合同》的约定，根据基金管理人的投资指令，及时办理清算、交割事宜；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8）复核、审查基金管理人计算的基金净值信息、基金份额申购、赎回价格；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11）保存基金托管业务活动的记录、账册、报表和其他相关资料15年以上；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16）按照法律法规和《基金合同》的规定监督基金管理人的投资运作；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同一类别每份基金份额具有同等的合法权益。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（1）根据《基金法》、《运作办法》及其他有关规定，基金份额持有人的权利包括但不限于：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3）依法并按照基金合同和招募说明书的规定申请赎回或转让其持有的基金份额；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4）按照规定要求召开基金份额持有人大会或者召集基金份额持有人大会；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（2）根据《基金法》、《运作办法》及其他有关规定，基金份额持有人的义务包括但不限于：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1）认真阅读并遵守《基金合同》、招募说明书等信息披露文件；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3）关注基金信息披露，及时行使权利和履行义务；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4）缴纳基金认购、申购款项及法律法规和《基金合同》所规定的费用；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5）在其持有的基金份额范围内，承担基金亏损或者《基金合同》终止的有限责任；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6）不从事任何有损基金及其他《基金合同》当事人合法权益的活动；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8）返还在基金交易过程中因任何原因获得的不当得利；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9）遵守基金管理人、基金托管人、销售机构和登记机构的相关交易及业务规则；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本基金份额持有人大会不设日常机构。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2）更换基金管理人；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3）更换基金托管人；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5）提高基金管理人、基金托管人的报酬标准和提高销售服务费；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8）变更基金投资目标、范围或策略；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10）基金管理人或基金托管人要求召开基金份额持有人大会；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12）对基金合同当事人权利和义务产生重大影响的其他事项；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（2）以下情况可由基金管理人和基金托管人协商后修改，不需召开基金份额持有人大会：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1）调低基金管理费、基金托管费、销售服务费和其他应由本基金或基金份额持有人承担的费用；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2）法律法规要求增加的基金费用的收取；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3）在法律法规和《基金合同》规定的范围内且在对现有基金份额持有人利益无实质性不利影响的前提下调整本基金的申购费率、调低赎回费率、变更或增加收费方式、调整基金份额类别；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6）在法律法规允许及对基金份额持有人利益无实质性不利影响的前提下，基金推出新业务或服务；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8）按照法律法规和《基金合同》规定不需召开基金份额持有人大会的以外的其他情形。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（2）基金管理人未按规定召集或不能召集时，由基金托管人召集；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（1）召开基金份额持有人大会，召集人应于会议召开前30日，在指定媒介公告。基金份额持有人大会通知应至少载明以下内容：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2）会议拟审议的事项、议事程序和表决方式；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3）有权出席基金份额持有人大会的基金份额持有人的权益登记日；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5）会务常设联系人姓名及联系电话；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在同时符合以下条件时，通讯开会的方式视为有效：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基金份额持有人所持每份基金份额有一票表决权。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8、生效与公告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基金份额持有人大会的决定的事项自表决通过之日起生效，召集人应当自通过之日起5日内报中国证监会备案。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（3）连续60个工作日出现基金份额持有人数量不满200人或者基金资产净值低于5000万元情形的；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（五）基金合同存放地及投资者取得基金合同的方式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《基金合同》可印制成册，供投资者在基金管理人、基金托管人、销售机构的办公场所和营业场所查阅，但应以《基金合同》正本为准。</w:t>
      </w:r>
    </w:p>
    <w:p>
      <w:pPr>
        <w:pStyle w:val="2"/>
        <w:snapToGrid w:val="0"/>
        <w:spacing w:before="240" w:beforeLines="0" w:after="0"/>
        <w:rPr>
          <w:rFonts w:ascii="宋体" w:hAnsi="宋体"/>
          <w:szCs w:val="30"/>
        </w:rPr>
      </w:pPr>
      <w:r>
        <w:br w:type="page"/>
      </w:r>
      <w:bookmarkStart w:id="44" w:name="_Toc256000047"/>
      <w:bookmarkStart w:id="45" w:name="_Toc256000021"/>
      <w:r>
        <w:rPr>
          <w:rFonts w:ascii="宋体" w:hAnsi="宋体"/>
          <w:sz w:val="30"/>
        </w:rPr>
        <w:t>二十一、托管协议的内容摘要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批准设立文号：证监基金字[2005]128号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经营范围：基金募集、基金销售、资产管理和中国证监会许可的其它业务。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法定代表人：李庆萍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成立时间：1987年4月20日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批准设立文号：国办函[1987]14号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基金托管业务批准文号：证监基金字[2004]125号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注册资本：489.35亿元人民币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相关部门批准后依批准的内容开展经营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1、基金托管人对基金管理人的投资行为行使监督权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本基金各类资产的投资比例范围为：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1）股票资产（含存托凭证）占基金资产的0%-95%，股票资产按照基金所持有的股票市值以及买入、卖出股指期货合约价值合计（轧差计算)；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2）每个交易日日终在扣除股指期货合约需缴纳的交易保证金后，保持不低于基金资产净值5％的现金或者到期日在一年以内的政府债券，其中现金不包括结算备付金、存出保证金、应收申购款等；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3）本基金持有一家公司发行的证券，其市值不超过基金资产净值的10%；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4）本基金管理人管理的全部基金持有一家公司发行的证券，不超过该证券的10%；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5）本基金持有的全部权证，其市值不得超过基金资产净值的3%；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6）本基金管理人管理的全部基金持有的同一权证，不得超过该权证的10%；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7）本基金在任何交易日买入权证的总金额，不得超过上一交易日基金资产净值的0.5%；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14）本基金进入全国银行间同业市场进行债券回购的资金余额不得超过基金资产净值的40%，本基金在全国银行间同业市场中的债券回购最长期限为1 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15）本基金若投资股指期货，则：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c）本基金在任何交易日日终，持有的卖出期货合约价值不得超过基金持有的股票总市值的20%；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d）本基金所持有的股票市值和买入、卖出股指期货合约价值，合计（轧差计算）应当符合基金合同关于股票投资比例的有关约定，即占基金资产的0%-95%；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16）本基金的基金资产总值不得超过基金资产净值的140%；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17）本基金持有单只中小企业私募债券，其市值不得超过基金资产净值的10%；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18）本基金持有的同一流通受限证券，其公允价值不得超过基金资产净值的10%；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根据法律法规的规定及基金合同的约定，本基金禁止从事下列行为：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（4）基金托管人依据有关法律法规的规定和基金合同的约定对于基金关联投资进行监督：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（6）基金托管人对基金投资流通受限证券的监督：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（7）基金托管人对基金投资中期票据和中小企业私募债的监督：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管理的基金在投资中期票据和中小企业私募债前，基金管理人须根据法律、法规、监管部门的规定，制定严格的关于投资中期票据和中小企业私募债的风险控制制度和流动性风险处置预案，并书面提供给基金托管人，基金托管人依据上述文件对基金管理人投资中期票据和中小企业私募债的额度和比例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2）如未来有关监管部门发布的法律法规对证券投资基金投资中期票据和中小企业私募债另有规定的，从其约定。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（8）基金托管人根据有关法律法规的规定及基金合同的约定，对基金管理人选择存款银行进行监督：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本基金投资银行存款应符合如下规定：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2、基金托管人对基金管理人业务进行监督和核查的有关措施：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（4）基金托管人发现基金管理人的投资指令违反关法律法规规定或者违反基金合同约定的，应当拒绝执行，立即通知基金管理人。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（7）基金托管人发现基金管理人有重大违规行为，应立即报告中国证监会，同时通知基金管理人限期纠正。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（1）基金财产应独立于基金管理人、基金托管人的固有财产。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（3）基金托管人按照规定开设基金财产的资金账户和证券账户，协助开立股指期货业务相关账户及交易编码。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（6）除依据法律法规和基金合同的规定外，基金托管人不得委托第三人托管基金资产。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2、募集资金的验资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（3）若基金募集期限届满，未能达到基金备案条件，由基金管理人按规定办理退款事宜，基金托管人应提供充分协助。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3、基金的银行账户的开立和管理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（3）基金银行账户的开立和管理应符合有关法律法规以及银行业监督管理机构的有关规定。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4、基金证券账户和证券交易资金账户的开设和管理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（1）基金托管人以基金托管人和本基金联名的方式在中国证券登记结算有限责任公司上海分公司/深圳分公司开设证券账户。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（2）基金托管人以基金托管人的名义在中国证券登记结算有限责任公司上海分公司/深圳分公司开立基金证券交易资金账户，用于证券清算。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6、其他账户的开设和管理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7、基金财产投资的有关实物证券、银行定期存款存单等有价凭证的保管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（五）基金资产净值计算与复核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1、基金资产净值的计算、复核的时间和程序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2、基金资产估值方法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基金所拥有的股票、债券、衍生工具和其它投资等持续以公允价值计量的金融资产及负债。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3）当投资品种不存在活跃市场，采用市场参与者普遍认同，且被以往市场实际交易价格验证具有可靠性的估值技术，确定投资品种的公允价值。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4）如有充足理由认为按原有方法进行估值不能客观反映上述资产或负债公允价值的，基金管理人可根据具体情况与基金托管人商定后，按最能反映公允价值的方法估值。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6）存在相关法律法规以及监管部门有相关规范的，从其规定。如有新增事项，按监管部门最新规定估值。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（1）因基金估值错误给投资人造成损失的应先由基金管理人承担，基金管理人对不应由其承担的责任，有权向过错人追偿。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由于一方当事人提供的信息错误，另一方当事人在采取了必要合理的措施后仍不能发现该错误，进而导致A类基金份额及C类基金份额的基金资产净值、基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（6）基金管理人或基金托管人按估值方法的第4）项进行估值的，所造成的误差不作为基金资产估值错误处理。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4、基金账册的建立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5、基金定期报告的编制和复核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（1）基金财务报表由基金管理人和基金托管人每月分别独立编制。月度报表的编制，应于每月终了后5个工作日内完成。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（4）核对无误后，基金托管人在基金管理人提供的报告上加盖业务印鉴或者出具加盖托管业务部门公章的复核意见书，相关各方各自留存一份。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（1）基金投资所涉及的证券、期货交易场所遇法定节假日或因其他原因暂停营业时；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（3）占基金相当比例的投资品种的估值出现重大转变，而基金管理人为保障基金份额持有人的利益，决定延迟估值时；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（5）中国证监会和基金合同认定的其他情形。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（六）基金份额持有人名册的登记与保管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（八）托管协议的修改与终止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1、托管协议的变更程序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2、基金托管协议终止的情形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发生以下情况，本托管协议终止：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（2）基金托管人解散、依法被撤销、破产或由其他基金托管人接管基金资产；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（3）基金管理人解散、依法被撤销、破产或由其他基金管理人接管基金管理权；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（4）发生法律法规或基金合同规定的终止事项。</w:t>
      </w:r>
    </w:p>
    <w:p>
      <w:pPr>
        <w:pStyle w:val="2"/>
        <w:snapToGrid w:val="0"/>
        <w:spacing w:before="240" w:beforeLines="0" w:after="0"/>
        <w:rPr>
          <w:rFonts w:ascii="宋体" w:hAnsi="宋体"/>
          <w:szCs w:val="30"/>
        </w:rPr>
      </w:pPr>
      <w:r>
        <w:br w:type="page"/>
      </w:r>
      <w:bookmarkStart w:id="46" w:name="_Toc256000048"/>
      <w:bookmarkStart w:id="47" w:name="_Toc256000022"/>
      <w:r>
        <w:rPr>
          <w:rFonts w:ascii="宋体" w:hAnsi="宋体"/>
          <w:sz w:val="30"/>
        </w:rPr>
        <w:t>二十二、对基金份额持有人的服务</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每次交易结束后，可在T+2个工作日后通过销售机构的网点查询和打印确认单；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基金网上直销交易平台已开通的银行卡及各银行卡交易金额限额请参阅本基金管理人网站。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本基金已开通转换业务，具体实施方法请参见相关公告。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本基金已开通定期定额投资计划，具体实施方法请参见相关公告。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48" w:name="_Toc256000023"/>
      <w:bookmarkStart w:id="49" w:name="_Toc256000049"/>
      <w:r>
        <w:rPr>
          <w:rFonts w:ascii="宋体" w:hAnsi="宋体"/>
          <w:sz w:val="30"/>
        </w:rPr>
        <w:t>二十三、其他应披露事项</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blPrEx>
          <w:tblCellMar>
            <w:top w:w="0" w:type="dxa"/>
            <w:left w:w="0" w:type="dxa"/>
            <w:bottom w:w="0" w:type="dxa"/>
            <w:right w:w="0" w:type="dxa"/>
          </w:tblCellMar>
        </w:tblPrEx>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交银施罗德优择回报灵活配置混合型证券投资基金2025年第3季度报告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2025-10-28</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交银施罗德基金管理有限公司关于交银施罗德优择回报灵活配置混合型证券投资基金基金经理变更公告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2025-12-27</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交银施罗德优择回报灵活配置混合型证券投资基金2026年第1季度报告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交银施罗德基金管理有限公司关于旗下部分公募基金风险等级变动的公告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2026-04-29</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交银施罗德基金管理有限公司关于旗下基金所持停牌股票估值调整的公告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2026-07-01</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交银施罗德优择回报灵活配置混合型证券投资基金2026年第2季度报告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交银施罗德基金管理有限公司关于交银施罗德优择回报灵活配置混合型证券投资基金基金经理变更公告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2026-07-25</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2026-07-29</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交银施罗德优择回报灵活配置混合型证券投资基金（C类份额）基金产品资料概要更新</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交银施罗德优择回报灵活配置混合型证券投资基金招募说明书更新</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交银施罗德基金管理有限公司关于旗下部分基金调整业绩比较基准并修订基金合同等法律文件的公告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交银施罗德优择回报灵活配置混合型证券投资基金基金合同</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交银施罗德优择回报灵活配置混合型证券投资基金2026年中期报告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0" w:name="_Toc256000050"/>
      <w:bookmarkStart w:id="51" w:name="_Toc256000024"/>
      <w:r>
        <w:rPr>
          <w:rFonts w:ascii="宋体" w:hAnsi="宋体"/>
          <w:sz w:val="30"/>
        </w:rPr>
        <w:t>二十四、招募说明书的存放及查阅方式</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2" w:name="_Toc256000051"/>
      <w:bookmarkStart w:id="53" w:name="_Toc256000025"/>
      <w:r>
        <w:rPr>
          <w:rFonts w:ascii="宋体" w:hAnsi="宋体"/>
          <w:sz w:val="30"/>
        </w:rPr>
        <w:t>二十五、备查文件</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（一）中国证监会准予交银施罗德优择回报灵活配置混合型证券投资基金募集注册的文件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（二）《交银施罗德优择回报灵活配置混合型证券投资基金基金合同》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（三）《交银施罗德优择回报灵活配置混合型证券投资基金托管协议》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（六）关于申请募集注册交银施罗德优择回报灵活配置混合型证券投资基金的法律意见书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0" o:spid="_x0000_s2050"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1" o:spid="_x0000_s2051"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147</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交银施罗德优择回报灵活配置混合型证券投资基金招募说明书（更新）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交银施罗德优择回报灵活配置混合型证券投资基金招募说明书（更新）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6D5E0B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qFormat/>
    <w:uiPriority w:val="99"/>
    <w:rPr>
      <w:rFonts w:ascii="宋体"/>
      <w:sz w:val="18"/>
      <w:szCs w:val="18"/>
    </w:rPr>
  </w:style>
  <w:style w:type="paragraph" w:styleId="6">
    <w:name w:val="annotation text"/>
    <w:basedOn w:val="1"/>
    <w:link w:val="32"/>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7"/>
    <w:unhideWhenUsed/>
    <w:qFormat/>
    <w:uiPriority w:val="99"/>
    <w:pPr>
      <w:tabs>
        <w:tab w:val="center" w:pos="4153"/>
        <w:tab w:val="right" w:pos="8306"/>
      </w:tabs>
      <w:snapToGrid w:val="0"/>
      <w:jc w:val="left"/>
    </w:pPr>
    <w:rPr>
      <w:kern w:val="0"/>
      <w:sz w:val="18"/>
      <w:szCs w:val="18"/>
    </w:rPr>
  </w:style>
  <w:style w:type="paragraph" w:styleId="9">
    <w:name w:val="header"/>
    <w:basedOn w:val="1"/>
    <w:link w:val="34"/>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3"/>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qFormat/>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qFormat/>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qFormat/>
    <w:uiPriority w:val="0"/>
    <w:rPr>
      <w:rFonts w:ascii="Cambria" w:hAnsi="Cambria"/>
      <w:b/>
      <w:kern w:val="28"/>
      <w:sz w:val="24"/>
      <w:szCs w:val="32"/>
    </w:rPr>
  </w:style>
  <w:style w:type="character" w:customStyle="1" w:styleId="31">
    <w:name w:val="txtcontent11"/>
    <w:qFormat/>
    <w:uiPriority w:val="0"/>
    <w:rPr>
      <w:rFonts w:hint="default" w:ascii="ˎ̥" w:hAnsi="ˎ̥"/>
      <w:color w:val="000000"/>
      <w:sz w:val="21"/>
      <w:szCs w:val="21"/>
    </w:rPr>
  </w:style>
  <w:style w:type="character" w:customStyle="1" w:styleId="32">
    <w:name w:val="批注文字 Char"/>
    <w:link w:val="6"/>
    <w:qFormat/>
    <w:uiPriority w:val="0"/>
    <w:rPr>
      <w:kern w:val="2"/>
      <w:sz w:val="21"/>
      <w:szCs w:val="22"/>
    </w:rPr>
  </w:style>
  <w:style w:type="character" w:customStyle="1" w:styleId="33">
    <w:name w:val="批注主题 Char"/>
    <w:link w:val="13"/>
    <w:semiHidden/>
    <w:qFormat/>
    <w:uiPriority w:val="99"/>
    <w:rPr>
      <w:b/>
      <w:bCs/>
      <w:kern w:val="2"/>
      <w:sz w:val="21"/>
      <w:szCs w:val="22"/>
    </w:rPr>
  </w:style>
  <w:style w:type="character" w:customStyle="1" w:styleId="34">
    <w:name w:val="页眉 Char"/>
    <w:link w:val="9"/>
    <w:qFormat/>
    <w:uiPriority w:val="99"/>
    <w:rPr>
      <w:sz w:val="18"/>
      <w:szCs w:val="18"/>
    </w:rPr>
  </w:style>
  <w:style w:type="character" w:customStyle="1" w:styleId="35">
    <w:name w:val="副标题 Char"/>
    <w:link w:val="11"/>
    <w:qFormat/>
    <w:uiPriority w:val="0"/>
    <w:rPr>
      <w:rFonts w:ascii="Cambria" w:hAnsi="Cambria" w:cs="Times New Roman"/>
      <w:b/>
      <w:bCs/>
      <w:kern w:val="28"/>
      <w:sz w:val="32"/>
      <w:szCs w:val="32"/>
    </w:rPr>
  </w:style>
  <w:style w:type="character" w:customStyle="1" w:styleId="36">
    <w:name w:val="文档结构图 Char"/>
    <w:link w:val="5"/>
    <w:semiHidden/>
    <w:qFormat/>
    <w:uiPriority w:val="99"/>
    <w:rPr>
      <w:rFonts w:ascii="宋体"/>
      <w:kern w:val="2"/>
      <w:sz w:val="18"/>
      <w:szCs w:val="18"/>
    </w:rPr>
  </w:style>
  <w:style w:type="character" w:customStyle="1" w:styleId="37">
    <w:name w:val="页脚 Char"/>
    <w:link w:val="8"/>
    <w:qFormat/>
    <w:uiPriority w:val="99"/>
    <w:rPr>
      <w:sz w:val="18"/>
      <w:szCs w:val="18"/>
    </w:rPr>
  </w:style>
  <w:style w:type="character" w:customStyle="1" w:styleId="38">
    <w:name w:val="标题 2 Char"/>
    <w:link w:val="3"/>
    <w:semiHidden/>
    <w:uiPriority w:val="9"/>
    <w:rPr>
      <w:rFonts w:ascii="Cambria" w:hAnsi="Cambria" w:eastAsia="宋体" w:cs="Times New Roman"/>
      <w:b/>
      <w:bCs/>
      <w:kern w:val="2"/>
      <w:sz w:val="32"/>
      <w:szCs w:val="32"/>
    </w:rPr>
  </w:style>
  <w:style w:type="character" w:customStyle="1" w:styleId="39">
    <w:name w:val="标题 4 Char"/>
    <w:link w:val="4"/>
    <w:semiHidden/>
    <w:qFormat/>
    <w:uiPriority w:val="9"/>
    <w:rPr>
      <w:rFonts w:ascii="Cambria" w:hAnsi="Cambria" w:eastAsia="宋体" w:cs="Times New Roman"/>
      <w:b/>
      <w:bCs/>
      <w:kern w:val="2"/>
      <w:sz w:val="28"/>
      <w:szCs w:val="28"/>
    </w:rPr>
  </w:style>
  <w:style w:type="character" w:customStyle="1" w:styleId="40">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148</Pages>
  <Words>13948</Words>
  <Characters>79510</Characters>
  <Lines>662</Lines>
  <Paragraphs>186</Paragraphs>
  <TotalTime>0</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2026-09-29T06:20:57Z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4EC214C1E5FA4C4E8212452720C62EAB</vt:lpwstr>
  </property>
</Properties>
</file>