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交银施罗德中证A500指数型证券投资基金（C类份额）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交银中证A500指数C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023023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2025-01-22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2025-01-22</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本基金采用指数化投资策略，紧密跟踪中证A500指数，追求跟踪偏离度与跟踪误差最小化。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中证A500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本基金可根据法律法规的规定参与融资及转融通证券出借业务。未来在法律法规允许的前提下，本基金可根据相关法律法规规定参与融券业务。</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中证A500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本基金标的指数为中证A500指数。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1、股票投资策略；2、债券投资策略；3、股指期货投资策略；4、资产支持证券投资策略；5、存托凭证投资策略；6、融资、转融通证券出借业务投资策略。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中证A500指数收益率×95%＋人民币银行活期存款利率（税后）×5%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本基金是一只股票型基金，其预期风险和预期收益理论上高于混合型基金、债券型基金和货币市场基金。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本基金为指数型基金，主要采用完全复制法跟踪中证A500指数，具有与标的指数相似的风险收益特征。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详见《交银施罗德中证A500指数型证券投资基金招募说明书》“基金的投资”。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2、本基金合同于2025年1月22日生效，合同生效当年净值增长率按实际存续期计算；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0.05%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0.43%</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中证A500指数成份股（含存托凭证）及备选成份股（含存托凭证）的比例不低于基金资产净值的90%且不低于非现金基金资产的80%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标的指数回报与股票市场平均回报偏离的风险、（3）标的指数波动的风险、（4）基金投资组合回报与标的指数回报偏离及跟踪误差控制未达约定目标的风险、（5）指数编制机构停止服务的风险、（6）成份股停牌或退市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11、本基金参与融资业务的特定风险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本基金可参与融资业务，面临的风险包括但不限于市场风险、流动性风险、信用风险等。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12、本基金参与转融通证券出借业务的特定风险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本基金可参与转融通证券出借业务，面临的风险包括但不限于流动性风险、信用风险、市场风险、其他风险等。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14、其他风险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因基金合同而产生的或与基金合同有关的一切争议，如经友好协商未能解决的，任何一方均有权将争议提交深圳国际仲裁院，按其届时有效的仲裁规则进行仲裁。仲裁地点为深圳市。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●《交银施罗德中证A500指数型证券投资基金基金合同》、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《交银施罗德中证A500指数型证券投资基金托管协议》、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《交银施罗德中证A500指数型证券投资基金招募说明书》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