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交银施罗德创新成长混合型证券投资基金招募说明书（更新）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基金托管人：中信银行股份有限公司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6"/>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创新成长混合型证券投资基金（以下简称“本基金”）经2018年7月13日中国证券监督管理委员会（以下简称“中国证监会”）证监许可【2018】1125号文准予募集注册。本基金基金合同于2018年9月27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注册，但中国证监会对本基金募集的注册，并不表明其对本基金的价值和收益作出实质性判断或保证，也不表明投资于本基金没有风险。中国证监会不对基金的投资价值及市场前景等作出实质性判断或者保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信用风险；本基金投资策略所特有的风险；投资股指期货的特定风险；投资资产支持证券的特定风险；投资科创板股票的特定风险；投资本基金的其他风险等等。本基金是一只混合型基金，其预期风险和预期收益高于债券型基金和货币市场基金，低于股票型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人在投资本基金前应认真阅读本基金的招募说明书、基金合同、基金产品资料概要等信息披露文件。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请见本招募说明书“十八、风险揭示”章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本招募说明书所载内容截止日为2026年09月02日（其中业绩比较基准相关信息的更新截止日为2026年09月21日），有关财务和业绩表现数据截止日为2026年06月30日，财务和业绩表现数据未经审计。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1"/>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_Toc256000026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_Toc256000027 \h </w:instrText>
      </w:r>
      <w:r>
        <w:fldChar w:fldCharType="separate"/>
      </w:r>
      <w:r>
        <w:rPr>
          <w:rStyle w:val="Hyperlink"/>
        </w:rPr>
        <w:t>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_Toc256000029 \h </w:instrText>
      </w:r>
      <w:r>
        <w:fldChar w:fldCharType="separate"/>
      </w:r>
      <w:r>
        <w:rPr>
          <w:rStyle w:val="Hyperlink"/>
        </w:rPr>
        <w:t>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_Toc256000030 \h </w:instrText>
      </w:r>
      <w:r>
        <w:fldChar w:fldCharType="separate"/>
      </w:r>
      <w:r>
        <w:rPr>
          <w:rStyle w:val="Hyperlink"/>
        </w:rPr>
        <w:t>17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_Toc256000031 \h </w:instrText>
      </w:r>
      <w:r>
        <w:fldChar w:fldCharType="separate"/>
      </w:r>
      <w:r>
        <w:rPr>
          <w:rStyle w:val="Hyperlink"/>
        </w:rPr>
        <w:t>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_Toc256000032 \h </w:instrText>
      </w:r>
      <w:r>
        <w:fldChar w:fldCharType="separate"/>
      </w:r>
      <w:r>
        <w:rPr>
          <w:rStyle w:val="Hyperlink"/>
        </w:rPr>
        <w:t>47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_Toc256000033 \h </w:instrText>
      </w:r>
      <w:r>
        <w:fldChar w:fldCharType="separate"/>
      </w:r>
      <w:r>
        <w:rPr>
          <w:rStyle w:val="Hyperlink"/>
        </w:rPr>
        <w:t>48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_Toc256000034 \h </w:instrText>
      </w:r>
      <w:r>
        <w:fldChar w:fldCharType="separate"/>
      </w:r>
      <w:r>
        <w:rPr>
          <w:rStyle w:val="Hyperlink"/>
        </w:rPr>
        <w:t>49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_Toc256000035 \h </w:instrText>
      </w:r>
      <w:r>
        <w:fldChar w:fldCharType="separate"/>
      </w:r>
      <w:r>
        <w:rPr>
          <w:rStyle w:val="Hyperlink"/>
        </w:rPr>
        <w:t>61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_Toc256000036 \h </w:instrText>
      </w:r>
      <w:r>
        <w:fldChar w:fldCharType="separate"/>
      </w:r>
      <w:r>
        <w:rPr>
          <w:rStyle w:val="Hyperlink"/>
        </w:rPr>
        <w:t>68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_Toc256000037 \h </w:instrText>
      </w:r>
      <w:r>
        <w:fldChar w:fldCharType="separate"/>
      </w:r>
      <w:r>
        <w:rPr>
          <w:rStyle w:val="Hyperlink"/>
        </w:rPr>
        <w:t>82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_Toc256000038 \h </w:instrText>
      </w:r>
      <w:r>
        <w:fldChar w:fldCharType="separate"/>
      </w:r>
      <w:r>
        <w:rPr>
          <w:rStyle w:val="Hyperlink"/>
        </w:rPr>
        <w:t>84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_Toc256000039 \h </w:instrText>
      </w:r>
      <w:r>
        <w:fldChar w:fldCharType="separate"/>
      </w:r>
      <w:r>
        <w:rPr>
          <w:rStyle w:val="Hyperlink"/>
        </w:rPr>
        <w:t>85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十四、基金收益与分配</w:t>
      </w:r>
      <w:r>
        <w:rPr>
          <w:rStyle w:val="Hyperlink"/>
        </w:rPr>
        <w:tab/>
      </w:r>
      <w:r>
        <w:fldChar w:fldCharType="begin"/>
      </w:r>
      <w:r>
        <w:rPr>
          <w:rStyle w:val="Hyperlink"/>
        </w:rPr>
        <w:instrText xml:space="preserve"> PAGEREF _Toc256000040 \h </w:instrText>
      </w:r>
      <w:r>
        <w:fldChar w:fldCharType="separate"/>
      </w:r>
      <w:r>
        <w:rPr>
          <w:rStyle w:val="Hyperlink"/>
        </w:rPr>
        <w:t>90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_Toc256000041 \h </w:instrText>
      </w:r>
      <w:r>
        <w:fldChar w:fldCharType="separate"/>
      </w:r>
      <w:r>
        <w:rPr>
          <w:rStyle w:val="Hyperlink"/>
        </w:rPr>
        <w:t>92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_Toc256000042 \h </w:instrText>
      </w:r>
      <w:r>
        <w:fldChar w:fldCharType="separate"/>
      </w:r>
      <w:r>
        <w:rPr>
          <w:rStyle w:val="Hyperlink"/>
        </w:rPr>
        <w:t>94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_Toc256000043 \h </w:instrText>
      </w:r>
      <w:r>
        <w:fldChar w:fldCharType="separate"/>
      </w:r>
      <w:r>
        <w:rPr>
          <w:rStyle w:val="Hyperlink"/>
        </w:rPr>
        <w:t>95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十八、风险揭示</w:t>
      </w:r>
      <w:r>
        <w:rPr>
          <w:rStyle w:val="Hyperlink"/>
        </w:rPr>
        <w:tab/>
      </w:r>
      <w:r>
        <w:fldChar w:fldCharType="begin"/>
      </w:r>
      <w:r>
        <w:rPr>
          <w:rStyle w:val="Hyperlink"/>
        </w:rPr>
        <w:instrText xml:space="preserve"> PAGEREF _Toc256000044 \h </w:instrText>
      </w:r>
      <w:r>
        <w:fldChar w:fldCharType="separate"/>
      </w:r>
      <w:r>
        <w:rPr>
          <w:rStyle w:val="Hyperlink"/>
        </w:rPr>
        <w:t>101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十九、基金合同的变更、终止与基金财产的清算</w:t>
      </w:r>
      <w:r>
        <w:rPr>
          <w:rStyle w:val="Hyperlink"/>
        </w:rPr>
        <w:tab/>
      </w:r>
      <w:r>
        <w:fldChar w:fldCharType="begin"/>
      </w:r>
      <w:r>
        <w:rPr>
          <w:rStyle w:val="Hyperlink"/>
        </w:rPr>
        <w:instrText xml:space="preserve"> PAGEREF _Toc256000045 \h </w:instrText>
      </w:r>
      <w:r>
        <w:fldChar w:fldCharType="separate"/>
      </w:r>
      <w:r>
        <w:rPr>
          <w:rStyle w:val="Hyperlink"/>
        </w:rPr>
        <w:t>110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二十、基金合同内容摘要</w:t>
      </w:r>
      <w:r>
        <w:rPr>
          <w:rStyle w:val="Hyperlink"/>
        </w:rPr>
        <w:tab/>
      </w:r>
      <w:r>
        <w:fldChar w:fldCharType="begin"/>
      </w:r>
      <w:r>
        <w:rPr>
          <w:rStyle w:val="Hyperlink"/>
        </w:rPr>
        <w:instrText xml:space="preserve"> PAGEREF _Toc256000046 \h </w:instrText>
      </w:r>
      <w:r>
        <w:fldChar w:fldCharType="separate"/>
      </w:r>
      <w:r>
        <w:rPr>
          <w:rStyle w:val="Hyperlink"/>
        </w:rPr>
        <w:t>112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二十一、托管协议的内容摘要</w:t>
      </w:r>
      <w:r>
        <w:rPr>
          <w:rStyle w:val="Hyperlink"/>
        </w:rPr>
        <w:tab/>
      </w:r>
      <w:r>
        <w:fldChar w:fldCharType="begin"/>
      </w:r>
      <w:r>
        <w:rPr>
          <w:rStyle w:val="Hyperlink"/>
        </w:rPr>
        <w:instrText xml:space="preserve"> PAGEREF _Toc256000047 \h </w:instrText>
      </w:r>
      <w:r>
        <w:fldChar w:fldCharType="separate"/>
      </w:r>
      <w:r>
        <w:rPr>
          <w:rStyle w:val="Hyperlink"/>
        </w:rPr>
        <w:t>128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二十二、对基金份额持有人的服务</w:t>
      </w:r>
      <w:r>
        <w:rPr>
          <w:rStyle w:val="Hyperlink"/>
        </w:rPr>
        <w:tab/>
      </w:r>
      <w:r>
        <w:fldChar w:fldCharType="begin"/>
      </w:r>
      <w:r>
        <w:rPr>
          <w:rStyle w:val="Hyperlink"/>
        </w:rPr>
        <w:instrText xml:space="preserve"> PAGEREF _Toc256000048 \h </w:instrText>
      </w:r>
      <w:r>
        <w:fldChar w:fldCharType="separate"/>
      </w:r>
      <w:r>
        <w:rPr>
          <w:rStyle w:val="Hyperlink"/>
        </w:rPr>
        <w:t>146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二十三、其他应披露事项</w:t>
      </w:r>
      <w:r>
        <w:rPr>
          <w:rStyle w:val="Hyperlink"/>
        </w:rPr>
        <w:tab/>
      </w:r>
      <w:r>
        <w:fldChar w:fldCharType="begin"/>
      </w:r>
      <w:r>
        <w:rPr>
          <w:rStyle w:val="Hyperlink"/>
        </w:rPr>
        <w:instrText xml:space="preserve"> PAGEREF _Toc256000049 \h </w:instrText>
      </w:r>
      <w:r>
        <w:fldChar w:fldCharType="separate"/>
      </w:r>
      <w:r>
        <w:rPr>
          <w:rStyle w:val="Hyperlink"/>
        </w:rPr>
        <w:t>148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二十四、招募说明书的存放及查阅方式</w:t>
      </w:r>
      <w:r>
        <w:rPr>
          <w:rStyle w:val="Hyperlink"/>
        </w:rPr>
        <w:tab/>
      </w:r>
      <w:r>
        <w:fldChar w:fldCharType="begin"/>
      </w:r>
      <w:r>
        <w:rPr>
          <w:rStyle w:val="Hyperlink"/>
        </w:rPr>
        <w:instrText xml:space="preserve"> PAGEREF _Toc256000050 \h </w:instrText>
      </w:r>
      <w:r>
        <w:fldChar w:fldCharType="separate"/>
      </w:r>
      <w:r>
        <w:rPr>
          <w:rStyle w:val="Hyperlink"/>
        </w:rPr>
        <w:t>150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二十五、备查文件</w:t>
      </w:r>
      <w:r>
        <w:rPr>
          <w:rStyle w:val="Hyperlink"/>
        </w:rPr>
        <w:tab/>
      </w:r>
      <w:r>
        <w:fldChar w:fldCharType="begin"/>
      </w:r>
      <w:r>
        <w:rPr>
          <w:rStyle w:val="Hyperlink"/>
        </w:rPr>
        <w:instrText xml:space="preserve"> PAGEREF _Toc256000051 \h </w:instrText>
      </w:r>
      <w:r>
        <w:fldChar w:fldCharType="separate"/>
      </w:r>
      <w:r>
        <w:rPr>
          <w:rStyle w:val="Hyperlink"/>
        </w:rPr>
        <w:t>151</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2"/>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创新成长混合型证券投资基金招募说明书》（以下简称“本招募说明书”）依据《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规定》”）和其他相关法律法规的规定以及《交银施罗德创新成长混合型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8"/>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1、基金或本基金：指交银施罗德创新成长混合型证券投资基金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2、基金管理人或本基金管理人：指交银施罗德基金管理有限公司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3、基金托管人或本基金托管人：指中信银行股份有限公司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4、《基金合同》或基金合同：指《交银施罗德创新成长混合型证券投资基金基金合同》及对基金合同的任何有效修订和补充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5、托管协议：指基金管理人与基金托管人就本基金签订之《交银施罗德创新成长混合型证券投资基金托管协议》及对该托管协议的任何有效修订和补充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6、招募说明书或《招募说明书》或本招募说明书：指《交银施罗德创新成长混合型证券投资基金招募说明书》及其更新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7、基金份额发售公告：指《交银施罗德创新成长混合型证券投资基金基金份额发售公告》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8、基金产品资料概要：指《交银施罗德创新成长混合型证券投资基金基金产品资料概要》及其更新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11、《销售办法》：指《证券投资基金销售管理办法》及颁布机关对其不时做出的修订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14、《流动性规定》：指《公开募集开放式证券投资基金流动性风险管理规定》及颁布机关对其不时做出的修订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具体处理原则与操作规范遵循相关法律法规以及监管部门、自律规则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18、银行业监督管理机构：指中国人民银行和/或中国银行保险监督管理委员会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20、个人投资者：指依据有关法律法规规定可投资于证券投资基金的自然人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23、人民币合格境外机构投资者：指按照《人民币合格境外机构投资者境内证券投资试点办法》及相关法律法规规定，运用来自境外的人民币资金进行中国境内证券投资的境外机构投资者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24、投资人或投资者：指个人投资者、机构投资者、合格境外机构投资者和人民币合格境外机构投资者以及法律法规或中国证监会允许购买证券投资基金的其他投资人的合称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25、基金份额持有人：指依基金合同和招募说明书合法取得基金份额的投资人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29、登记机构：指办理登记业务的机构。基金的登记机构为交银施罗德基金管理有限公司或接受交银施罗德基金管理有限公司委托办理登记业务的机构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31、基金交易账户：指销售机构为投资人开立的、记录投资人通过该销售机构办理认购、申购、赎回、转换、定期定额投资及转托管等业务而引起的基金份额变动及结余情况的账户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37、T日：指销售机构在规定时间受理投资人申购、赎回或其他业务申请的开放日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39、开放日：指为投资人办理基金份额申购、赎回或其他业务的工作日（若该工作日为非港股通交易日，则本基金不开放）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40、开放时间：指开放日基金接受申购、赎回或其他交易的时间段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业务规则》：指《中国证券登记结算有限责任公司开放式证券投资基金及证券公司集合资产管理计划份额登记及资金结算业务指南》及其后修订，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42、认购：指在基金募集期内，投资人根据基金合同和招募说明书的规定申请购买基金份额的行为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43、申购：指基金合同生效后，投资人根据基金合同和招募说明书的规定申请购买基金份额的行为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46、转托管：指基金份额持有人在本基金的不同销售机构之间实施的变更所持基金份额销售机构的操作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51、基金资产总值：指基金拥有的各类有价证券、股指期货合约、银行存款本息、基金应收申购款及其他资产的价值总和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53、基金份额净值：指计算日基金资产净值除以计算日基金份额总数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55、港股通：指内地投资者委托内地证券公司，经由内地证券交易所设立的证券交易服务公司，向香港联合交易所进行申报，买卖规定范围内的香港联合交易所上市的股票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57、不可抗力：指基金合同当事人不能预见、不能避免且不能克服的客观事件</w:t>
      </w:r>
    </w:p>
    <w:p>
      <w:pPr>
        <w:pStyle w:val="Heading1"/>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中先生:基金经理。复旦大学金融学硕士、南京大学工学学士，17年证券投资行业从业经验。2009年至2010年任野村证券亚太区股票研究部研究助理，2010年至2013年任中银国际证券研究部研究员、高级经理，2013年至2015年任瑞银证券研究部行业分析师、董事。2015年加入交银施罗德基金管理有限公司，现任跨境投资部基金经理。曾任交银施罗德启道混合型证券投资基金（2021年01月28日至2026年07月22日）、交银施罗德环球精选价值证券投资基金（2015年12月12日至2024年06月06日）、交银施罗德全球自然资源证券投资基金（2015年12月12日至2019年09月19日）的基金经理。现任交银施罗德成长动力一年持有期混合型证券投资基金（2021年06月11日至今）、交银施罗德启欣混合型证券投资基金（2020年10月28日至今）、交银施罗德创新成长混合型证券投资基金（2018年09月27日至今）的基金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（5）侵占、挪用基金财产；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（6）法律、行政法规和中国证监会禁止的其他行为。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名称：中信银行股份有限公司（简称“中信银行”）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住所：北京市朝阳区光华路10号院1号楼6-30层、32-42层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办公地址：北京市朝阳区光华路10号院1号楼6-30层、32-42层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法定代表人：方合英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成立时间：1987年4月20日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注册资本：556.4516亿元人民币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批准设立文号：中华人民共和国国务院办公厅国办函[1987]14号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基金托管业务批准文号：中国证监会证监基金字[2004]125号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联系人：中信银行资产托管部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联系电话：4006800000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网址：www.citicbank.com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保险兼业代理业务；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机构投资者托管业务；经国务院银行业监督管理机构批准的其他业务。（企业依法自主选择经营项目，开展经营活动；依法须经批准的项目，经相关部门批准后依批准的内容开展经营活动；不得从事本市产业政策禁止和限制类项目的经营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行成立于1987年，是中国改革开放中最早成立的新兴商业银行之一，是中国最早参与国内外金融市场融资的商业银行，并以屡创中国现代金融史上多个第一而蜚声海内外，为中国经济建设作出了积极贡献。2007年4月，本行实现在上海证券交易所和香港联合交易所A+H 股同步上市。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行依托中信集团“金融+实业”综合禀赋优势，以全面建设“四有”银行、跨入世界一流银行竞争前列为发展愿景，坚持“诚实守信、以义取利、稳健审慎、守正创新、依法合规”，以客户为中心，通过实施“五个领先”银行战略，打造有特色、差异化的中信金融服务模式，向政府与机构客户、企业客户和同业客户提供公司银行业务、投资银行业务、国际业务、交易银行业务、托管业务、金融市场业务等综合金融解决方案；向个人客户提供财富管理业务、个人信贷业务、信用卡业务、私人银行业务、养老金融业务、出国金融业务等多元化金融产品及服务，全方位满足政府与机构、企业、同业及个人客户的综合金融服务需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至2025年末，本行在国内153个大中城市设有1,484家营业网点，在境内外下设中信国际金融控股有限公司、信银（香港）投资有限公司、中信金融租赁有限公司、信银理财有限责任公司、信银金融资产投资有限公司、中信百信银行股份有限公司、阿尔金银行股份有限公司和浙江临安中信村镇银行股份有限公司 8 家附属机构。其中，中信国际金融控股有限公司子公司中信银行（国际）有限公司在香港、澳门、纽约、洛杉矶、新加坡和中国内地设有28家营业网点、2 家商务理财中心及1家私人银行中心。信银（香港）投资有限公司在香港和境内设有3家子公司。信银理财有限责任公司为本行全资理财子公司。中信百信银行股份有限公司为本行与百度联合发起设立的国内首家独立法人直销银行。阿尔金银行股份有限公司在哈萨克斯坦设有7家营业网点和1家私人银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行深刻把握金融工作的政治性、人民性，始终在党和国家战略大局中找准金融定位、履行金融职责，坚持做国家战略的忠实践行者、实体经济的有力服务者和金融强国的积极建设者。成立38年来，本行已成为一家总资产规模突破10万亿元、员工人数超6.7万名，具有强大综合实力和品牌竞争力的金融集团。2025年，本行在英国Brand Finance 发布的“全球银行品牌价值500 强”榜单中排名第19位，以27.2%的增幅居中国内地银行第一；一级资本在英国《银行家》杂志“世界1000 家银行排名”中位列第18位。荣膺英国《银行家》杂志“2025年中国年度银行”大奖。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吕天贵，本行党委副书记、行长、首席合规官。曾任本行信用卡中心党委委员、总裁助理、副总裁、党委书记、总裁，总行零售银行部总经理、私人银行部总经理，总行业务总监、党委委员、副行长，中信信托有限责任公司党委书记、董事长；中信百信银行股份有限公司董事、董事长，阿尔金银行董事，中国银联股份有限公司董事。此前，曾在中国银行吉林市分行工作。四川大学工商管理硕士，高级会计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胡罡先生，中信银行党委委员、执行董事、副行长，分管托管业务。胡先生现同时担任中信银行（国际）有限公司董事。胡先生曾任本行长沙分行筹备组副组长、长沙分行党委委员、副行长，重庆分行党委委员、副行长、党委书记、行长，上海分行党委书记、行长及本行首席风险官、批发业务总监、风险总监。此前，胡先生曾先后就职于湖南省检察院政治部，于湖南省委办公厅人事处任副主任科员，于湖南众立实业集团公司下属北海湘房地产开发公司任总经理助理、总经理，下属鸿都企业公司任副董事长，于湖南长沙湘财城市信用社任董事长。胡先生拥有近三十年中国银行业从业经验，毕业于湖南大学，获经济学博士学位，高级经济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王坚先生，中信银行资产托管部总经理，工商管理硕士。王先生</w:t>
      </w:r>
      <w:r w:rsidRPr="00BB248E">
        <w:rPr>
          <w:rFonts w:ascii="宋体" w:hAnsi="宋体" w:hint="eastAsia"/>
          <w:kern w:val="0"/>
          <w:sz w:val="24"/>
        </w:rPr>
        <w:t>1993</w:t>
      </w:r>
      <w:r w:rsidRPr="00BB248E">
        <w:rPr>
          <w:rFonts w:ascii="宋体" w:hAnsi="宋体" w:hint="eastAsia"/>
          <w:kern w:val="0"/>
          <w:sz w:val="24"/>
        </w:rPr>
        <w:t>年在中信实业银行南京分行城北支行参加工作，</w:t>
      </w:r>
      <w:r w:rsidRPr="00BB248E">
        <w:rPr>
          <w:rFonts w:ascii="宋体" w:hAnsi="宋体" w:hint="eastAsia"/>
          <w:kern w:val="0"/>
          <w:sz w:val="24"/>
        </w:rPr>
        <w:t>2008</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月任中信银行南京分行零售银行部副总经理，</w:t>
      </w:r>
      <w:r w:rsidRPr="00BB248E">
        <w:rPr>
          <w:rFonts w:ascii="宋体" w:hAnsi="宋体" w:hint="eastAsia"/>
          <w:kern w:val="0"/>
          <w:sz w:val="24"/>
        </w:rPr>
        <w:t>2010</w:t>
      </w:r>
      <w:r w:rsidRPr="00BB248E">
        <w:rPr>
          <w:rFonts w:ascii="宋体" w:hAnsi="宋体" w:hint="eastAsia"/>
          <w:kern w:val="0"/>
          <w:sz w:val="24"/>
        </w:rPr>
        <w:t>年</w:t>
      </w:r>
      <w:r w:rsidRPr="00BB248E">
        <w:rPr>
          <w:rFonts w:ascii="宋体" w:hAnsi="宋体" w:hint="eastAsia"/>
          <w:kern w:val="0"/>
          <w:sz w:val="24"/>
        </w:rPr>
        <w:t>2</w:t>
      </w:r>
      <w:r w:rsidRPr="00BB248E">
        <w:rPr>
          <w:rFonts w:ascii="宋体" w:hAnsi="宋体" w:hint="eastAsia"/>
          <w:kern w:val="0"/>
          <w:sz w:val="24"/>
        </w:rPr>
        <w:t>月任中信银行南京分行金融同业部总经理，</w:t>
      </w:r>
      <w:r w:rsidRPr="00BB248E">
        <w:rPr>
          <w:rFonts w:ascii="宋体" w:hAnsi="宋体" w:hint="eastAsia"/>
          <w:kern w:val="0"/>
          <w:sz w:val="24"/>
        </w:rPr>
        <w:t>2016</w:t>
      </w:r>
      <w:r w:rsidRPr="00BB248E">
        <w:rPr>
          <w:rFonts w:ascii="宋体" w:hAnsi="宋体" w:hint="eastAsia"/>
          <w:kern w:val="0"/>
          <w:sz w:val="24"/>
        </w:rPr>
        <w:t>年</w:t>
      </w:r>
      <w:r w:rsidRPr="00BB248E">
        <w:rPr>
          <w:rFonts w:ascii="宋体" w:hAnsi="宋体" w:hint="eastAsia"/>
          <w:kern w:val="0"/>
          <w:sz w:val="24"/>
        </w:rPr>
        <w:t>6</w:t>
      </w:r>
      <w:r w:rsidRPr="00BB248E">
        <w:rPr>
          <w:rFonts w:ascii="宋体" w:hAnsi="宋体" w:hint="eastAsia"/>
          <w:kern w:val="0"/>
          <w:sz w:val="24"/>
        </w:rPr>
        <w:t>月调入总行授信审批部，先后任总经理助理、副总经理，</w:t>
      </w:r>
      <w:r w:rsidRPr="00BB248E">
        <w:rPr>
          <w:rFonts w:ascii="宋体" w:hAnsi="宋体" w:hint="eastAsia"/>
          <w:kern w:val="0"/>
          <w:sz w:val="24"/>
        </w:rPr>
        <w:t>2023</w:t>
      </w:r>
      <w:r w:rsidRPr="00BB248E">
        <w:rPr>
          <w:rFonts w:ascii="宋体" w:hAnsi="宋体" w:hint="eastAsia"/>
          <w:kern w:val="0"/>
          <w:sz w:val="24"/>
        </w:rPr>
        <w:t>年</w:t>
      </w:r>
      <w:r w:rsidRPr="00BB248E">
        <w:rPr>
          <w:rFonts w:ascii="宋体" w:hAnsi="宋体" w:hint="eastAsia"/>
          <w:kern w:val="0"/>
          <w:sz w:val="24"/>
        </w:rPr>
        <w:t>4</w:t>
      </w:r>
      <w:r w:rsidRPr="00BB248E">
        <w:rPr>
          <w:rFonts w:ascii="宋体" w:hAnsi="宋体" w:hint="eastAsia"/>
          <w:kern w:val="0"/>
          <w:sz w:val="24"/>
        </w:rPr>
        <w:t>月任中信银行大连分行行长，</w:t>
      </w:r>
      <w:r w:rsidRPr="00BB248E">
        <w:rPr>
          <w:rFonts w:ascii="宋体" w:hAnsi="宋体" w:hint="eastAsia"/>
          <w:kern w:val="0"/>
          <w:sz w:val="24"/>
        </w:rPr>
        <w:t>2026</w:t>
      </w:r>
      <w:r w:rsidRPr="00BB248E">
        <w:rPr>
          <w:rFonts w:ascii="宋体" w:hAnsi="宋体" w:hint="eastAsia"/>
          <w:kern w:val="0"/>
          <w:sz w:val="24"/>
        </w:rPr>
        <w:t>年</w:t>
      </w:r>
      <w:r w:rsidRPr="00BB248E">
        <w:rPr>
          <w:rFonts w:ascii="宋体" w:hAnsi="宋体" w:hint="eastAsia"/>
          <w:kern w:val="0"/>
          <w:sz w:val="24"/>
        </w:rPr>
        <w:t>6</w:t>
      </w:r>
      <w:r w:rsidRPr="00BB248E">
        <w:rPr>
          <w:rFonts w:ascii="宋体" w:hAnsi="宋体" w:hint="eastAsia"/>
          <w:kern w:val="0"/>
          <w:sz w:val="24"/>
        </w:rPr>
        <w:t>月任资产托管部总经理，待获得基金从业资格并履行备案程序后正式履职。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2004</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18</w:t>
      </w:r>
      <w:r w:rsidRPr="00BB248E">
        <w:rPr>
          <w:rFonts w:ascii="宋体" w:hAnsi="宋体" w:hint="eastAsia"/>
          <w:kern w:val="0"/>
          <w:sz w:val="24"/>
        </w:rPr>
        <w:t>日，中信银行经中国证券监督管理委员会和中国银行业监督管理委员会批准，取得基金托管人资格。中信银行本着“诚实信用、勤勉尽责”的原则，切实履行托管人职责。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截至</w:t>
      </w:r>
      <w:r w:rsidRPr="00BB248E">
        <w:rPr>
          <w:rFonts w:ascii="宋体" w:hAnsi="宋体" w:hint="eastAsia"/>
          <w:kern w:val="0"/>
          <w:sz w:val="24"/>
        </w:rPr>
        <w:t>2026</w:t>
      </w:r>
      <w:r w:rsidRPr="00BB248E">
        <w:rPr>
          <w:rFonts w:ascii="宋体" w:hAnsi="宋体" w:hint="eastAsia"/>
          <w:kern w:val="0"/>
          <w:sz w:val="24"/>
        </w:rPr>
        <w:t>年二季度末，中信银行托管</w:t>
      </w:r>
      <w:r w:rsidRPr="00BB248E">
        <w:rPr>
          <w:rFonts w:ascii="宋体" w:hAnsi="宋体" w:hint="eastAsia"/>
          <w:kern w:val="0"/>
          <w:sz w:val="24"/>
        </w:rPr>
        <w:t>447</w:t>
      </w:r>
      <w:r w:rsidRPr="00BB248E">
        <w:rPr>
          <w:rFonts w:ascii="宋体" w:hAnsi="宋体" w:hint="eastAsia"/>
          <w:kern w:val="0"/>
          <w:sz w:val="24"/>
        </w:rPr>
        <w:t>只公开募集证券投资基金，以及基金公司、证券公司资产管理产品、信托产品、企业年金、股权基金、</w:t>
      </w:r>
      <w:r w:rsidRPr="00BB248E">
        <w:rPr>
          <w:rFonts w:ascii="宋体" w:hAnsi="宋体" w:hint="eastAsia"/>
          <w:kern w:val="0"/>
          <w:sz w:val="24"/>
        </w:rPr>
        <w:t>QDII</w:t>
      </w:r>
      <w:r w:rsidRPr="00BB248E">
        <w:rPr>
          <w:rFonts w:ascii="宋体" w:hAnsi="宋体" w:hint="eastAsia"/>
          <w:kern w:val="0"/>
          <w:sz w:val="24"/>
        </w:rPr>
        <w:t>等其他托管资产，托管总规模达到</w:t>
      </w:r>
      <w:r w:rsidRPr="00BB248E">
        <w:rPr>
          <w:rFonts w:ascii="宋体" w:hAnsi="宋体" w:hint="eastAsia"/>
          <w:kern w:val="0"/>
          <w:sz w:val="24"/>
        </w:rPr>
        <w:t>20.23</w:t>
      </w:r>
      <w:r w:rsidRPr="00BB248E">
        <w:rPr>
          <w:rFonts w:ascii="宋体" w:hAnsi="宋体" w:hint="eastAsia"/>
          <w:kern w:val="0"/>
          <w:sz w:val="24"/>
        </w:rPr>
        <w:t>万亿元人民币。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（四）基金托管人的内部控制制度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强化内部管理，确保有关法律法规及规章在基金托管业务中得到全面严格的贯彻执行；建立完善的规章制度和操作规程，保证基金托管业务持续、稳健发展；加强稽核监察，建立高效的风险监控体系，及时有效地发现、分析、控制和避免风险，确保基金财产安全，维护基金份额持有人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组织结构。中信银行总行建立了风险管理委员会，负责全行的风险控制和风险防范工作；托管部内设内控合规岗，专门负责托管部内部风险控制，对基金托管业务的各个工作环节和业务流程进行独立、客观、公正的稽核监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制度。中信银行严格按照《基金法》以及其他法律法规及规章的规定，以控制和防范基金托管业务风险为主线，制定了《中信银行基金托管业务管理办法》、《中信银行资产托管业务内部控制管理实施细则(3.0版，2026年)》、《中信银行公开募集证券投资基金信息披露操作规程（1.0版,2025年）》和《中信银行公开募集证券投资基金托管风险准备金管理办法（2.0版，2023年）》等一整套规章制度，涵盖证券投资基金托管业务的各个环节，保证证券投资基金托管业务合法、合规、持续、稳健发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内部控制措施。建立了各项规章制度、操作流程、岗位职责、行为规范等，从制度、流程、人员上保证基金托管业务稳健发展；建立了安全保管基金财产的物质条件，对业务运行场所实行封闭管理，在要害部门和岗位设立了安全保密区，安装了录像、录音监控系统，保证基金信息的安全；建立严密的内部控制防线和业务授权管理等制度，确保所托管的基金财产独立运行；营造良好的内部控制环境，开展多种形式的持续培训，加强职业道德教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基金法》、《运作办法》、《信息披露办法》、《商业银行托管业务监督管理办法（试行）》、基金合同、托管协议和有关法律法规及规章的规定，对基金的投资运作、基金资产净值计算、基金份额净值计算、应收资金到账、基金费用开支及收入确定、基金收益分配、相关信息披露、基金宣传推介材料中登载的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托管人发现基金管理人违反《基金法》、《运作办法》、《信息披露办法》、《商业银行托管业务监督管理办法（试行）》、基金合同、托管协议和有关法律法规及规章的行为，将及时以书面形式通知基金管理人限期纠正。在限期内，基金托管人有权随时对通知事项进行复查，督促基金管理人改正。基金托管人发现基金管理人有重大违规行为或违规事项未能在限期内纠正的，基金托管人将以书面形式报告中国证监会。</w:t>
      </w:r>
    </w:p>
    <w:p>
      <w:pPr>
        <w:pStyle w:val="Heading1"/>
        <w:snapToGrid w:val="0"/>
        <w:spacing w:before="240" w:beforeLines="0" w:after="0"/>
        <w:rPr>
          <w:rFonts w:ascii="宋体" w:hAnsi="宋体"/>
          <w:szCs w:val="30"/>
        </w:rPr>
      </w:pPr>
      <w:r>
        <w:br w:type="page"/>
      </w:r>
      <w:bookmarkStart w:id="12" w:name="_Toc256000005"/>
      <w:bookmarkStart w:id="13" w:name="_Toc256000031"/>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（4）名称：上海浦东发展银行股份有限公司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法定代表人：郑杨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联系人：朱瑛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网址：www.spdb.com.cn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（5）名称：中国民生银行股份有限公司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法定代表人：洪崎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传真：（010）57092611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（6）名称：中国邮政储蓄银行股份有限公司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传真：（010）68858117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联系人：陈春林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网址：www.psbc.com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（7）名称：东莞农村商业银行股份有限公司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法定代表人：王耀球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电话：（0769）22866254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传真：（0769）22866282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联系人：林培珊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客户服务电话：（0769）961122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网址：www.drcbank.com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联系人：贺倩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（10）名称：平安银行股份有限公司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注册地址：深圳市罗湖区深南东路5047号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法定代表人：谢永林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电话：0755-22166574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传真：0755-82080406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客服电话：95511-3或95501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（11）名称：中国光大银行股份有限公司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电话：（010）63639681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传真：（010）63639709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联系人：刘昭宇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网址：www.cebbank.com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（13）名称：中泰证券股份有限公司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电话：（0531）68889155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传真：（0531）68889752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联系人：许曼华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网址：www.zts.com.cn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（14）名称：中国国际金融股份有限公司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法定代表人：毕明建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电话：（010）65051166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传真：（010）85679203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联系人：杨涵宇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（15）名称：华鑫证券有限责任公司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华鑫证券有限责任公司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4001099918，95323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www.cfsc.com.cn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（16）名称：华宝证券股份有限公司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住所：中国上海市陆家嘴环路166号未来资产大厦27楼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办公地址：中国上海市浦东新区世纪大道100号上海环球金融中心57楼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陈林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电话：（021）68777222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传真：（021）68777822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客户服务电话：400-820-9898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网址：www.cnhbstock.com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（18）名称：万联证券股份有限公司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注册地址：广州市天河区珠江东路11号18、19楼全层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办公地址：广东省广州市天河区珠江东路13号高德置地广场E座12层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 系 人：丁思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联系方式：020-83988334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公司官网：www.wlzq.cn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（19）名称：西部证券股份有限公司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法定代表人：徐朝晖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电话：029-87211668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联系人：张吉安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网址：www.west95582.com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（20）名称：华龙证券股份有限公司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传真：（0931）4890628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联系人：李昕田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客户服务电话：4006898888、（0931）4890208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网址：www.hlzqgs.com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（21）名称：广发证券股份有限公司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住所：广州市黄埔区中新广州知识城腾飞一街2号618室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办公地址：广州市天河区马场路26号广发证券大厦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法定代表人：林传辉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电话：（020）66338888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传真：（020）87553600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联系人：任嘉鹏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（22）名称：第一创业证券股份有限公司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法定代表人：刘学民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电话：（0755）25832852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传真：（0755）25831718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联系人：崔国良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网址：www.firstcapital.com.cn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（23）名称：中邮证券有限责任公司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注册地址：陕西省西安市唐延路5号（陕西邮政信息大厦9-11层）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办公地址：北京市东城区珠市口东大街17号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法定代表人：郭成林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电话：010-67017788-8914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传真：010-67017788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联系人：史蕾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网址：www.cnpsec.com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（25）名称：开源证券股份有限公司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电话：13709210036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联系人：赵东会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网址：www.kysec.cn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（27）名称：南京证券股份有限公司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住所：南京市江东中路389号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办公地址：南京市江东中路389号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法定代表人：李剑锋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电话：（025）58519529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传真：（025）83369725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联系人：曹梦媛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网址：www.nizq.com.cn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（53）名称：深圳市米粒基金销售有限公司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法定代表人：黎泰材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联系人：董宣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联系电话：0755-26695461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（54）名称：北京广源达信基金销售有限公司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注册地址：北京市西城区新街口外大街28号C座六层605室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办公地址：北京市顺义区天祥路6号院北京东航中心T1A-304B室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法定代表人：齐剑辉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联系人：赵明锦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网址：https://www.niuniufund.com/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（60）名称：北京虹点基金销售有限公司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法定代表人：邓伟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客户服务电话：400-035-5010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公司网址：www.hongdianfund.com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（66）名称：上海证达通基金销售有限公司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法定代表人：姚杨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电话：（021）20530186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传真：（021）20538999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潘梦茹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客户服务电话：021-20538880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网址：www.zdt.fund</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（67）名称：深圳市金斧子基金销售有限公司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（68）名称：北京雪球基金销售有限公司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（69）名称：万家财富基金销售（天津）有限公司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（70）名称：上海华夏财富投资管理有限公司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住所：上海市虹口区东大名路687号1幢2楼268室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北京市西城区金融大街33号通泰大厦B座8层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毛淮平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电话：010-88066632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传真：010-63136184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张静怡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客户服务电话：400-817-5666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www.amcfortune.com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（71）名称：玄元保险代理有限公司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（72）名称：阳光人寿保险股份有限公司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（73）名称：中国人寿保险股份有限公司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（74）名称：和耕传承基金销售有限公司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（76）名称：腾安基金销售（深圳）有限公司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（77）名称：济安财富（北京）基金销售有限公司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（78）名称：博时财富基金销售有限公司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（79）名称：深圳前海微众银行股份有限公司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（80）名称：中信期货有限公司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联系人：丁媛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经办律师：黎明、丁媛</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名称：容诚会计师事务所（特殊普通合伙）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注册地址：北京市西城区阜成门外大街22号1幢外经贸大厦901-22至901-26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办公地址：北京市西城区阜成门外大街22号1幢外经贸大厦901-22至901-26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执行事务合伙人：肖厚发、刘维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电话：010-66001391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传真：010-66001391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联系人：李隐煜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经办会计师：沈兆杰、李隐煜</w:t>
      </w:r>
    </w:p>
    <w:p>
      <w:pPr>
        <w:pStyle w:val="Heading1"/>
        <w:snapToGrid w:val="0"/>
        <w:spacing w:before="240" w:beforeLines="0" w:after="0"/>
        <w:rPr>
          <w:rFonts w:ascii="宋体" w:hAnsi="宋体"/>
          <w:szCs w:val="30"/>
        </w:rPr>
      </w:pPr>
      <w:r>
        <w:br w:type="page"/>
      </w:r>
      <w:bookmarkStart w:id="14" w:name="_Toc256000006"/>
      <w:bookmarkStart w:id="15" w:name="_Toc256000032"/>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本基金由基金管理人依照《基金法》、《运作办法》、《销售办法》、基金合同及其他有关规定，并经中国证监会2018年7月13日证监许可[2018]1125号文准予募集注册。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本基金为契约型开放式混合型证券投资基金。基金的存续期间为不定期。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本基金自2018年8月13日至2018年 9月21日进行发售，本基金设立募集期共募集364,241,070.86份基金份额，有效认购户数为7,229户。</w:t>
      </w:r>
    </w:p>
    <w:p>
      <w:pPr>
        <w:pStyle w:val="Heading1"/>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根据有关规定，本基金满足基金合同生效条件，基金合同已于2018年9月27日正式生效。自基金合同生效之日起，本基金管理人正式开始管理本基金。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连续二十个工作日出现基金份额持有人数量不满200人或者基金资产净值低于5000万元情形的，基金管理人应当在定期报告中予以披露。连续六十个工作日出现基金份额持有人数量不满200人或者基金资产净值低于5000万元情形的，基金管理人可向中国证监会报告并提前终止基金合同，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1、本基金管理人的直销机构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2、除基金管理人之外的其他销售机构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本基金除基金管理人之外的其他销售机构参见本招募说明书“五、相关服务机构”章节或拨打本公司客户服务电话进行咨询。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投资人应当通过上述销售机构办理基金申购、赎回业务的营业场所或按上述销售机构提供的其他方式进行申购或赎回。本基金管理人可根据情况变更或增减基金销售机构，并在管理人网站公示。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在开放日办理基金份额的申购和赎回，若该工作日为非港股通交易日，则本基金不开放，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本基金已于2018年11月1日起开放申购、赎回业务。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（三）申购与赎回的原则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2、“金额申购、份额赎回”原则，即申购以金额申请，赎回以份额申请；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基金管理人可在法律法规允许的情况下，对上述原则进行调整。基金管理人必须在新规则开始实施前依照《信息披露办法》的有关规定在指定媒介上公告。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3、最低保留余额的限制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根据市场情况，在法律法规允许的情况下，调整申购的金额和赎回的份额以及最低基金份额保留余额的数量限制，基金管理人必须在调整实施前依照《信息披露办法》的有关规定在指定媒介上刊登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投资人申购基金份额时，必须全额交付申购款项，若申购资金在规定时间内未全额到账则申购不成立。投资人全额交付申购款项，申购成立；登记机构确认基金份额时，申购生效。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递交赎回申请，赎回成立；登记机构确认赎回时，赎回生效。投资人赎回申请成功后，基金管理人将在T＋7日（包括该日）内支付赎回款项。遇交易所或交易市场数据传输延迟、通讯系统故障、银行数据交换系统故障或其它非基金管理人及基金托管人所能控制的因素影响业务处理流程，则赎回款顺延至上述情形消除后的下一个工作日划往投资者银行账户。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基金管理人可在法律法规允许的范围内，依法对上述申购和赎回申请的确认时间进行调整，并必须在调整实施日前按照《信息披露办法》的有关规定在指定媒介上公告并报中国证监会备案。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4、申购和赎回的登记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（3）基金管理人可在法律法规允许的范围内，对上述登记办理时间进行调整，并于开始实施前按照《信息披露办法》的有关规定在指定媒介上公告并报中国证监会备案。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本基金的申购费用由基金申购人承担，不列入基金财产，主要用于本基金的市场推广、销售、登记等各项费用。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投资人可以多次申购本基金，申购费用按每笔申购申请单独计算。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因红利自动再投资而产生的基金份额，不收取相应的申购费用。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本基金对通过基金管理人直销柜台申购本基金基金份额的养老金客户实施特定申购费率。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企业年金理事会委托的特定客户资产管理计划、企业年金养老金产品。如将来出现经养老基金监管部门认可的新的养老基金类型，基金管理人可在招募说明书更新或发布临时公告将其纳入养老金客户范围，并按规定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通过基金管理人直销柜台申购本基金基金份额的养老金客户特定申购费率如下表：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赎回费用由赎回基金份额的基金份额持有人承担，在基金份额持有人赎回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对持续持有期大于等于6个月的投资人，应当将赎回费总额的25%计入基金财产。上述“月”指的是30个自然日。未归入基金财产的部分用于支付登记费和其他必要的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赎回费率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30日（含）—1年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1年（含）—2年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2年以上（含）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上表中的“年”指的是365个自然日。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3、基金管理人可以在基金合同约定的范围内调整费率或收费方式，并最迟应于新的费率或收费方式实施日前依照《信息披露办法》的有关规定在指定媒介上公告。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5、当发生大额申购或赎回情形时，基金管理人可以采用摆动定价机制以确保基金估值的公平性。具体处理原则与操作规范遵循相关法律法规以及监管部门、自律规则的规定。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（1）申购的有效份额为净申购金额除以当日的基金份额净值，有效份额单位为份，申购份额计算结果按四舍五入方法，保留到小数点后2位，由此产生的收益或损失由基金财产承担。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为按实际确认的有效赎回份额乘以当日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 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例三：某投资者（非养老金客户）投资40,000元申购本基金，假设申购当日基金份额净值为1.040元，申购费率为1.5%，则其可得到的申购份额为：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申购总金额＝40,000元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净申购金额=40,000/（1+1.5%）=39,408.87元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申购费用=40,000-39,408.87=591.13元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申购份额=（40,000-591.13）/1.040=37,893.14份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即：某投资者（非养老金客户）投资40,000元申购本基金，假设申购当日基金份额净值为1.040元，则其可得到37,893.14份基金份额。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例四：某养老金客户投资100,000元通过基金管理人的直销柜台申购本基金，假设申购当日基金份额净值为1.040元，申购费率为0.6%，则其可得到的申购份额为：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净申购金额=100,000/（1+0.6%）=99403.58元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申购费用=100,000-99403.58=596.42元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申购份额=（100,000-596.42）/1.040=95,580.37份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即：该养老金客户投资100,000元通过基金管理人的直销柜台申购本基金，假设申购当日基金份额净值为1.040元，则其可得到95,580.37份基金份额。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赎回金额为按实际确认的有效赎回份额乘以当日基金份额净值并扣除相应的费用，赎回金额单位为元，计算结果保留到小数点后两位，第三位四舍五入。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例五：某投资者赎回持有的10,000份基金份额，持有期限为30日，对应的赎回费率为0.5%，假设赎回当日基金份额净值是1.016元，则其可得到的赎回金额为：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10,000×1.016-50.80 ＝ 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即：投资者赎回本基金10,000份基金份额，对应的赎回费率为0.5%，假设赎回当日基金份额净值是1.016元，则其可得到的赎回金额为10,109.20元。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基金份额净值＝基金资产净值总额/发行在外的基金份额总数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包括该日）内公告。遇特殊情况，经中国证监会同意，可以适当延迟计算或公告。本基金基金份额净值的计算，保留到小数点后4位，小数点后第5位四舍五入，由此误差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（八）拒绝或暂停申购的情形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5、基金资产规模过大，使基金管理人无法找到合适的投资品种，或其他可能对基金业绩产生负面影响，或出现其他损害现有基金份额持有人利益的情形。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6、基金管理人、基金托管人、基金销售机构、基金销售支付结算机构或登记机构的异常情况导致基金销售系统、基金销售支付结算系统、基金注册登记系统或基金会计系统无法正常运行。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7、港股通交易每日额度不足。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9、当前一估值日基金资产净值50%以上的资产出现无可参考的活跃市场价格且采用估值技术仍导致公允价值存在重大不确定性时，经与基金托管人协商确认后，基金管理人应当暂停接受申购申请。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第1、2、3、5、6、7、9、10项暂停申购情形之一且基金管理人决定暂停接受投资人的申购申请时，基金管理人应当根据有关规定在指定媒介上刊登暂停申购公告。如果投资人的申购申请被拒绝，被拒绝的申购款项本金将退还给投资人。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（九）暂停赎回或延缓支付赎回款项的情形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5、发生继续接受赎回申请将损害现有基金份额持有人利益的情形时，可暂停接受投资人的赎回申请。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7、基金合同约定、法律法规规定或中国证监会认定的其他情形。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确认并支付，并以后续开放日的基金份额净值为依据计算赎回金额。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当发生上述巨额赎回并延期办理时，基金管理人应当通过邮寄、传真、刊登公告或者通知销售机构代为告知等方式在3个交易日内通知基金份额持有人，说明有关处理方法，并在2日内在指定媒介上刊登公告。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2、暂停结束，基金重新开放申购或赎回时，基金管理人应依照《信息披露办法》的有关规定，不迟于重新开放日，在指定媒介上刊登基金重新开放申购或赎回公告，并公布最近一个开放日的基金份额净值。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非交易过户是指基金登记机构受理继承、捐赠和司法强制执行等情形而产生的非交易过户以及登记机构认可、符合法律法规的其他非交易过户。无论在上述何种情况下，接受划转的主体必须是依法可以持有本基金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本基金2018年10月30日刊登公告自2018年11月1日起开通定期定额投资计划业务，具体开通销售机构名单和业务规则参见相关公告。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（十五）基金份额的冻结和解冻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（十六）基金份额的转让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（十七）其他业务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Heading1"/>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2018年11月6日刊登公告自2018年11月8日起开放日常转换业务。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6、本基金管理人可以根据法律法规及基金合同的规定对上述转换费用收费方式和费率进行调整，并应于调整后的收费方式和费率实施前依照《信息披露办法》的有关规定在中国证监会指定媒介上公告。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6"/>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本基金通过优化资产配置和灵活运用多种投资策略，把握港股通资本市场开放政策下的投资机会，力争实现基金资产的稳定增值。</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内地依法发行上市的股票（含中小板、创业板及其他经中国证监会核准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权证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资产（含存托凭证）占基金资产的50%-95%（其中，投资于内地依法发行上市的股票的比例占基金资产的50-95%，投资于港股通标的股票的比例占股票资产的0-50%），其中投资于创新成长主题相关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综合考虑国家经济政策、经济周期、各行业的相对估值水平和行业竞争格局等因素，运用修正后的投资时钟分析框架，自上而下调整基金大类资产配置和股票行业配置策略，确定债券组合久期和债券类别配置；在严谨深入的股票和债券研究分析基础上，自下而上精选个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1、资产配置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利用经交银施罗德研究团队修正后的投资时钟分析框架，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本基金管理人将坚持行业配置策略与个股精选策略相结合；个股选择层面，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遵循自下而上的积极策略。本基金对境内股票及港股通标的股票的选择，主要采取创新成长型选股策略。本基金重点关注的创新成长型股票为：在沪港深三地上市的公司中，优选“朝阳行业”中具备核心创新和研发能力的企业，同时注重稳健回报。“朝阳行业”指未来3-5年需求空间大、增长速度快、产品服务渗透率低的新型成长行业。具备核心创新和研发能力的企业更具长期成长实力，这是为投资者带来持续稳健高收益的关键。同时，充分考虑行业研究员给予的行业判断，把握行业发展趋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（1）在沪港深三地上市的公司中，优选“朝阳行业”中具备核心创新和研发能力的公司，同时注重稳健回报。主要筛选指标包括：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■盈利能力指标（如P/E、P/Cash Flow、P/FCF、P/S、P/EBIT等）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■经营效率指标（如ROE、ROA、Return on operating assets等）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■财务状况指标（如D/A、流动比率等）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（2）分析管理层与中小股东的利益一致性，寻找管理层充分投入于创造股东财富的上市公司，并且通过历史记录考核、管理层能力评价等定量和定性方式选择杰出管理层管理的公司。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（3）比较行业发展潜力和业内竞争优势。结合行业、公司优势进行标的的二次优化，为投资者积极追求投资回报的增加。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（4）投资于在香港上市的外资龙头公司，重点关注香港本土和国外上市企业。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（5）关注双重上市公司A股与H股之间的套利机会。内地与香港投资者结构和交易规则不同将带来跨市场套利机会。本基金将积极关注AH折溢价，事件驱动等所带来的跨市场套利的机会。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对上述重点上市公司进行内在价值的评估和成长性跟踪研究，在明确的价值评估基础上精选优秀质地的投资标的构建股票组合。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（6）存托凭证的投资策略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4、权证投资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5、资产支持证券投资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6、股指期货投资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资产（含存托凭证）占基金资产的50%-95%（其中，投资于内地依法发行上市的股票的比例占基金资产的50-95%，投资于港股通标的股票的比例占股票资产的0-50%），其中投资于创新成长主题相关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（3）本基金持有一家公司发行的证券（同一家公司在内地和香港同时上市的A+H 股合计计算），其市值不超过基金资产净值的10%；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（4）本基金管理人管理的全部基金持有一家公司发行的证券（同一家公司在内地和香港同时上市的A+H 股合计计算），不超过该证券的10%；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（5）本基金持有的全部权证，其市值不得超过基金资产净值的3%；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（6）本基金管理人管理的全部基金持有的同一权证，不得超过该权证的10%；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（17）本基金进入全国银行间同业市场进行债券回购的资金余额不得超过基金资产净值的40%；本基金在全国银行间同业市场中的债券回购最长期限为1年，债券回购到期后不得展期；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（19）本基金的基金资产总值不得超过基金资产净值的140%；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2）项、第（9）项、第（10）项、第（15）项以外，因证券、期货市场波动、证券发行人合并或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为维护基金份额持有人的合法权益，基金财产不得用于下列投资或者活动：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如法律、行政法规或监管部门取消上述禁止性规定，如适用于本基金，基金管理人在履行适当程序后，本基金可不受上述规定的限制。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本基金业绩比较基准：沪深300成长指数收益率×55%+中证港股通综合指数（人民币）收益率×30%+中债-国债总财富（1-3年）指数收益率×15%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1、业绩比较基准设定的原因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于基金投资范围以及预期投资的主要资产类别，本基金主要投资于A股股票、港股通标的股票、债券等资产，相应选取与之匹配的A股指数、港股指数、债券指数作为基准要素。同时基于基金投资股票资产（含存托凭证）占基金资产的比例为50%-95%（其中投资于港股通标的股票的比例占股票资产的0%-50%）等投资比例限制，以及预期的资产配置比例，本基金将股票资产与债券资产所对应的基准要素权重分别设置为85%与15%，其中将股票资产中的A股股票与港股通标的股票所对应的基准要素权重分别设置为55%与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成长指数和中证港股通综合指数（人民币）分别作为A股股票和港股通标的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沪深300成长指数从沪深300指数样本中，选取成长得分最高的100只证券作为沪深300成长指数样本，反映沪深300指数样本中具有成长特征的上市公司证券的整体表现，适合作为本基金A股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中证港股通综合指数（人民币）选取符合港股通资格的上市公司证券作为指数样本，以反映港股通范围内上市公司的整体表现，适合作为本基金港股通标的股票部分的业绩比较基准要素。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中债-国债总财富（1-3年）指数隶属于中债-国债总指数，该指数成份券由在境内公开发行且上市流通的记账式国债组成，成份券待偿期在1-3年（含1年），适合作为本基金债券部分的业绩比较基准要素。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综上，本基金选取的业绩比较基准与基金投资目标、投资范围、投资策略、投资比例限制相匹配。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2、业绩比较基准要素的基本信息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沪深300成长指数由中证指数有限公司编制发布，指数代码为000918，指数具体信息详见中证指数有限公司网站，网址：www.csindex.com.cn。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中证港股通综合指数（人民币）由中证指数有限公司编制发布，指数代码为930933，指数具体信息详见中证指数有限公司网站，网址：www.csindex.com.cn。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中债-国债总财富（1-3年）指数由中债金融估值中心有限公司编制发布，指数代码为CBA00621，指数具体信息详见中国债券信息网，网址：www.chinabond.com.cn。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3、业绩比较基准的计算方法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收益率的计算方法以每日收益率为基础，以时间加权为计算原则。本基金先分别计算业绩比较基准中沪深300成长指数、中证港股通综合指数（人民币）、中债-国债总财富（1-3年）指数的每日收益率，再按照预设权重比例计算当日组合要素基准的日收益率，并连乘每日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4、管理投资偏离业绩比较基准的定性或定量方法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风险的基础上追求超越业绩比较基准的投资回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5、未来可能变更业绩比较基准的情况和程序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（2）调整业绩比较基准的要素权重、更换相同或相近特征的要素等，使新业绩比较基准代表性更强，且符合相关法律法规规定的；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（3）中国证监会认可的其他情形。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业绩比较基准变更涉及以下情形的，基金管理人应当按照规定履行变更注册、召开基金份额持有人大会等程序，法律法规、中国证监会另有规定的除外：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（1）基金投资目标、投资范围、投资策略、投资比例等拟进行重大调整，并变更业绩比较基准的；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（2）其他对基金份额持有人利益产生重大实质性影响的情形。</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本基金是一只混合型基金，其预期风险和预期收益高于债券型基金和货币市场基金，低于股票型基金。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（七）基金管理人代表基金行使股东及债权人权利的处理原则及方法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1、基金管理人按照国家有关规定代表基金独立行使股东及债权人权利，保护基金份额持有人的利益；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2、不谋求对上市公司的控股，不参与所投资上市公司的经营管理；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基金托管人中信银行股份有限公司根据本基金合同约定，于2026年07月17日复核了本报告中的财务指标、净值表现和投资组合报告等内容，保证复核内容不存在虚假记载、误导性陈述或者重大遗漏。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86,831,730.43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76.45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86,831,730.43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76.45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26,571,769.77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23.39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182,975.37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113,586,475.57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注：本基金本报告期末通过港股通机制投资香港股票的公允价值为30,993,565.82元，占基金资产净值比例为29.63%。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41,758,190.16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39.92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6,621,907.45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6.33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1,837,493.00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2,022,235.00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3,598,339.00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55,838,164.61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53.37</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公允价值（人民币）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信息技术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10,266,730.18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可选消费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8,679,480.95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通信服务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8,171,023.09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7.81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3,876,331.60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30,993,565.82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29.63</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注：本报告采用中证CICS一级分类标准编制。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00700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腾讯控股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20,700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7,727,367.75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7.39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6,223,000.00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688041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海光信息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14,087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5,216,416.10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300750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宁德时代</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5,148,431.00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601728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中国电信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875,700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4,544,883.00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00268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金蝶国际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875,000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4,499,089.00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09992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泡泡玛特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33,295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4,473,672.19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300502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新易盛</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4,370,400.00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03690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美团-W</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70,691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4,205,808.76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02423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贝壳-W</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118,823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3,876,331.60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3.71</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2025年12月31日,央行重庆市分行公示渝银罚决字[2025]35号行政处罚决定书，给予美团旗下重庆美团三快小额贷款有限公司56.7万元人民币的罚款行政处罚。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2026年4月17日，市场监管总局依法对上海寻梦信息技术有限公司（拼多多）,北京三快科技有限公司（美团）,北京京东叁佰陆拾度电子商务有限公司（京东）,上海拉扎斯信息科技有限公司（原饿了么，现淘宝闪购）,北京抖音科技有限公司（抖音）,浙江淘宝网络有限公司（淘宝）,浙江天猫网络有限公司（天猫）等7家电商平台“幽灵外卖”系列案，依据《中华人民共和国食品安全法》第一百三十一条,《中华人民共和国电子商务法》第八十三条的规定作出行政处罚决定，并处以罚没款共计35.97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140,605.55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37,450.37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4,919.45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182,975.37</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5.85%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3.65%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-11.37%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-12.23%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17.51%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-11.80%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17.73%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14.96%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-8.73%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-11.48%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-23.99%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-14.57%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-9.42%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7.04%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-5.57%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2020年度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62.82%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13.03%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49.79%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2019年度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51.81%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21.37%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30.44%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2018年度（自基金合同生效起至2018年12月31日）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-7.52%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6.74%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-0.83%</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w:t>
      </w:r>
      <w:r w:rsidRPr="00BB248E">
        <w:rPr>
          <w:rFonts w:ascii="宋体" w:hAnsi="宋体" w:hint="eastAsia"/>
          <w:kern w:val="0"/>
          <w:sz w:val="24"/>
        </w:rPr>
        <w:t>本基金的业绩比较基准为沪深300成长指数收益率×55%+中证港股通综合指数（人民币）收益率×30%+中债-国债总财富（1-3年）指数收益率×15%</w:t>
      </w:r>
      <w:r w:rsidRPr="00BB248E">
        <w:rPr>
          <w:rFonts w:ascii="宋体" w:hAnsi="宋体" w:hint="eastAsia"/>
          <w:kern w:val="0"/>
          <w:sz w:val="24"/>
        </w:rPr>
        <w:t>，每日进行再平衡过程。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交银施罗德创新成长混合型证券投资基金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(2018年09月27日至2026年06月30日)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68.27pt;width:439.5pt">
            <v:imagedata r:id="rId13"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注：本基金建仓期为自基金合同生效日起的6个月。截至建仓期结束，本基金各项资产配置比例符合基金合同及招募说明书有关投资比例的约定。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8"/>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基金资产总值是指基金拥有的各类有价证券、股指期货合约、银行存款本息、基金应收申购款及其他资产的价值总和。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（四）基金财产的保管和处分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pPr>
        <w:pStyle w:val="Heading1"/>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基金所拥有的股票、债券、衍生工具和其他投资等持续以公允价值计量的金融资产及负债。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交易所市场上市交易的可转换债券，按估值日收盘价减去可转换债券收盘价中所含债券应收利息后得到的净价进行估值；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（4）交易所市场挂牌转让的资产支持证券和私募债券，采用估值技术确定公允价值。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2、证券交易所发行未上市期间的有价证券应区分如下情况处理：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（1）送股、转增股、配股和公开增发的新股，按估值日在证券交易所挂牌的同一股票的估值方法估值；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（2）首次公开发行未上市的股票和权证，采用估值技术确定公允价值；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（3）发行时明确一定期限限售期的股票，包括但不限于非公开发行股票、首次公开发行股票时公司股东公开发售股份、通过大宗交易取得的带限售期的股票等，按监管机构或行业协会有关规定确定公允价值；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（4）交易所市场发行未上市或未挂牌转让的债券，采用估值技术确定公允价值。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3、银行间市场上市交易的固定收益品种，选取第三方估值机构提供的相应品种当日的估值净价进行估值。银行间市场发行未上市的固定收益品种，采用估值技术确定公允价值。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5、估值计算中涉及港币对人民币汇率的，将依据下列信息提供机构所提供的汇率为基准：当日中国人民银行公布的人民币与港币的中间价。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按照中国法律法规和基金投资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7、如有确凿证据表明按上述方法进行估值不能客观反映其公允价值的，基金管理人可根据具体情况与基金托管人商定后，按最能反映公允价值的方法估值。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8、当发生大额申购或赎回情形时，基金管理人可以对本基金采用摆动定价机制，以确保基金估值的公平性。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10、相关法律法规以及监管部门有强制规定的，从其规定。如有新增事项，按法律法规以及监管部门最新规定估值。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1、基金份额净值是按照每个工作日闭市后，基金资产净值除以当日基金份额的余额数量计算，精确到0.0001元，小数点后第五位四舍五入。国家另有规定的，从其规定。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基金管理人于每个工作日计算基金资产净值及基金份额净值，并按规定公告。如遇特殊情况，经中国证监会同意，可以适当延迟计算或公告。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基金管理人和基金托管人将采取必要、适当、合理的措施确保基金资产估值的准确性、及时性。当基金份额净值小数点后第4位以内（含第4位) 发生估值错误时，视为基金份额净值错误。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一方当事人提供的信息错误，另一方当事人在采取了必要合理的措施后仍不能发现该错误，进而导致基金资产净值计算错误造成投资人或基金的损失，以及由此造成以后交易日基金资产净值计算顺延错误而引起的投资人或基金的损失，由提供错误信息的当事人一方负责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 的直接损失按下述“估值错误处理原则”给予赔偿，承担赔偿责任。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（4）估值错误调整采用尽量恢复至假设未发生估值错误的正确情形的方式。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（5）按法律法规规定的其他原则处理估值错误。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估值错误被发现后，有关的当事人应当及时进行处理，处理的程序如下：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4、基金份额净值估值错误处理的方法如下：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（3）前述内容如法律法规或监管机关另有规定的，从其规定处理。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3、当前一估值日基金资产净值50%以上的资产出现无可参考的活跃市场价格且采用估值技术仍导致公允价值存在重大不确定性时，经与基金托管人协商确认后，基金管理人应当暂停基金估值；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1、基金管理人或基金托管人按估值方法的第7项进行估值时，所造成的误差不作为基金资产估值错误处理。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经纪机构、期货公司及登记结算公司发送的数据错误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pStyle w:val="Heading1"/>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1、若《基金合同》生效不满3个月可不进行收益分配；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2、本基金收益分配方式分两种：现金分红与红利再投资，投资者可选择现金红利或将现金红利自动转为基金份额进行再投资；若投资者不选择，本基金默认的收益分配方式是现金分红；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3、基金收益分配后基金份额净值不能低于面值，即基金收益分配基准日的基金份额净值减去每单位基金份额收益分配金额后不能低于面值；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4、每一基金份额享有同等分配权；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本基金收益分配方案由基金管理人拟定，并由基金托管人复核，依照《信息披露办法》的有关规定在指定媒介公告。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基金红利发放日距离收益分配基准日（即可供分配利润计算截止日）的时间不得超过15个工作日。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时所发生的银行转账或其他手续费用由投资者自行承担。当投资者的现金红利小于一定金额，不足以支付银行转账或其他手续费用时，登记机构可将基金份额持有人的现金红利自动转为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投资人同一日多次申报收益分配方式变更的，按照《业务规则》执行，最终确认的收益分配方式以登记机构记录为准。</w:t>
      </w:r>
    </w:p>
    <w:p>
      <w:pPr>
        <w:pStyle w:val="Heading1"/>
        <w:snapToGrid w:val="0"/>
        <w:spacing w:before="240" w:beforeLines="0" w:after="0"/>
        <w:rPr>
          <w:rFonts w:ascii="宋体" w:hAnsi="宋体"/>
          <w:szCs w:val="30"/>
        </w:rPr>
      </w:pPr>
      <w:r>
        <w:br w:type="page"/>
      </w:r>
      <w:bookmarkStart w:id="32" w:name="_Toc256000015"/>
      <w:bookmarkStart w:id="33" w:name="_Toc256000041"/>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3、《基金合同》生效后与基金相关的信息披露费用；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4、《基金合同》生效后与基金相关的会计师费、律师费和诉讼费；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6、基金的证券、期货交易费用；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7、基金的银行汇划费用；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8、基金的开户费用、账户维护费用；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9、因投资港股通标的股票而产生的各项合理费用；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10、按照国家有关规定和《基金合同》约定，可以在基金财产中列支的其他费用。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H＝E×1.2%÷当年天数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基金管理费每日计提，按月支付。由基金管理人向基金托管人发送基金管理费划付指令，经基金托管人复核后于次月首日起3个工作日内从基金资产中一次性支付给基金管理人。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本基金的托管费按前一日基金资产净值的0.2%的年费率计提。托管费的计算方法如下：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基金托管费每日计提，按月支付。由基金管理人向基金托管人发送基金托管费划付指令，经基金托管人复核后于次月首日起3个工作日内从基金资产中一次性支付给基金托管人。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（3）上述“（一）基金费用的种类”中第3－10项费用，根据有关法规及相应协议规定，按费用实际支出金额列入当期费用，由基金托管人从基金财产中支付。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下列费用不列入基金费用：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2、基金管理人和基金托管人处理与基金运作无关的事项发生的费用；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3、《基金合同》生效前的相关费用；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4、其他根据相关法律法规及中国证监会的有关规定不得列入基金费用的项目。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（四）基金管理人和基金托管人可根据基金发展情况依照有关规定调整基金管理费率、基金托管费率等相关费率。基金管理人必须依照有关规定于新的费率实施日前在指定媒介上刊登公告。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本基金运作过程中涉及的各纳税主体，其纳税义务按国家税收法律、法规执行。</w:t>
      </w:r>
    </w:p>
    <w:p>
      <w:pPr>
        <w:pStyle w:val="Heading1"/>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1、基金管理人为本基金的基金会计责任方；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2、基金的会计年度为公历年度的1月1日至12月31日；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（二）基金的年度审计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1、基金管理人聘请与基金管理人、基金托管人相互独立的具有证券、期货相关业务资格的会计师事务所及其注册会计师对本基金的年度财务报表进行审计。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3、基金管理人认为有充足理由更换会计师事务所，须通报基金托管人。更换会计师事务所需依照《信息披露办法》的有关规定在指定媒介公告。</w:t>
      </w:r>
    </w:p>
    <w:p>
      <w:pPr>
        <w:pStyle w:val="Heading1"/>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1、基金招募说明书、《基金合同》、基金托管协议、基金产品资料概要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在开始办理基金份额申购或者赎回后，基金管理人应当在不晚于每个开放日的次日，通过指定网站、销售机构网站或者营业网点披露开放日的基金份额净值和基金份额累计净值。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（16）基金份额净值计价错误达基金份额净值百分之零点五；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（22）本基金采用摆动定价机制进行估值；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13、参与港股通交易的信息披露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在季度报告、中期报告、年度报告等定期报告和招募说明书（更新）等文件中披露参与港股通交易的相关情况。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（八）本基金信息披露事项以法律法规规定及本章节约定的内容为准。</w:t>
      </w:r>
    </w:p>
    <w:p>
      <w:pPr>
        <w:pStyle w:val="Heading1"/>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上一开放日总份额的百分之十时，投资人将可能无法及时赎回持有的全部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若该工作日为非港股通交易日，则本基金不开放）的交易时间，但基金管理人根据法律法规、中国证监会的要求或基金合同的规定公告暂停申购、赎回时除外。基金管理人自基金合同生效之日起不超过3个月开始办理申购和赎回业务，具体业务办理时间在申购赎回开始公告中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全额赎回”或“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连续2个开放日以上（含本数）发生巨额赎回，如基金管理人认为有必要，可暂停接受基金的赎回申请；已经接受的赎回申请可以延缓支付赎回款项，但不得超过20个工作日，并应当在指定媒介上进行公告。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（五）本基金投资策略所特有的风险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3、本基金可投资港股通标的股票，会面临港股通机制下因投资环境、投资标的、市场制度以及交易规则等差异带来的特有风险，具体如下：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（1）港股交易失败风险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（2）汇率风险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（3）境外市场的风险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2）香港市场交易规则有别于内地A股市场规则，此外，在“内地与香港股票市场交易互联互通机制”下参与香港股票投资还将面临包括但不限于如下特殊风险：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a）香港市场实行T+0回转交易机制（即当日买入的股票，在交收前可以于当日卖出），且证券交易价格并无涨跌幅上下限的规定，因此每日涨跌幅空间相对较大，可能表现出比A股更为剧烈的股价波动；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以上所述因素可能会给本基金投资带来特殊交易风险。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（六）投资股指期货的特定风险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（2）流动性风险是指由于股指期货合约无法及时变现所带来的风险。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（5）信用风险是指期货经纪公司违约而产生损失的风险。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（七）投资资产支持证券的特定风险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十九、基金合同的变更、终止与基金财产的清算</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2、关于《基金合同》变更的基金份额持有人大会决议生效后方可执行，并自决议生效后依照《信息披露办法》的规定在指定媒介公告。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5、基金财产清算的期限为6个月。若遇基金持有的有价证券出现长期休市、停牌或其他流通受限的情形除外。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42" w:name="_Toc256000020"/>
      <w:bookmarkStart w:id="43" w:name="_Toc256000046"/>
      <w:r>
        <w:rPr>
          <w:rFonts w:ascii="宋体" w:hAnsi="宋体"/>
          <w:sz w:val="30"/>
        </w:rPr>
        <w:t>二十、基金合同内容摘要</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（一）基金份额持有人、基金管理人和基金托管人的权利与义务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（2）自《基金合同》生效之日起，根据法律法规和《基金合同》独立运用并管理基金财产；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（8）选择、更换基金销售机构，对基金销售机构的相关行为进行监督和处理；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（10）依据《基金合同》及有关法律规定决定基金收益的分配方案；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（11）在《基金合同》约定的范围内，拒绝或暂停受理申购与赎回申请；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（13）在法律法规允许的前提下，为基金的利益依法为基金进行融资；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（3）自《基金合同》生效之日起，以诚实信用、谨慎勤勉的原则管理和运用基金财产；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（14）按规定受理申购与赎回申请，及时、足额支付赎回款项；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（1）自《基金合同》生效之日起，依法律法规和《基金合同》的规定安全保管基金财产；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（4）根据相关市场规则，为基金开设资金账户、证券账户等投资所需账户、协助开立股指期货业务相关账户及交易编码、为基金办理证券、期货交易资金清算；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（6）在基金管理人更换时，提名新的基金管理人；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（6）按规定开设基金财产的资金账户和证券账户等投资所需账户，协助开立股指期货业务相关账户及交易编码，按照《基金合同》的约定，根据基金管理人的投资指令，及时办理清算、交割事宜；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（8）复核、审查基金管理人计算的基金净值信息、基金份额申购、赎回价格；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（11）保存基金托管业务活动的记录、账册、报表和其他相关资料15年以上；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（16）按照法律法规和《基金合同》的规定监督基金管理人的投资运作；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（3）依法并按照基金合同和招募说明书的规定申请赎回或转让其持有的基金份额；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（4）按照规定要求召开基金份额持有人大会或者召集基金份额持有人大会；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（1）认真阅读并遵守《基金合同》、招募说明书等信息披露文件；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（3）关注基金信息披露，及时行使权利和履行义务；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（4）缴纳基金认购、申购款项及法律法规和《基金合同》所规定的费用；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（5）在其持有的基金份额范围内，承担基金亏损或者《基金合同》终止的有限责任；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（8）返还在基金交易过程中因任何原因获得的不当得利；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（9）遵守基金管理人、基金托管人、销售机构和登记机构的相关交易及业务规则；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（二）基金份额持有人大会召集、议事及表决的程序和规则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本基金份额持有人大会不设日常机构。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2）更换基金管理人；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3）更换基金托管人；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5）提高基金管理人、基金托管人的报酬标准；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8）变更基金投资目标、范围或策略；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9）变更基金份额持有人大会程序；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10）基金管理人或基金托管人要求召开基金份额持有人大会；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12）对基金合同当事人权利和义务产生重大影响的其他事项；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（2）在法律法规和《基金合同》规定的范围内且在对现有基金份额持有人利益无实质性不利影响的前提下，以下情况可由基金管理人和基金托管人协商后修改，不需召开基金份额持有人大会：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2）在法律法规和《基金合同》规定的范围内，且在对现有基金份额持有人利益无实质性不利影响的前提下调整本基金的申购费率、调低赎回费率、变更或增加收费方式；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3）因相应的法律法规、登记机构的相关业务规则发生变动而应当对《基金合同》进行修改；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7）在不违反法律法规及对基金份额持有人利益无实质性不利影响的前提下，基金管理人、登记机构、销售机构调整有关基金认购、申购、赎回、转换、非交易过户、转托管等业务的规则；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8）按照法律法规和《基金合同》规定不需召开基金份额持有人大会的以外的其他情形。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（3）基金合同生效后的存续期内，若连续六十个工作日基金份额持有人数量不满200人或者基金资产净值低于5000万元，基金管理人可向中国证监会报告并提前终止基金合同，无需召开基金份额持有人大会。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（2）基金管理人未按规定召集或不能召集时，由基金托管人召集；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（1）召开基金份额持有人大会，召集人应于会议召开前30日，在指定媒介公告。基金份额持有人大会通知应至少载明以下内容：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2）会议拟审议的事项、议事程序和表决方式；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5）会务常设联系人姓名及联系电话；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基金份额持有人大会可通过现场开会方式、通讯开会方式或法律法规和监管机关允许的其他方式召开，会议的召开方式由会议召集人确定。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基金份额应不少于在权益登记日基金总份额的三分之一（含三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（2）通讯开会。通讯开会系指基金份额持有人将其对表决事项的投票以书面形式在表决截至日以前送达至召集人指定的地址。通讯开会应以书面方式进行表决。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在同时符合以下条件时，通讯开会的方式视为有效：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人直接出具书面意见或授权他人代表出具书面意见的，基金份额持有人所持有的基金份额不小于在权益登记日基金总份额的二分之一（含二分之一）；若本人直接出具书面意见或授权他人代表出具书面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书面意见或授权他人代表出具书面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基金份额持有人所持每份基金份额有一票表决权。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8、生效与公告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基金份额持有人大会的决定的事项自表决通过之日起生效，召集人应当自通过之日起5日内报中国证监会备案。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基金份额持有人大会决议自生效之日起2日内在指定媒介上公告。如果采用通讯方式进行表决，在公告基金份额持有人大会决议时，必须将公证书全文、公证机构、公证员姓名等一同公告。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部分对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（三）基金合同解除和终止的事由、程序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（2）关于《基金合同》变更的基金份额持有人大会决议生效后方可执行，并自决议生效后依照《信息披露办法》的规定在指定媒介公告。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（5）基金财产清算的期限为6个月。若遇基金持有的有价证券出现长期休市、停牌或其他流通受限的情形除外。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律师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《基金合同》受中国法律管辖。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（五）基金合同存放及投资者取得基金合同的方式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《基金合同》可印制成册，供投资者在基金管理人、基金托管人、销售机构的办公场所和营业场所查阅。</w:t>
      </w:r>
    </w:p>
    <w:p>
      <w:pPr>
        <w:pStyle w:val="Heading1"/>
        <w:snapToGrid w:val="0"/>
        <w:spacing w:before="240" w:beforeLines="0" w:after="0"/>
        <w:rPr>
          <w:rFonts w:ascii="宋体" w:hAnsi="宋体"/>
          <w:szCs w:val="30"/>
        </w:rPr>
      </w:pPr>
      <w:r>
        <w:br w:type="page"/>
      </w:r>
      <w:bookmarkStart w:id="44" w:name="_Toc256000021"/>
      <w:bookmarkStart w:id="45" w:name="_Toc256000047"/>
      <w:r>
        <w:rPr>
          <w:rFonts w:ascii="宋体" w:hAnsi="宋体"/>
          <w:sz w:val="30"/>
        </w:rPr>
        <w:t>二十一、托管协议的内容摘要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批准设立文号：证监基金字[2005]128号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法定代表人：李庆萍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成立时间：1987年4月7日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批准设立文号：国办函[1987]14号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基金托管业务批准文号：证监基金字[2004]125号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注册资本：489.35亿元人民币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保险兼业代理业务（有效期至2020年09月09日）；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机构投资者托管业务；经国务院银行业监督管理机构批准的其他业务。（企业依法自主选择经营项目，开展经营活动；依法须经批准的项目，经相关部门批准后依批准的内容开展经营活动；不得从事本市产业政策禁止和限制类项目的经营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1、基金托管人对基金管理人的投资行为行使监督权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（1）基金托管人根据有关法律法规的规定和基金合同的约定，对下述基金投资范围、投资对象进行监督。本基金将投资于以下金融工具：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内地依法发行上市的股票（含中小板、创业板及其他经中国证监会核准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权证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本基金各类资产的投资比例范围为：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股票资产（含存托凭证）占基金资产的50%-95%（其中，投资于内地依法发行上市的股票的比例占基金资产的50-95%，投资于港股通标的股票的比例占股票资产的0-50%），其中投资于创新成长主题相关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（2）基金托管人根据有关法律法规的规定及基金合同的约定对下述基金投融资比例进行监督：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资产（含存托凭证）占基金资产的50%-95%（其中，投资于内地依法发行上市的股票的比例占基金资产的50-95%，投资于港股通标的股票的比例占股票资产的0-50%），其中投资于创新成长主题相关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3）本基金持有一家公司发行的证券（同一家公司在内地和香港同时上市的A+H 股合计计算），其市值不超过基金资产净值的10%；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4）本基金管理人管理的全部基金持有一家公司发行的证券（同一家公司在内地和香港同时上市的A+H 股合计计算），不超过该证券的10%；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5）本基金持有的全部权证，其市值不得超过基金资产净值的3%；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6）本基金管理人管理的全部基金持有的同一权证，不得超过该权证的10%；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17）本基金进入全国银行间同业市场进行债券回购的资金余额不得超过基金资产净值的40%；本基金在全国银行间同业市场中的债券回购最长期限为1年，债券回购到期后不得展期；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c）本基金在任何交易日日终，持有的卖出期货合约价值不得超过基金持有的股票总市值的20%；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19）本基金的基金资产总值不得超过基金资产净值的140%；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2）项、第9）项、第10）项、第15）项以外，因证券、期货市场波动、证券发行人合并或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（3）基金托管人根据有关法律法规的规定及基金合同的约定对下述基金投资禁止行为进行监督：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根据法律法规的规定及基金合同的约定，本基金禁止从事下列行为：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如法律、行政法规或监管部门取消上述禁止性规定，如适用于本基金，基金管理人在履行适当程序后，本基金可不受上述规定的限制。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（4）基金托管人依据有关法律法规的规定和基金合同的约定对于基金关联投资进行监督：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法律法规有关基金从事的关联交易的规定，基金管理人和基金托管人应事先相互提供与本机构有控股关系的股东或与本机构有其他重大利害关系的公司名单及有关关联方发行的证券名单及其更新，加盖公章并书面提交，并确保所提供名单的真实性、完整性、全面性。基金管理人或基金托管人在名单变更后应及时发送对方，收到方于2个工作日内进行回函确认已知名单的变更。名单变更时间以收到方回函确认的时间为准。如果基金托管人在运作中严格遵循了监督流程，基金管理人仍违规进行交易，并造成基金资产损失的，由基金管理人承担责任，基金托管人不承担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相关交易必须事先得到基金托管人的同意，若基金托管人发现基金管理人与关联方进行违反法律法规规定的关联交易时，基金托管人应及时提醒并协助基金管理人采取必要措施阻止该交易的发生，若基金托管人采取必要措施后仍无法阻止该交易发生时，基金托管人有权向中国证监会报告，由此造成的损失和责任由基金管理人承担。对于交易所场内已成交的违规交易，基金托管人应按相关法律法规和交易所规则的规定进行结算，同时向中国证监会报告，基金托管人不承担由此造成的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（5）基金托管人依据有关法律法规的规定和基金合同的约定对基金管理人参与银行间债券市场进行监督：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1）基金托管人依据有关法律法规的规定和基金合同的约定对于基金管理人参与银行间债券市场交易时面临的交易对手资信风险进行监督。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在基金投资运作之前向基金托管人提供符合法律法规及行业标准的银行间债券市场交易对手的名单。基金托管人在收到名单后2个工作日内回函确认收到该名单。基金管理人应定期或不定期对银行间债券市场现券及回购交易对手的名单进行更新，名单中增加或减少银行间债券市场交易对手时须及时通知基金托管人，基金托管人于2个工作日内回函确认收到后，对名单进行更新。基金管理人收到基金托管人书面确认后，被确认调整的名单开始生效，新名单生效前已与本次剔除的交易对手所进行但尚未结算的交易，仍应按照双方原定协议进行结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如果基金托管人发现基金管理人与不在名单内的银行间债券市场交易对手进行交易，应及时提醒基金管理人撤销交易，经提醒后基金管理人仍执行交易并造成基金资产损失的，基金托管人不承担责任。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有责任控制交易对手的资信风险，按银行间债券市场的交易规则进行交易，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（6）基金托管人对基金投资流通受限证券的监督：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流通受限证券，应遵守有关法律法规规定。流通受限证券指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在基金首次投资流通受限证券前，向基金托管人提供经基金管理人董事会批准的有关基金投资流通受限证券的投资决策流程、风险控制制度。上述资料应包括但不限于基金投资流通受限证券的投资额度和投资比例控制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至少于首次执行投资指令之前2个工作日将上述资料书面发至基金托管人，保证基金托管人有足够的时间进行审核。基金托管人应在收到上述资料后2个工作日内，以书面或其他双方认可的方式确认收到上述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3）基金投资流通受限证券前，基金管理人应向基金托管人提供符合法律法规要求的有关必要书面信息。基金管理人应保证上述信息的真实、完整，并应至少于拟执行投资指令前将上述信息书面发至基金托管人。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应对基金管理人是否遵守法律法规、投资决策流程、风险控制制度情况进行监督，并审核基金管理人提供的有关书面信息。基金托管人认为上述资料可能导致基金出现风险的，有权要求基金管理人在投资流通受限证券前就该风险的消除或防范措施进行补充书面说明，否则，基金托管人有权拒绝执行有关指令并报告中国证监会。因拒绝执行该指令造成基金财产损失的，基金托管人不承担任何责任，但基金托管人未经提前告知基金管理人于合理时间内提供说明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（7）基金托管人对基金投资中期票据的监督：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管理的基金在投资中期票据前，基金管理人须根据法律、法规、监管部门的规定，制定严格的关于投资中期票据的风险控制制度和流动性风险处置预案，并书面提供给基金托管人，基金托管人依据上述文件对基金管理人投资中期票据的额度和比例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2）如未来有关监管部门发布的法律法规对证券投资基金投资中期票据另有规定的，从其约定。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有权监督基金管理人在相关基金投资中期票据时的法律法规遵守情况，有关制度、信用风险、流动性风险处置预案的完善情况，有关额度、比例限制的执行情况。基金托管人发现基金管理人的上述事项违反法律法规和基金合同以及本协议的规定，应及时以书面形式通知基金管理人纠正。基金管理人应积极配合和协助基金托管人的监督和核查。基金管理人应按相关托管协议要求向基金托管人及时发出回函，并及时改正。基金托管人有权随时对所通知事项进行复查,督促基金管理人改正。如果基金管理人违规事项未能在限期内纠正的，基金托管人应报告中国证监会。如果基金托管人未能切实履行监督职责，导致基金出现风险，基金托管人应承担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（8）基金托管人根据有关法律法规的规定及基金合同的约定，对基金管理人选择存款银行进行监督：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本基金投资银行存款应符合如下规定：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对基金管理人选择存款银行的监督应依据基金管理人向基金托管人提供的符合条件的存款银行的名单执行，如基金托管人发现基金管理人将基金资产投资于该名单之外的存款银行，有权拒绝执行。该名单如有变更，基金管理人应在启用新名单前提前及时将新名单发送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2、基金托管人对基金管理人业务进行监督和核查的有关措施：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发现基金管理人的投资运作及其他运作违反《基金法》、基金合同、本托管协议及其他有关规定时，应及时以书面形式通知基金管理人限期纠正，基金管理人收到通知后应在下一个工作日及时核对，并以书面形式向基金托管人发出回函，进行解释或举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（3）在限期内，基金托管人有权随时对通知事项进行复查，督促基金管理人改正。基金管理人对基金托管人通知的违规事项未能在限期内纠正的，基金托管人应报告中国证监会。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（4）基金托管人发现基金管理人的投资指令违反关法律法规规定或者违反基金合同约定的，应当拒绝执行，立即通知基金管理人。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发现基金管理人依据交易程序已经生效的投资指令违反法律、行政法规和其他有关规定，或者违反基金合同约定的，应当立即通知基金管理人，并及时向中国证监会报告，基金管理人应依法承担相应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积极配合和协助基金托管人的监督和核查，必须在规定时间内答复基金托管人并改正，就基金托管人的疑义进行解释或举证，对基金托管人按照法规要求需向中国证监会报送基金监督报告的，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（7）基金托管人发现基金管理人有重大违规行为，应立即报告中国证监会，同时通知基金管理人限期纠正。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无正当理由，拒绝、阻挠基金托管人根据本协议规定行使监督权，或采取拖延、欺诈等手段妨碍基金托管人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但不限于基金托管人安全保管基金财产、开设基金财产的资金账户、证券账户和期货账户等投资所需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或未在合理期限内确认的，基金管理人应报告中国证监会。基金管理人有义务要求基金托管人赔偿基金、基金管理人因此所遭受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3、基金管理人发现基金托管人有重大违规行为，应立即报告中国证监会和银行业监督管理机构，同时通知基金托管人限期纠正。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无正当理由，拒绝、阻挠基金管理人根据本协议规定行使监督权，或采取拖延、欺诈等手段妨碍基金管理人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（2）基金托管人应安全保管基金财产。除依据法律法规规定、基金合同和本托管协议约定及基金管理人的正当指令外，不得自行运用、处分、分配基金的任何财产。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（3）基金托管人按照规定开设基金财产的资金账户和证券账户，协助开立股指期货业务相关账户及交易编码。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（6）除依据法律法规和基金合同的规定外，基金托管人不得委托第三人托管基金资产。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（1）基金募集期间募集认购款项应存于基金认购专用账户，该账户由基金管理人或基金管理人委托的登记机构开立并管理。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提前结束募集时，募集的基金份额总额、基金募集金额、基金份额持有人人数符合《基金法》、《运作办法》等有关规定后，基金管理人应将募集的属于本基金财产的全部资金划入基金托管人为本基金开立的资产托管专户中，基金托管人在收到资金当日出具确认文件。同时，基金管理人应聘请具有从事证券业务资格的会计师事务所进行验资，出具验资报告，出具的验资报告应由参加验资的2名以上（含2名）中国注册会计师签字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（3）若基金募集期限届满，未能达到基金备案条件，由基金管理人按规定办理退款事宜，基金托管人应提供充分协助。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3、基金的银行账户的开立和管理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（1）基金托管人以本基金的名义在其营业机构开立基金的银行账户，并根据基金管理人合法合规的指令办理资金收付。本基金的银行预留印鉴由基金托管人刻制、保管和使用。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（2）基金银行账户的开立和使用，限于满足开展本基金业务的需要。基金托管人和基金管理人不得假借本基金的名义开立任何其他银行账户；亦不得使用本基金的任何账户进行本基金业务以外的活动。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（3）基金银行账户的开立和管理应符合有关法律法规以及银行业监督管理机构的有关规定。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4、基金证券账户和证券交易资金账户的开设和管理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（1）基金托管人以基金托管人和本基金联名的方式在中国证券登记结算有限责任公司上海分公司/深圳分公司开设证券账户。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（2）基金托管人以基金托管人的名义在中国证券登记结算有限责任公司上海分公司/深圳分公司开立基金证券交易资金账户，用于证券清算。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（3）基金证券账户的开立和使用，限于满足开展本基金业务的需要。基金托管人和基金管理人不得出借和未经对方同意擅自转让基金的任何证券账户；亦不得使用基金的任何账户进行本基金业务以外的活动。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生效后，基金管理人负责以本基金的名义申请并取得进入全国银行间同业拆借市场的交易资格，并代表基金进行交易；基金托管人负责以本基金的名义在中央国债登记结算有限责任公司开设银行间债券市场债券托管账户，并由基金托管人负责本基金的债券的后台匹配及资金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（2）基金管理人和基金托管人应一起负责为本基金对外签订全国银行间国债市场回购主协议，正本由基金托管人保管，基金管理人保存副本。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托管协议生效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7、基金财产投资的有关实物证券、银行定期存款存单等有价凭证的保管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由基金托管人存放于基金托管人的保管库；其中实物证券也可存入中央国债登记结算有限责任公司、银行间市场清算所股份有限公司或中国证券登记结算有限责任公司上海分公司/深圳分公司或票据营业中心的代保管库。实物证券的购买和转让，由基金托管人根据基金管理人的指令办理。属于基金托管人控制下的实物证券在基金托管人保管期间的损坏、灭失，由此产生的责任应由基金托管人承担。基金托管人对基金托管人以外机构实际有效控制的证券不承担保管责任，但应勤勉履行定期查询等合理注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与基金财产有关的重大合同的签署，由基金管理人负责。由基金管理人代表基金签署的与本基金有关的重大合同的原件分别应由基金托管人、基金管理人保管。基金管理人在代表本基金签署与本基金有关的重大合同时应保证基金一方持有两份以上的正本原件，以便基金管理人和基金托管人至少各持有一份正本的原件。基金管理人在合同签署后30个工作日内通过专人送达、挂号邮寄等安全方式将合同送达基金托管人处。合同应存放于基金管理人和基金托管人各自文件保管部门15年以上。对于无法取得二份以上的正本的，基金管理人应向基金托管人提供加盖授权业务章的合同传真件，未经双方协商或未在合同约定范围内，合同原件不得转移，由基金管理人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（五）基金资产净值计算与复核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1、基金资产净值的计算、复核的时间和程序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是指基金资产总值减去负债后的价值。基金份额净值是按照每个工作日闭市后，基金资产净值除以当日基金份额的余额数量计算，精确到0.0001元，小数点后第五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工作日对基金资产估值，但基金管理人根据法律法规或基金合同的规定暂停估值时除外。估值原则应符合基金合同及相关法律、法规的规定。用于基金信息披露的基金资产净值和基金份额净值由基金管理人负责计算，基金托管人复核。基金管理人应于每个工作日交易结束后计算当日的基金份额净值并以双方认可的方式发送给基金托管人。基金托管人对净值计算结果复核后以双方认可的方式发送给基金管理人，由基金管理人依据基金合同和相关法律法规的规定予以公布。月末、年中和年末估值复核与基金会计账目的核对同时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基金法》，基金管理人计算并公告基金资产净值，基金托管人复核、审查基金管理人计算的基金资产净值。因此，本基金的会计责任方是基金管理人，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基金所拥有的股票、债券、衍生工具和其它投资等持续以公允价值计量的金融资产及负债。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交易所市场上市交易的可转换债券，按估值日收盘价减去可转换债券收盘价中所含债券应收利息后得到的净价进行估值；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d）交易所市场挂牌转让的资产支持证券和私募债券，采用估值技术确定公允价值。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2）证券交易所发行未上市期间的有价证券应区分如下情况处理：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a）送股、转增股、配股和公开增发的新股，按估值日在证券交易所挂牌的同一股票的估值方法估值；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b）首次公开发行未上市的股票和权证，采用估值技术确定公允价值；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c）发行时明确一定期限限售期的股票，包括但不限于非公开发行股票、首次公开发行股票时公司股东公开发售股份、通过大宗交易取得的带限售期的股票等，按监管机构或行业协会有关规定确定公允价值；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d）交易所市场发行未上市或未挂牌转让的债券，采用估值技术确定公允价值。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3）银行间市场上市交易的固定收益品种，选取第三方估值机构提供的相应品种当日的估值净价进行估值。银行间市场发行未上市的固定收益品种，采用估值技术确定公允价值。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5）估值计算中涉及港币对人民币汇率的，将依据下列信息提供机构所提供的汇率为基准：当日中国人民银行公布的人民币与港币的中间价。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按照中国法律法规和基金投资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7）如有确凿证据表明按上述方法进行估值不能客观反映其公允价值的，基金管理人可根据具体情况与基金托管人商定后，按最能反映公允价值的方法估值。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8）当发生大额申购或赎回情形时，基金管理人可以对本基金采用摆动定价机制，以确保基金估值的公平性。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10）相关法律法规以及监管部门有强制规定的，从其规定。如有新增事项，按法律法规以及监管部门最新规定估值。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（1）因基金估值错误给投资人造成损失的应先由基金管理人承担，基金管理人对不应由其承担的责任，有权向过错人追偿。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管理人计算的基金资产净值、基金份额净值已由基金托管人复核确认后公告的，由此造成的投资人或基金的损失，应根据法律法规的规定对投资人或基金支付赔偿金，就实际向投资人或基金支付的赔偿金额，由基金管理人与基金托管人按照管理费率和托管费率的比例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由于一方当事人提供的信息错误，另一方当事人在采取了必要合理的措施后仍不能发现该错误，进而导致基金资产净值、基金份额净值计算错误造成投资人或基金的损失，以及由此造成以后交易日基金资产净值、基金份额净值计算顺延错误而引起的投资人或基金的损失，由提供错误信息的当事人一方负责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不可抗力原因，或由于证券、期货交易所、证券经纪机构、期货公司或登记结算公司发送的数据错误，或国家会计政策变更、市场规则变更等，基金管理人和基金托管人虽然已经采取必要、适当、合理的措施进行检查，但是未能发现该错误的，由此造成的基金资产估值错误，基金管理人和基金托管人可以免除赔偿责任。但基金管理人和基金托管人应当积极采取必要的措施减轻或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当基金管理人计算的基金资产净值与基金托管人的计算结果不一致时，相关各方应本着勤勉尽责的态度重新计算核对，如果最后仍无法达成一致，应以基金管理人的计算结果为准对外公布，由此造成的损失由基金管理人承担赔偿责任，基金托管人不负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（6）基金管理人或基金托管人按估值方法的第8）项进行估值的，所造成的误差不作为基金资产估值错误处理。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估值错误责任方拒绝进行赔偿时，如果因基金管理人过错造成基金资产损失时，基金托管人应为基金的利益向基金管理人追偿，如果因基金托管人过错造成基金资产损失时，基金管理人应为基金的利益向基金托管人追偿。除基金管理人和基金托管人之外的第三方造成基金资产的损失，并拒绝进行赔偿时，由基金管理人负责向差错方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5、基金定期报告的编制和复核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（1）基金财务报表由基金管理人和基金托管人每月分别独立编制。月度报表的编制，应于每月终了后5个工作日内完成。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基金管理人在季度结束之日起15个工作日内完成季度报告编制并公告；在上半年终了后两个月内完成中期报告编制并公告；在每年结束后三个月内完成年度报告编制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应及时完成报表编制，将有关报表提供基金托管人复核；基金托管人应当在收到报告之日起2个工作日内完成月度报表的复核；在收到报告之日起7个工作日内完成基金季度报告的复核；在收到报告之日起20日内完成基金中期报告的复核；在收到报告之日起30日内完成基金年度报告的复核。基金托管人在复核过程中，发现双方的报表存在不符时，基金管理人和基金托管人应共同查明原因，进行调整，调整以国家有关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（4）核对无误后，基金托管人在基金管理人提供的报告上加盖业务印鉴或者出具加盖托管业务部门公章的复核意见书，相关各方各自留存一份。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（5）基金托管人在对月度报表、季度、中期报告或年度报告复核完毕后，需盖章确认或出具相应的复核确认书，以备有权机构对相关文件审核时提示。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（3）当前一估值日基金资产净值50%以上的资产出现无可参考的活跃市场价格且采用估值技术仍导致公允价值存在重大不确定性时，经与基金托管人协商确认后，基金管理人应当暂停基金估值；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（六）基金份额持有人名册的登记与保管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1、基金管理人和基金托管人须分别妥善保管的基金份额持有人名册，基金份额持有人名册的内容必须包括基金份额持有人的名称和持有的基金份额。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2、基金份额持有人名册由基金的登记机构根据基金管理人的指令编制和保管，基金管理人和基金托管人应按照目前相关规则分别保管基金份额持有人名册。保管方式可以采用电子或文档的形式。保管期限为15年。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应当及时向基金托管人定期或不定期提交下列日期的基金份额持有人名册。基金份额持有人名册的内容必须包括基金份额持有人的名称和持有的基金份额。基金托管人可以采用电子或文档的形式妥善保管基金份额持有人名册，保存期限为15年。基金托管人不得将所保管的基金份额持有人名册用于基金托管业务以外的其他用途，并应遵守保密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本协议而产生的或与本协议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律师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本协议受中国法律管辖。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（八）托管协议的修改与终止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本协议双方当事人经协商一致，可以对协议的内容进行变更。变更后的托管协议，其内容不得与基金合同的规定有任何冲突。本托管协议的变更报中国证监会备案。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发生以下情况，本托管协议终止：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（4）发生法律法规或基金合同规定的终止事项。</w:t>
      </w:r>
    </w:p>
    <w:p>
      <w:pPr>
        <w:pStyle w:val="Heading1"/>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1、基金合同生效后的每次交易结束后，投资人可在T+2个工作日后通过销售机构的网点查询和打印确认单。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服务，个人投资者可以直接通过本基金管理人的网上直销交易平台办理开户和本基金的申购、赎回、转换和定期定额投资等业务。通过网上直销交易平台办理本基金份额申购和定期定额投资业务的个人投资者将享受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基金网上直销交易平台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本基金已开通转换业务，具体实施方法请参见相关公告。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本基金已开通定期定额投资计划，具体实施方法请参见相关公告。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交银施罗德基金管理有限公司关于旗下部分基金于2026年非港股通交易日暂停基金交易业务的提示性公告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2026-02-14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交银施罗德基金管理有限公司关于旗下部分基金非港股通交易日暂停申购、赎回等业务安排的公告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2026-03-31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交银施罗德创新成长混合型证券投资基金2026年第1季度报告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交银施罗德基金管理有限公司关于旗下部分基金非港股通交易日暂停申购、赎回等业务安排的公告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2026-05-21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交银施罗德基金管理有限公司关于旗下部分基金非港股通交易日暂停申购、赎回等业务安排的公告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交银施罗德基金管理有限公司关于旗下基金所持停牌股票估值调整的公告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交银施罗德基金管理有限公司关于旗下部分基金调整业绩比较基准并修订基金合同等法律文件的公告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交银施罗德创新成长混合型证券投资基金基金合同</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交银施罗德创新成长混合型证券投资基金2026年中期报告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（一）中国证监会准予交银施罗德创新成长混合型证券投资基金募集注册的文件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（二）《交银施罗德创新成长混合型证券投资基金基金合同》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（三）《交银施罗德创新成长混合型证券投资基金托管协议》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（六）关于申请募集注册交银施罗沪港深创新成长灵活配置混合型证券投资基金的法律意见书</w:t>
      </w:r>
    </w:p>
    <w:sectPr>
      <w:footerReference w:type="default" r:id="rId14"/>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151</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交银施罗德创新成长混合型证券投资基金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交银施罗德创新成长混合型证券投资基金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1.png"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