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after="0"/>
        <w:rPr>
          <w:rFonts w:hint="eastAsia"/>
          <w:sz w:val="32"/>
        </w:rPr>
      </w:pPr>
    </w:p>
    <w:p>
      <w:pPr>
        <w:spacing w:after="0"/>
        <w:rPr>
          <w:sz w:val="32"/>
        </w:rPr>
      </w:pPr>
    </w:p>
    <w:p>
      <w:pPr>
        <w:spacing w:after="0"/>
        <w:rPr>
          <w:sz w:val="32"/>
        </w:rPr>
      </w:pPr>
    </w:p>
    <w:p>
      <w:pPr>
        <w:autoSpaceDE w:val="0"/>
        <w:autoSpaceDN w:val="0"/>
        <w:adjustRightInd w:val="0"/>
        <w:snapToGrid w:val="0"/>
        <w:spacing w:before="63" w:after="0" w:line="360" w:lineRule="auto"/>
        <w:ind w:right="13" w:rightChars="6"/>
        <w:jc w:val="center"/>
        <w:rPr>
          <w:rFonts w:ascii="宋体" w:hAnsi="宋体"/>
          <w:b/>
          <w:spacing w:val="2"/>
          <w:w w:val="99"/>
          <w:kern w:val="0"/>
          <w:position w:val="-4"/>
          <w:sz w:val="44"/>
          <w:szCs w:val="44"/>
        </w:rPr>
      </w:pPr>
    </w:p>
    <w:p>
      <w:pPr>
        <w:autoSpaceDE w:val="0"/>
        <w:autoSpaceDN w:val="0"/>
        <w:adjustRightInd w:val="0"/>
        <w:snapToGrid w:val="0"/>
        <w:spacing w:before="63" w:after="0" w:line="360" w:lineRule="auto"/>
        <w:ind w:right="13" w:rightChars="6"/>
        <w:jc w:val="center"/>
        <w:rPr>
          <w:rFonts w:ascii="宋体" w:hAnsi="宋体"/>
          <w:b/>
          <w:spacing w:val="2"/>
          <w:w w:val="99"/>
          <w:kern w:val="0"/>
          <w:position w:val="-4"/>
          <w:sz w:val="44"/>
          <w:szCs w:val="44"/>
        </w:rPr>
      </w:pPr>
    </w:p>
    <w:p>
      <w:pPr>
        <w:autoSpaceDE w:val="0"/>
        <w:autoSpaceDN w:val="0"/>
        <w:adjustRightInd w:val="0"/>
        <w:snapToGrid w:val="0"/>
        <w:spacing w:before="63" w:after="0" w:line="360" w:lineRule="auto"/>
        <w:ind w:right="13" w:rightChars="6"/>
        <w:jc w:val="center"/>
        <w:rPr>
          <w:rFonts w:ascii="宋体" w:hAnsi="宋体"/>
          <w:b/>
          <w:spacing w:val="2"/>
          <w:w w:val="99"/>
          <w:kern w:val="0"/>
          <w:position w:val="-4"/>
          <w:sz w:val="44"/>
          <w:szCs w:val="44"/>
        </w:rPr>
      </w:pPr>
    </w:p>
    <w:p>
      <w:pPr>
        <w:autoSpaceDE w:val="0"/>
        <w:autoSpaceDN w:val="0"/>
        <w:adjustRightInd w:val="0"/>
        <w:snapToGrid w:val="0"/>
        <w:spacing w:before="63" w:after="0" w:line="360" w:lineRule="auto"/>
        <w:ind w:right="13" w:rightChars="6"/>
        <w:jc w:val="center"/>
        <w:rPr>
          <w:rFonts w:ascii="黑体" w:hAnsi="黑体"/>
          <w:b/>
          <w:spacing w:val="2"/>
          <w:w w:val="99"/>
          <w:kern w:val="0"/>
          <w:position w:val="-4"/>
          <w:sz w:val="44"/>
          <w:szCs w:val="44"/>
        </w:rPr>
      </w:pPr>
      <w:r>
        <w:rPr>
          <w:rFonts w:eastAsia="宋体"/>
          <w:b/>
          <w:spacing w:val="2"/>
          <w:w w:val="99"/>
          <w:kern w:val="0"/>
          <w:position w:val="-4"/>
          <w:sz w:val="44"/>
          <w:szCs w:val="44"/>
        </w:rPr>
        <w:t>交银施罗德定期支付双息平衡混合型证券投资基金招募说明书（更新）</w:t>
      </w:r>
    </w:p>
    <w:p>
      <w:pPr>
        <w:snapToGrid w:val="0"/>
        <w:spacing w:after="0" w:line="360" w:lineRule="auto"/>
        <w:jc w:val="center"/>
        <w:rPr>
          <w:rFonts w:ascii="宋体" w:hAnsi="宋体" w:eastAsia="宋体"/>
          <w:b/>
          <w:sz w:val="30"/>
          <w:szCs w:val="30"/>
        </w:rPr>
      </w:pPr>
    </w:p>
    <w:p>
      <w:pPr>
        <w:autoSpaceDE w:val="0"/>
        <w:autoSpaceDN w:val="0"/>
        <w:adjustRightInd w:val="0"/>
        <w:snapToGrid w:val="0"/>
        <w:spacing w:after="0" w:line="360" w:lineRule="auto"/>
        <w:ind w:right="13" w:rightChars="6"/>
        <w:jc w:val="center"/>
        <w:rPr>
          <w:rFonts w:ascii="宋体" w:hAnsi="宋体"/>
          <w:spacing w:val="2"/>
          <w:w w:val="99"/>
          <w:kern w:val="0"/>
          <w:sz w:val="32"/>
          <w:szCs w:val="32"/>
        </w:rPr>
      </w:pPr>
    </w:p>
    <w:p>
      <w:pPr>
        <w:autoSpaceDE w:val="0"/>
        <w:autoSpaceDN w:val="0"/>
        <w:adjustRightInd w:val="0"/>
        <w:snapToGrid w:val="0"/>
        <w:spacing w:after="0" w:line="360" w:lineRule="auto"/>
        <w:ind w:right="13" w:rightChars="6"/>
        <w:jc w:val="center"/>
        <w:rPr>
          <w:rFonts w:ascii="宋体" w:hAnsi="宋体"/>
          <w:spacing w:val="2"/>
          <w:w w:val="99"/>
          <w:kern w:val="0"/>
          <w:sz w:val="32"/>
          <w:szCs w:val="32"/>
        </w:rPr>
      </w:pPr>
    </w:p>
    <w:p>
      <w:pPr>
        <w:autoSpaceDE w:val="0"/>
        <w:autoSpaceDN w:val="0"/>
        <w:adjustRightInd w:val="0"/>
        <w:snapToGrid w:val="0"/>
        <w:spacing w:after="0" w:line="360" w:lineRule="auto"/>
        <w:ind w:right="13" w:rightChars="6"/>
        <w:jc w:val="center"/>
        <w:rPr>
          <w:rFonts w:ascii="宋体" w:hAnsi="宋体"/>
          <w:spacing w:val="2"/>
          <w:w w:val="99"/>
          <w:kern w:val="0"/>
          <w:sz w:val="32"/>
          <w:szCs w:val="32"/>
        </w:rPr>
      </w:pPr>
    </w:p>
    <w:p>
      <w:pPr>
        <w:autoSpaceDE w:val="0"/>
        <w:autoSpaceDN w:val="0"/>
        <w:adjustRightInd w:val="0"/>
        <w:snapToGrid w:val="0"/>
        <w:spacing w:after="0" w:line="360" w:lineRule="auto"/>
        <w:ind w:right="13" w:rightChars="6"/>
        <w:jc w:val="center"/>
        <w:rPr>
          <w:rFonts w:ascii="宋体" w:hAnsi="宋体"/>
          <w:spacing w:val="2"/>
          <w:w w:val="99"/>
          <w:kern w:val="0"/>
          <w:sz w:val="32"/>
          <w:szCs w:val="32"/>
        </w:rPr>
      </w:pPr>
    </w:p>
    <w:p>
      <w:pPr>
        <w:autoSpaceDE w:val="0"/>
        <w:autoSpaceDN w:val="0"/>
        <w:adjustRightInd w:val="0"/>
        <w:snapToGrid w:val="0"/>
        <w:spacing w:after="0" w:line="360" w:lineRule="auto"/>
        <w:ind w:right="13" w:rightChars="6"/>
        <w:jc w:val="center"/>
        <w:rPr>
          <w:rFonts w:ascii="宋体" w:hAnsi="宋体"/>
          <w:spacing w:val="2"/>
          <w:w w:val="99"/>
          <w:kern w:val="0"/>
          <w:sz w:val="32"/>
          <w:szCs w:val="32"/>
        </w:rPr>
      </w:pPr>
    </w:p>
    <w:p>
      <w:pPr>
        <w:autoSpaceDE w:val="0"/>
        <w:autoSpaceDN w:val="0"/>
        <w:adjustRightInd w:val="0"/>
        <w:snapToGrid w:val="0"/>
        <w:spacing w:after="0" w:line="360" w:lineRule="auto"/>
        <w:ind w:right="13" w:rightChars="6"/>
        <w:jc w:val="center"/>
        <w:rPr>
          <w:rFonts w:ascii="宋体" w:hAnsi="宋体"/>
          <w:spacing w:val="2"/>
          <w:w w:val="99"/>
          <w:kern w:val="0"/>
          <w:sz w:val="32"/>
          <w:szCs w:val="32"/>
        </w:rPr>
      </w:pPr>
    </w:p>
    <w:p>
      <w:pPr>
        <w:autoSpaceDE w:val="0"/>
        <w:autoSpaceDN w:val="0"/>
        <w:adjustRightInd w:val="0"/>
        <w:snapToGrid w:val="0"/>
        <w:spacing w:after="0" w:line="360" w:lineRule="auto"/>
        <w:ind w:right="13" w:rightChars="6"/>
        <w:jc w:val="center"/>
        <w:rPr>
          <w:rFonts w:ascii="宋体" w:hAnsi="宋体"/>
          <w:b/>
          <w:kern w:val="0"/>
          <w:sz w:val="28"/>
          <w:szCs w:val="32"/>
        </w:rPr>
      </w:pPr>
      <w:r>
        <w:rPr>
          <w:rFonts w:ascii="宋体" w:hAnsi="宋体"/>
          <w:b/>
          <w:spacing w:val="2"/>
          <w:w w:val="99"/>
          <w:kern w:val="0"/>
          <w:sz w:val="28"/>
          <w:szCs w:val="32"/>
        </w:rPr>
        <w:t>基金管理人：交银施罗德基金管理有限公司</w:t>
      </w:r>
    </w:p>
    <w:p>
      <w:pPr>
        <w:autoSpaceDE w:val="0"/>
        <w:autoSpaceDN w:val="0"/>
        <w:adjustRightInd w:val="0"/>
        <w:snapToGrid w:val="0"/>
        <w:spacing w:after="0" w:line="360" w:lineRule="auto"/>
        <w:ind w:right="13" w:rightChars="6"/>
        <w:jc w:val="center"/>
        <w:rPr>
          <w:rFonts w:ascii="宋体" w:hAnsi="宋体"/>
          <w:b/>
          <w:kern w:val="0"/>
          <w:sz w:val="28"/>
          <w:szCs w:val="32"/>
        </w:rPr>
      </w:pPr>
      <w:r>
        <w:rPr>
          <w:rFonts w:ascii="宋体" w:hAnsi="宋体"/>
          <w:b/>
          <w:spacing w:val="2"/>
          <w:w w:val="99"/>
          <w:kern w:val="0"/>
          <w:sz w:val="28"/>
          <w:szCs w:val="32"/>
        </w:rPr>
        <w:t>基金托管人：中国农业银行股份有限公司</w:t>
      </w:r>
    </w:p>
    <w:p>
      <w:pPr>
        <w:autoSpaceDE w:val="0"/>
        <w:autoSpaceDN w:val="0"/>
        <w:adjustRightInd w:val="0"/>
        <w:snapToGrid w:val="0"/>
        <w:spacing w:after="0" w:line="360" w:lineRule="auto"/>
        <w:ind w:right="13" w:rightChars="6"/>
        <w:jc w:val="center"/>
        <w:rPr>
          <w:rFonts w:ascii="宋体" w:hAnsi="宋体"/>
          <w:spacing w:val="2"/>
          <w:w w:val="99"/>
          <w:kern w:val="0"/>
          <w:sz w:val="32"/>
          <w:szCs w:val="32"/>
        </w:rPr>
      </w:pPr>
    </w:p>
    <w:p>
      <w:pPr>
        <w:autoSpaceDE w:val="0"/>
        <w:autoSpaceDN w:val="0"/>
        <w:adjustRightInd w:val="0"/>
        <w:snapToGrid w:val="0"/>
        <w:spacing w:after="0" w:line="360" w:lineRule="auto"/>
        <w:ind w:right="13" w:rightChars="6"/>
        <w:jc w:val="center"/>
        <w:rPr>
          <w:rFonts w:ascii="宋体" w:hAnsi="宋体"/>
          <w:spacing w:val="2"/>
          <w:w w:val="99"/>
          <w:kern w:val="0"/>
          <w:sz w:val="32"/>
          <w:szCs w:val="32"/>
        </w:rPr>
      </w:pPr>
    </w:p>
    <w:p>
      <w:pPr>
        <w:autoSpaceDE w:val="0"/>
        <w:autoSpaceDN w:val="0"/>
        <w:adjustRightInd w:val="0"/>
        <w:snapToGrid w:val="0"/>
        <w:spacing w:after="0" w:line="360" w:lineRule="auto"/>
        <w:ind w:right="13" w:rightChars="6"/>
        <w:jc w:val="center"/>
        <w:rPr>
          <w:rFonts w:ascii="宋体" w:hAnsi="宋体"/>
          <w:b/>
          <w:kern w:val="0"/>
          <w:sz w:val="28"/>
          <w:szCs w:val="32"/>
        </w:rPr>
      </w:pPr>
      <w:r>
        <w:rPr>
          <w:rFonts w:ascii="宋体" w:hAnsi="宋体"/>
          <w:b/>
          <w:spacing w:val="2"/>
          <w:w w:val="99"/>
          <w:kern w:val="0"/>
          <w:sz w:val="28"/>
          <w:szCs w:val="32"/>
        </w:rPr>
        <w:t>二〇二六年九月</w:t>
      </w:r>
    </w:p>
    <w:p>
      <w:pPr>
        <w:autoSpaceDE w:val="0"/>
        <w:autoSpaceDN w:val="0"/>
        <w:adjustRightInd w:val="0"/>
        <w:snapToGrid w:val="0"/>
        <w:spacing w:after="0" w:line="360" w:lineRule="auto"/>
        <w:ind w:left="1347" w:right="13" w:rightChars="6"/>
        <w:rPr>
          <w:rFonts w:ascii="宋体" w:hAnsi="宋体"/>
          <w:kern w:val="0"/>
          <w:sz w:val="32"/>
          <w:szCs w:val="32"/>
        </w:rPr>
        <w:sectPr>
          <w:headerReference r:id="rId7" w:type="first"/>
          <w:footerReference r:id="rId10" w:type="first"/>
          <w:headerReference r:id="rId5" w:type="default"/>
          <w:footerReference r:id="rId8" w:type="default"/>
          <w:headerReference r:id="rId6" w:type="even"/>
          <w:footerReference r:id="rId9" w:type="even"/>
          <w:pgSz w:w="11920" w:h="16840"/>
          <w:pgMar w:top="1440" w:right="1680" w:bottom="280" w:left="1680" w:header="900" w:footer="1073" w:gutter="0"/>
          <w:cols w:space="720" w:num="1"/>
          <w:titlePg/>
          <w:docGrid w:linePitch="286" w:charSpace="0"/>
        </w:sectPr>
      </w:pPr>
    </w:p>
    <w:p>
      <w:pPr>
        <w:pStyle w:val="2"/>
        <w:snapToGrid w:val="0"/>
        <w:spacing w:before="240" w:beforeLines="0" w:after="0"/>
        <w:rPr>
          <w:rFonts w:ascii="宋体" w:hAnsi="宋体"/>
          <w:kern w:val="0"/>
        </w:rPr>
      </w:pPr>
      <w:bookmarkStart w:id="0" w:name="_Toc256000000"/>
      <w:bookmarkStart w:id="1" w:name="_Toc496884613"/>
      <w:bookmarkStart w:id="2" w:name="_Toc324920538"/>
      <w:bookmarkStart w:id="3" w:name="_Toc256000027"/>
      <w:r>
        <w:rPr>
          <w:rFonts w:ascii="宋体" w:hAnsi="宋体"/>
          <w:kern w:val="0"/>
        </w:rPr>
        <w:t>重要提示</w:t>
      </w:r>
      <w:bookmarkEnd w:id="0"/>
      <w:bookmarkEnd w:id="1"/>
      <w:bookmarkEnd w:id="2"/>
      <w:bookmarkEnd w:id="3"/>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 xml:space="preserve">交银施罗德定期支付双息平衡混合型证券投资基金（以下简称“本基金”）经2013年6月6日中国证券监督管理委员会（以下简称“中国证监会”）证监许可【2013】753号文核准募集。本基金基金合同于2013年9月4日正式生效。  </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 xml:space="preserve">基金管理人保证招募说明书的内容真实、准确、完整。本招募说明书经中国证监会核准，但中国证监会对本基金募集的核准，并不表明其对本基金的价值和收益作出实质性判断或保证，也不表明投资于本基金没有风险。  </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 xml:space="preserve">基金管理人依照恪尽职守、诚实信用、勤勉尽责的原则管理和运用基金财产，但不保证投资本基金一定盈利，也不保证基金份额持有人的最低收益；因基金价格可升可跌，亦不保证基金份额持有人能全数取回其原本投资。  </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 xml:space="preserve">本基金投资于证券市场，基金净值会因为证券市场波动等因素产生波动。投资人在投资本基金前，需全面认识本基金产品的风险收益特征和产品特性，充分考虑自身的风险承受能力，理性判断市场，对投资本基金的意愿、时机、数量等投资行为作出独立决策。投资人根据所持有份额享受基金的收益，但同时也需承担相应的投资风险。投资本基金可能遇到的风险包括：市场风险、管理风险、流动性风险、信用风险、本基金投资策略所特有的风险、投资科创板股票的特定风险、本基金定期支付相关的特定风险，例如定期支付不等同于收益分配、年化现金支付比率不代表基金实际投资收益率、定期支付被确认失败的风险、年化现金支付比率发生调整的风险等等。本基金是一只混合型基金，在证券投资基金中属于较高风险的品种，其长期平均风险和预期收益高于货币市场基金和债券型基金，低于股票型基金。  </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 xml:space="preserve">本基金按照基金合同的约定，每月定期按照年化现金支付比率计算现金支付金额并通过自动赎回基金份额向基金份额持有人支付一定现金，但基金管理人不保证本基金一定盈利，也不保证最低收益，定期支付不等同于收益分配，年化现金支付比率也不代表本基金的实际投资收益率。根据基金合同的约定，特定情形下并存在当期定期支付业务被确认失败的风险。基金管理人可以根据基金实际运作情况和市场环境的变化，在履行适当程序后对上述约定的年化现金支付比率进行调整，并至少在调整前一个月公告，上述调整不须召开份额持有人大会。投资有风险，投资人在投资本基金前应认真阅读本基金的招募说明书和基金合同、基金产品资料概要。基金的过往业绩并不代表未来表现。基金管理人管理的其他基金的业绩并不构成对本基金业绩表现的保证。  </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 xml:space="preserve">本基金可投资国内依法发行上市的存托凭证，基金净值可能受到存托凭证的境外基础证券价格波动影响，与存托凭证的境外基础证券、境外基础证券的发行人及境内外交易机制相关的风险可能直接或间接成为本基金风险。具体风险烦请查阅本招募说明书“风险揭示”章节内容。  </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 xml:space="preserve">本基金可根据投资策略需要或市场环境的变化，选择将部分基金资产投资于存托凭证或选择不将基金资产投资于存托凭证，基金资产并非必然投资存托凭证。  </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本招募说明书所载内容截止日为2026年09月02日，有关财务和业绩表现数据截止日为2026年06月30日，财务和业绩表现数据未经审计。</w:t>
      </w:r>
    </w:p>
    <w:p>
      <w:pPr>
        <w:autoSpaceDE w:val="0"/>
        <w:autoSpaceDN w:val="0"/>
        <w:adjustRightInd w:val="0"/>
        <w:snapToGrid w:val="0"/>
        <w:spacing w:before="51" w:after="0" w:line="360" w:lineRule="auto"/>
        <w:ind w:left="0" w:right="0" w:rightChars="0" w:firstLine="480"/>
        <w:rPr>
          <w:rFonts w:ascii="宋体" w:hAnsi="宋体"/>
          <w:kern w:val="0"/>
          <w:szCs w:val="24"/>
        </w:rPr>
        <w:sectPr>
          <w:headerReference r:id="rId11" w:type="default"/>
          <w:pgSz w:w="11920" w:h="16840"/>
          <w:pgMar w:top="1440" w:right="1680" w:bottom="280" w:left="1680" w:header="0" w:footer="1073" w:gutter="0"/>
          <w:pgNumType w:start="1"/>
          <w:cols w:space="720" w:num="1"/>
        </w:sectPr>
      </w:pPr>
    </w:p>
    <w:p>
      <w:pPr>
        <w:pStyle w:val="20"/>
        <w:snapToGrid w:val="0"/>
        <w:spacing w:after="0" w:line="360" w:lineRule="auto"/>
        <w:jc w:val="center"/>
        <w:rPr>
          <w:rFonts w:ascii="宋体" w:hAnsi="宋体"/>
          <w:color w:val="auto"/>
        </w:rPr>
      </w:pPr>
      <w:r>
        <w:rPr>
          <w:rFonts w:ascii="宋体" w:hAnsi="宋体"/>
          <w:color w:val="auto"/>
          <w:position w:val="-4"/>
          <w:sz w:val="30"/>
          <w:szCs w:val="30"/>
        </w:rPr>
        <w:t>目</w:t>
      </w:r>
      <w:r>
        <w:rPr>
          <w:rFonts w:ascii="宋体" w:hAnsi="宋体"/>
          <w:color w:val="auto"/>
          <w:position w:val="-4"/>
          <w:sz w:val="30"/>
          <w:szCs w:val="30"/>
        </w:rPr>
        <w:tab/>
      </w:r>
      <w:r>
        <w:rPr>
          <w:rFonts w:ascii="宋体" w:hAnsi="宋体"/>
          <w:color w:val="auto"/>
          <w:position w:val="-4"/>
          <w:sz w:val="30"/>
          <w:szCs w:val="30"/>
        </w:rPr>
        <w:t>录</w:t>
      </w:r>
      <w:r>
        <w:rPr>
          <w:rFonts w:ascii="宋体" w:hAnsi="宋体"/>
          <w:color w:val="auto"/>
        </w:rPr>
        <w:fldChar w:fldCharType="begin"/>
      </w:r>
      <w:r>
        <w:rPr>
          <w:rFonts w:ascii="宋体" w:hAnsi="宋体"/>
          <w:color w:val="auto"/>
        </w:rPr>
        <w:instrText xml:space="preserve">TOC \o "1-3" \h \z \u</w:instrText>
      </w:r>
      <w:r>
        <w:rPr>
          <w:rFonts w:ascii="宋体" w:hAnsi="宋体"/>
          <w:color w:val="auto"/>
        </w:rPr>
        <w:fldChar w:fldCharType="separate"/>
      </w:r>
    </w:p>
    <w:p>
      <w:pPr>
        <w:pStyle w:val="10"/>
        <w:tabs>
          <w:tab w:val="right" w:leader="dot" w:pos="8650"/>
        </w:tabs>
        <w:rPr>
          <w:rFonts w:asciiTheme="minorHAnsi" w:hAnsiTheme="minorHAnsi"/>
          <w:sz w:val="22"/>
        </w:rPr>
      </w:pPr>
      <w:r>
        <w:fldChar w:fldCharType="begin"/>
      </w:r>
      <w:r>
        <w:rPr>
          <w:rStyle w:val="18"/>
        </w:rPr>
        <w:instrText xml:space="preserve"> HYPERLINK \l "_Toc256000027" </w:instrText>
      </w:r>
      <w:r>
        <w:fldChar w:fldCharType="separate"/>
      </w:r>
      <w:r>
        <w:rPr>
          <w:rStyle w:val="18"/>
          <w:rFonts w:ascii="宋体" w:hAnsi="宋体"/>
          <w:kern w:val="0"/>
        </w:rPr>
        <w:t>重要提示</w:t>
      </w:r>
      <w:r>
        <w:rPr>
          <w:rStyle w:val="18"/>
        </w:rPr>
        <w:tab/>
      </w:r>
      <w:r>
        <w:fldChar w:fldCharType="begin"/>
      </w:r>
      <w:r>
        <w:rPr>
          <w:rStyle w:val="18"/>
        </w:rPr>
        <w:instrText xml:space="preserve"> PAGEREF _Toc256000027 \h </w:instrText>
      </w:r>
      <w:r>
        <w:fldChar w:fldCharType="separate"/>
      </w:r>
      <w:r>
        <w:rPr>
          <w:rStyle w:val="18"/>
        </w:rPr>
        <w:t>1</w:t>
      </w:r>
      <w:r>
        <w:fldChar w:fldCharType="end"/>
      </w:r>
      <w:r>
        <w:fldChar w:fldCharType="end"/>
      </w:r>
    </w:p>
    <w:p>
      <w:pPr>
        <w:pStyle w:val="10"/>
        <w:tabs>
          <w:tab w:val="right" w:leader="dot" w:pos="8650"/>
        </w:tabs>
        <w:rPr>
          <w:rFonts w:asciiTheme="minorHAnsi" w:hAnsiTheme="minorHAnsi"/>
          <w:sz w:val="22"/>
        </w:rPr>
      </w:pPr>
      <w:r>
        <w:fldChar w:fldCharType="begin"/>
      </w:r>
      <w:r>
        <w:rPr>
          <w:rStyle w:val="18"/>
        </w:rPr>
        <w:instrText xml:space="preserve"> HYPERLINK \l "_Toc256000028" </w:instrText>
      </w:r>
      <w:r>
        <w:fldChar w:fldCharType="separate"/>
      </w:r>
      <w:r>
        <w:rPr>
          <w:rStyle w:val="18"/>
          <w:rFonts w:ascii="宋体" w:hAnsi="宋体"/>
        </w:rPr>
        <w:t>一、绪言</w:t>
      </w:r>
      <w:r>
        <w:rPr>
          <w:rStyle w:val="18"/>
        </w:rPr>
        <w:tab/>
      </w:r>
      <w:r>
        <w:fldChar w:fldCharType="begin"/>
      </w:r>
      <w:r>
        <w:rPr>
          <w:rStyle w:val="18"/>
        </w:rPr>
        <w:instrText xml:space="preserve"> PAGEREF _Toc256000028 \h </w:instrText>
      </w:r>
      <w:r>
        <w:fldChar w:fldCharType="separate"/>
      </w:r>
      <w:r>
        <w:rPr>
          <w:rStyle w:val="18"/>
        </w:rPr>
        <w:t>4</w:t>
      </w:r>
      <w:r>
        <w:fldChar w:fldCharType="end"/>
      </w:r>
      <w:r>
        <w:fldChar w:fldCharType="end"/>
      </w:r>
    </w:p>
    <w:p>
      <w:pPr>
        <w:pStyle w:val="10"/>
        <w:tabs>
          <w:tab w:val="right" w:leader="dot" w:pos="8650"/>
        </w:tabs>
        <w:rPr>
          <w:rFonts w:asciiTheme="minorHAnsi" w:hAnsiTheme="minorHAnsi"/>
          <w:sz w:val="22"/>
        </w:rPr>
      </w:pPr>
      <w:r>
        <w:fldChar w:fldCharType="begin"/>
      </w:r>
      <w:r>
        <w:rPr>
          <w:rStyle w:val="18"/>
        </w:rPr>
        <w:instrText xml:space="preserve"> HYPERLINK \l "_Toc256000029" </w:instrText>
      </w:r>
      <w:r>
        <w:fldChar w:fldCharType="separate"/>
      </w:r>
      <w:r>
        <w:rPr>
          <w:rStyle w:val="18"/>
          <w:rFonts w:ascii="宋体" w:hAnsi="宋体"/>
        </w:rPr>
        <w:t>二、释义</w:t>
      </w:r>
      <w:r>
        <w:rPr>
          <w:rStyle w:val="18"/>
        </w:rPr>
        <w:tab/>
      </w:r>
      <w:r>
        <w:fldChar w:fldCharType="begin"/>
      </w:r>
      <w:r>
        <w:rPr>
          <w:rStyle w:val="18"/>
        </w:rPr>
        <w:instrText xml:space="preserve"> PAGEREF _Toc256000029 \h </w:instrText>
      </w:r>
      <w:r>
        <w:fldChar w:fldCharType="separate"/>
      </w:r>
      <w:r>
        <w:rPr>
          <w:rStyle w:val="18"/>
        </w:rPr>
        <w:t>5</w:t>
      </w:r>
      <w:r>
        <w:fldChar w:fldCharType="end"/>
      </w:r>
      <w:r>
        <w:fldChar w:fldCharType="end"/>
      </w:r>
    </w:p>
    <w:p>
      <w:pPr>
        <w:pStyle w:val="10"/>
        <w:tabs>
          <w:tab w:val="right" w:leader="dot" w:pos="8650"/>
        </w:tabs>
        <w:rPr>
          <w:rFonts w:asciiTheme="minorHAnsi" w:hAnsiTheme="minorHAnsi"/>
          <w:sz w:val="22"/>
        </w:rPr>
      </w:pPr>
      <w:r>
        <w:fldChar w:fldCharType="begin"/>
      </w:r>
      <w:r>
        <w:rPr>
          <w:rStyle w:val="18"/>
        </w:rPr>
        <w:instrText xml:space="preserve"> HYPERLINK \l "_Toc256000030" </w:instrText>
      </w:r>
      <w:r>
        <w:fldChar w:fldCharType="separate"/>
      </w:r>
      <w:r>
        <w:rPr>
          <w:rStyle w:val="18"/>
          <w:rFonts w:ascii="宋体" w:hAnsi="宋体"/>
        </w:rPr>
        <w:t>三、基金管理人</w:t>
      </w:r>
      <w:r>
        <w:rPr>
          <w:rStyle w:val="18"/>
        </w:rPr>
        <w:tab/>
      </w:r>
      <w:r>
        <w:fldChar w:fldCharType="begin"/>
      </w:r>
      <w:r>
        <w:rPr>
          <w:rStyle w:val="18"/>
        </w:rPr>
        <w:instrText xml:space="preserve"> PAGEREF _Toc256000030 \h </w:instrText>
      </w:r>
      <w:r>
        <w:fldChar w:fldCharType="separate"/>
      </w:r>
      <w:r>
        <w:rPr>
          <w:rStyle w:val="18"/>
        </w:rPr>
        <w:t>9</w:t>
      </w:r>
      <w:r>
        <w:fldChar w:fldCharType="end"/>
      </w:r>
      <w:r>
        <w:fldChar w:fldCharType="end"/>
      </w:r>
    </w:p>
    <w:p>
      <w:pPr>
        <w:pStyle w:val="10"/>
        <w:tabs>
          <w:tab w:val="right" w:leader="dot" w:pos="8650"/>
        </w:tabs>
        <w:rPr>
          <w:rFonts w:asciiTheme="minorHAnsi" w:hAnsiTheme="minorHAnsi"/>
          <w:sz w:val="22"/>
        </w:rPr>
      </w:pPr>
      <w:r>
        <w:fldChar w:fldCharType="begin"/>
      </w:r>
      <w:r>
        <w:rPr>
          <w:rStyle w:val="18"/>
        </w:rPr>
        <w:instrText xml:space="preserve"> HYPERLINK \l "_Toc256000031" </w:instrText>
      </w:r>
      <w:r>
        <w:fldChar w:fldCharType="separate"/>
      </w:r>
      <w:r>
        <w:rPr>
          <w:rStyle w:val="18"/>
          <w:rFonts w:ascii="宋体" w:hAnsi="宋体"/>
        </w:rPr>
        <w:t>四、基金托管人</w:t>
      </w:r>
      <w:r>
        <w:rPr>
          <w:rStyle w:val="18"/>
        </w:rPr>
        <w:tab/>
      </w:r>
      <w:r>
        <w:fldChar w:fldCharType="begin"/>
      </w:r>
      <w:r>
        <w:rPr>
          <w:rStyle w:val="18"/>
        </w:rPr>
        <w:instrText xml:space="preserve"> PAGEREF _Toc256000031 \h </w:instrText>
      </w:r>
      <w:r>
        <w:fldChar w:fldCharType="separate"/>
      </w:r>
      <w:r>
        <w:rPr>
          <w:rStyle w:val="18"/>
        </w:rPr>
        <w:t>16</w:t>
      </w:r>
      <w:r>
        <w:fldChar w:fldCharType="end"/>
      </w:r>
      <w:r>
        <w:fldChar w:fldCharType="end"/>
      </w:r>
    </w:p>
    <w:p>
      <w:pPr>
        <w:pStyle w:val="10"/>
        <w:tabs>
          <w:tab w:val="right" w:leader="dot" w:pos="8650"/>
        </w:tabs>
        <w:rPr>
          <w:rFonts w:asciiTheme="minorHAnsi" w:hAnsiTheme="minorHAnsi"/>
          <w:sz w:val="22"/>
        </w:rPr>
      </w:pPr>
      <w:r>
        <w:fldChar w:fldCharType="begin"/>
      </w:r>
      <w:r>
        <w:rPr>
          <w:rStyle w:val="18"/>
        </w:rPr>
        <w:instrText xml:space="preserve"> HYPERLINK \l "_Toc256000032" </w:instrText>
      </w:r>
      <w:r>
        <w:fldChar w:fldCharType="separate"/>
      </w:r>
      <w:r>
        <w:rPr>
          <w:rStyle w:val="18"/>
          <w:rFonts w:ascii="宋体" w:hAnsi="宋体"/>
        </w:rPr>
        <w:t>五、相关服务机构</w:t>
      </w:r>
      <w:r>
        <w:rPr>
          <w:rStyle w:val="18"/>
        </w:rPr>
        <w:tab/>
      </w:r>
      <w:r>
        <w:fldChar w:fldCharType="begin"/>
      </w:r>
      <w:r>
        <w:rPr>
          <w:rStyle w:val="18"/>
        </w:rPr>
        <w:instrText xml:space="preserve"> PAGEREF _Toc256000032 \h </w:instrText>
      </w:r>
      <w:r>
        <w:fldChar w:fldCharType="separate"/>
      </w:r>
      <w:r>
        <w:rPr>
          <w:rStyle w:val="18"/>
        </w:rPr>
        <w:t>19</w:t>
      </w:r>
      <w:r>
        <w:fldChar w:fldCharType="end"/>
      </w:r>
      <w:r>
        <w:fldChar w:fldCharType="end"/>
      </w:r>
    </w:p>
    <w:p>
      <w:pPr>
        <w:pStyle w:val="10"/>
        <w:tabs>
          <w:tab w:val="right" w:leader="dot" w:pos="8650"/>
        </w:tabs>
        <w:rPr>
          <w:rFonts w:asciiTheme="minorHAnsi" w:hAnsiTheme="minorHAnsi"/>
          <w:sz w:val="22"/>
        </w:rPr>
      </w:pPr>
      <w:r>
        <w:fldChar w:fldCharType="begin"/>
      </w:r>
      <w:r>
        <w:rPr>
          <w:rStyle w:val="18"/>
        </w:rPr>
        <w:instrText xml:space="preserve"> HYPERLINK \l "_Toc256000033" </w:instrText>
      </w:r>
      <w:r>
        <w:fldChar w:fldCharType="separate"/>
      </w:r>
      <w:r>
        <w:rPr>
          <w:rStyle w:val="18"/>
          <w:rFonts w:ascii="宋体" w:hAnsi="宋体"/>
        </w:rPr>
        <w:t>六、基金的募集</w:t>
      </w:r>
      <w:r>
        <w:rPr>
          <w:rStyle w:val="18"/>
        </w:rPr>
        <w:tab/>
      </w:r>
      <w:r>
        <w:fldChar w:fldCharType="begin"/>
      </w:r>
      <w:r>
        <w:rPr>
          <w:rStyle w:val="18"/>
        </w:rPr>
        <w:instrText xml:space="preserve"> PAGEREF _Toc256000033 \h </w:instrText>
      </w:r>
      <w:r>
        <w:fldChar w:fldCharType="separate"/>
      </w:r>
      <w:r>
        <w:rPr>
          <w:rStyle w:val="18"/>
        </w:rPr>
        <w:t>56</w:t>
      </w:r>
      <w:r>
        <w:fldChar w:fldCharType="end"/>
      </w:r>
      <w:r>
        <w:fldChar w:fldCharType="end"/>
      </w:r>
    </w:p>
    <w:p>
      <w:pPr>
        <w:pStyle w:val="10"/>
        <w:tabs>
          <w:tab w:val="right" w:leader="dot" w:pos="8650"/>
        </w:tabs>
        <w:rPr>
          <w:rFonts w:asciiTheme="minorHAnsi" w:hAnsiTheme="minorHAnsi"/>
          <w:sz w:val="22"/>
        </w:rPr>
      </w:pPr>
      <w:r>
        <w:fldChar w:fldCharType="begin"/>
      </w:r>
      <w:r>
        <w:rPr>
          <w:rStyle w:val="18"/>
        </w:rPr>
        <w:instrText xml:space="preserve"> HYPERLINK \l "_Toc256000034" </w:instrText>
      </w:r>
      <w:r>
        <w:fldChar w:fldCharType="separate"/>
      </w:r>
      <w:r>
        <w:rPr>
          <w:rStyle w:val="18"/>
          <w:rFonts w:ascii="宋体" w:hAnsi="宋体"/>
        </w:rPr>
        <w:t>七、基金合同的生效</w:t>
      </w:r>
      <w:r>
        <w:rPr>
          <w:rStyle w:val="18"/>
        </w:rPr>
        <w:tab/>
      </w:r>
      <w:r>
        <w:fldChar w:fldCharType="begin"/>
      </w:r>
      <w:r>
        <w:rPr>
          <w:rStyle w:val="18"/>
        </w:rPr>
        <w:instrText xml:space="preserve"> PAGEREF _Toc256000034 \h </w:instrText>
      </w:r>
      <w:r>
        <w:fldChar w:fldCharType="separate"/>
      </w:r>
      <w:r>
        <w:rPr>
          <w:rStyle w:val="18"/>
        </w:rPr>
        <w:t>57</w:t>
      </w:r>
      <w:r>
        <w:fldChar w:fldCharType="end"/>
      </w:r>
      <w:r>
        <w:fldChar w:fldCharType="end"/>
      </w:r>
    </w:p>
    <w:p>
      <w:pPr>
        <w:pStyle w:val="10"/>
        <w:tabs>
          <w:tab w:val="right" w:leader="dot" w:pos="8650"/>
        </w:tabs>
        <w:rPr>
          <w:rFonts w:asciiTheme="minorHAnsi" w:hAnsiTheme="minorHAnsi"/>
          <w:sz w:val="22"/>
        </w:rPr>
      </w:pPr>
      <w:r>
        <w:fldChar w:fldCharType="begin"/>
      </w:r>
      <w:r>
        <w:rPr>
          <w:rStyle w:val="18"/>
        </w:rPr>
        <w:instrText xml:space="preserve"> HYPERLINK \l "_Toc256000035" </w:instrText>
      </w:r>
      <w:r>
        <w:fldChar w:fldCharType="separate"/>
      </w:r>
      <w:r>
        <w:rPr>
          <w:rStyle w:val="18"/>
          <w:rFonts w:ascii="宋体" w:hAnsi="宋体"/>
        </w:rPr>
        <w:t>八、基金份额的申购与赎回</w:t>
      </w:r>
      <w:r>
        <w:rPr>
          <w:rStyle w:val="18"/>
        </w:rPr>
        <w:tab/>
      </w:r>
      <w:r>
        <w:fldChar w:fldCharType="begin"/>
      </w:r>
      <w:r>
        <w:rPr>
          <w:rStyle w:val="18"/>
        </w:rPr>
        <w:instrText xml:space="preserve"> PAGEREF _Toc256000035 \h </w:instrText>
      </w:r>
      <w:r>
        <w:fldChar w:fldCharType="separate"/>
      </w:r>
      <w:r>
        <w:rPr>
          <w:rStyle w:val="18"/>
        </w:rPr>
        <w:t>58</w:t>
      </w:r>
      <w:r>
        <w:fldChar w:fldCharType="end"/>
      </w:r>
      <w:r>
        <w:fldChar w:fldCharType="end"/>
      </w:r>
    </w:p>
    <w:p>
      <w:pPr>
        <w:pStyle w:val="10"/>
        <w:tabs>
          <w:tab w:val="right" w:leader="dot" w:pos="8650"/>
        </w:tabs>
        <w:rPr>
          <w:rFonts w:asciiTheme="minorHAnsi" w:hAnsiTheme="minorHAnsi"/>
          <w:sz w:val="22"/>
        </w:rPr>
      </w:pPr>
      <w:r>
        <w:fldChar w:fldCharType="begin"/>
      </w:r>
      <w:r>
        <w:rPr>
          <w:rStyle w:val="18"/>
        </w:rPr>
        <w:instrText xml:space="preserve"> HYPERLINK \l "_Toc256000036" </w:instrText>
      </w:r>
      <w:r>
        <w:fldChar w:fldCharType="separate"/>
      </w:r>
      <w:r>
        <w:rPr>
          <w:rStyle w:val="18"/>
          <w:rFonts w:ascii="宋体" w:hAnsi="宋体"/>
        </w:rPr>
        <w:t>九、基金的转换</w:t>
      </w:r>
      <w:r>
        <w:rPr>
          <w:rStyle w:val="18"/>
        </w:rPr>
        <w:tab/>
      </w:r>
      <w:r>
        <w:fldChar w:fldCharType="begin"/>
      </w:r>
      <w:r>
        <w:rPr>
          <w:rStyle w:val="18"/>
        </w:rPr>
        <w:instrText xml:space="preserve"> PAGEREF _Toc256000036 \h </w:instrText>
      </w:r>
      <w:r>
        <w:fldChar w:fldCharType="separate"/>
      </w:r>
      <w:r>
        <w:rPr>
          <w:rStyle w:val="18"/>
        </w:rPr>
        <w:t>69</w:t>
      </w:r>
      <w:r>
        <w:fldChar w:fldCharType="end"/>
      </w:r>
      <w:r>
        <w:fldChar w:fldCharType="end"/>
      </w:r>
    </w:p>
    <w:p>
      <w:pPr>
        <w:pStyle w:val="10"/>
        <w:tabs>
          <w:tab w:val="right" w:leader="dot" w:pos="8650"/>
        </w:tabs>
        <w:rPr>
          <w:rFonts w:asciiTheme="minorHAnsi" w:hAnsiTheme="minorHAnsi"/>
          <w:sz w:val="22"/>
        </w:rPr>
      </w:pPr>
      <w:r>
        <w:fldChar w:fldCharType="begin"/>
      </w:r>
      <w:r>
        <w:rPr>
          <w:rStyle w:val="18"/>
        </w:rPr>
        <w:instrText xml:space="preserve"> HYPERLINK \l "_Toc256000037" </w:instrText>
      </w:r>
      <w:r>
        <w:fldChar w:fldCharType="separate"/>
      </w:r>
      <w:r>
        <w:rPr>
          <w:rStyle w:val="18"/>
          <w:rFonts w:ascii="宋体" w:hAnsi="宋体"/>
        </w:rPr>
        <w:t>十、基金的定期支付</w:t>
      </w:r>
      <w:r>
        <w:rPr>
          <w:rStyle w:val="18"/>
        </w:rPr>
        <w:tab/>
      </w:r>
      <w:r>
        <w:fldChar w:fldCharType="begin"/>
      </w:r>
      <w:r>
        <w:rPr>
          <w:rStyle w:val="18"/>
        </w:rPr>
        <w:instrText xml:space="preserve"> PAGEREF _Toc256000037 \h </w:instrText>
      </w:r>
      <w:r>
        <w:fldChar w:fldCharType="separate"/>
      </w:r>
      <w:r>
        <w:rPr>
          <w:rStyle w:val="18"/>
        </w:rPr>
        <w:t>76</w:t>
      </w:r>
      <w:r>
        <w:fldChar w:fldCharType="end"/>
      </w:r>
      <w:r>
        <w:fldChar w:fldCharType="end"/>
      </w:r>
    </w:p>
    <w:p>
      <w:pPr>
        <w:pStyle w:val="10"/>
        <w:tabs>
          <w:tab w:val="right" w:leader="dot" w:pos="8650"/>
        </w:tabs>
        <w:rPr>
          <w:rFonts w:asciiTheme="minorHAnsi" w:hAnsiTheme="minorHAnsi"/>
          <w:sz w:val="22"/>
        </w:rPr>
      </w:pPr>
      <w:r>
        <w:fldChar w:fldCharType="begin"/>
      </w:r>
      <w:r>
        <w:rPr>
          <w:rStyle w:val="18"/>
        </w:rPr>
        <w:instrText xml:space="preserve"> HYPERLINK \l "_Toc256000038" </w:instrText>
      </w:r>
      <w:r>
        <w:fldChar w:fldCharType="separate"/>
      </w:r>
      <w:r>
        <w:rPr>
          <w:rStyle w:val="18"/>
          <w:rFonts w:ascii="宋体" w:hAnsi="宋体"/>
        </w:rPr>
        <w:t>十一、基金的投资</w:t>
      </w:r>
      <w:r>
        <w:rPr>
          <w:rStyle w:val="18"/>
        </w:rPr>
        <w:tab/>
      </w:r>
      <w:r>
        <w:fldChar w:fldCharType="begin"/>
      </w:r>
      <w:r>
        <w:rPr>
          <w:rStyle w:val="18"/>
        </w:rPr>
        <w:instrText xml:space="preserve"> PAGEREF _Toc256000038 \h </w:instrText>
      </w:r>
      <w:r>
        <w:fldChar w:fldCharType="separate"/>
      </w:r>
      <w:r>
        <w:rPr>
          <w:rStyle w:val="18"/>
        </w:rPr>
        <w:t>80</w:t>
      </w:r>
      <w:r>
        <w:fldChar w:fldCharType="end"/>
      </w:r>
      <w:r>
        <w:fldChar w:fldCharType="end"/>
      </w:r>
    </w:p>
    <w:p>
      <w:pPr>
        <w:pStyle w:val="10"/>
        <w:tabs>
          <w:tab w:val="right" w:leader="dot" w:pos="8650"/>
        </w:tabs>
        <w:rPr>
          <w:rFonts w:asciiTheme="minorHAnsi" w:hAnsiTheme="minorHAnsi"/>
          <w:sz w:val="22"/>
        </w:rPr>
      </w:pPr>
      <w:r>
        <w:fldChar w:fldCharType="begin"/>
      </w:r>
      <w:r>
        <w:rPr>
          <w:rStyle w:val="18"/>
        </w:rPr>
        <w:instrText xml:space="preserve"> HYPERLINK \l "_Toc256000039" </w:instrText>
      </w:r>
      <w:r>
        <w:fldChar w:fldCharType="separate"/>
      </w:r>
      <w:r>
        <w:rPr>
          <w:rStyle w:val="18"/>
          <w:rFonts w:ascii="宋体" w:hAnsi="宋体"/>
        </w:rPr>
        <w:t>十二、基金的业绩</w:t>
      </w:r>
      <w:r>
        <w:rPr>
          <w:rStyle w:val="18"/>
        </w:rPr>
        <w:tab/>
      </w:r>
      <w:r>
        <w:fldChar w:fldCharType="begin"/>
      </w:r>
      <w:r>
        <w:rPr>
          <w:rStyle w:val="18"/>
        </w:rPr>
        <w:instrText xml:space="preserve"> PAGEREF _Toc256000039 \h </w:instrText>
      </w:r>
      <w:r>
        <w:fldChar w:fldCharType="separate"/>
      </w:r>
      <w:r>
        <w:rPr>
          <w:rStyle w:val="18"/>
        </w:rPr>
        <w:t>93</w:t>
      </w:r>
      <w:r>
        <w:fldChar w:fldCharType="end"/>
      </w:r>
      <w:r>
        <w:fldChar w:fldCharType="end"/>
      </w:r>
    </w:p>
    <w:p>
      <w:pPr>
        <w:pStyle w:val="10"/>
        <w:tabs>
          <w:tab w:val="right" w:leader="dot" w:pos="8650"/>
        </w:tabs>
        <w:rPr>
          <w:rFonts w:asciiTheme="minorHAnsi" w:hAnsiTheme="minorHAnsi"/>
          <w:sz w:val="22"/>
        </w:rPr>
      </w:pPr>
      <w:r>
        <w:fldChar w:fldCharType="begin"/>
      </w:r>
      <w:r>
        <w:rPr>
          <w:rStyle w:val="18"/>
        </w:rPr>
        <w:instrText xml:space="preserve"> HYPERLINK \l "_Toc256000040" </w:instrText>
      </w:r>
      <w:r>
        <w:fldChar w:fldCharType="separate"/>
      </w:r>
      <w:r>
        <w:rPr>
          <w:rStyle w:val="18"/>
          <w:rFonts w:ascii="宋体" w:hAnsi="宋体"/>
        </w:rPr>
        <w:t>十三、基金的财产</w:t>
      </w:r>
      <w:r>
        <w:rPr>
          <w:rStyle w:val="18"/>
        </w:rPr>
        <w:tab/>
      </w:r>
      <w:r>
        <w:fldChar w:fldCharType="begin"/>
      </w:r>
      <w:r>
        <w:rPr>
          <w:rStyle w:val="18"/>
        </w:rPr>
        <w:instrText xml:space="preserve"> PAGEREF _Toc256000040 \h </w:instrText>
      </w:r>
      <w:r>
        <w:fldChar w:fldCharType="separate"/>
      </w:r>
      <w:r>
        <w:rPr>
          <w:rStyle w:val="18"/>
        </w:rPr>
        <w:t>95</w:t>
      </w:r>
      <w:r>
        <w:fldChar w:fldCharType="end"/>
      </w:r>
      <w:r>
        <w:fldChar w:fldCharType="end"/>
      </w:r>
    </w:p>
    <w:p>
      <w:pPr>
        <w:pStyle w:val="10"/>
        <w:tabs>
          <w:tab w:val="right" w:leader="dot" w:pos="8650"/>
        </w:tabs>
        <w:rPr>
          <w:rFonts w:asciiTheme="minorHAnsi" w:hAnsiTheme="minorHAnsi"/>
          <w:sz w:val="22"/>
        </w:rPr>
      </w:pPr>
      <w:r>
        <w:fldChar w:fldCharType="begin"/>
      </w:r>
      <w:r>
        <w:rPr>
          <w:rStyle w:val="18"/>
        </w:rPr>
        <w:instrText xml:space="preserve"> HYPERLINK \l "_Toc256000041" </w:instrText>
      </w:r>
      <w:r>
        <w:fldChar w:fldCharType="separate"/>
      </w:r>
      <w:r>
        <w:rPr>
          <w:rStyle w:val="18"/>
          <w:rFonts w:ascii="宋体" w:hAnsi="宋体"/>
        </w:rPr>
        <w:t>十四、基金资产的估值</w:t>
      </w:r>
      <w:r>
        <w:rPr>
          <w:rStyle w:val="18"/>
        </w:rPr>
        <w:tab/>
      </w:r>
      <w:r>
        <w:fldChar w:fldCharType="begin"/>
      </w:r>
      <w:r>
        <w:rPr>
          <w:rStyle w:val="18"/>
        </w:rPr>
        <w:instrText xml:space="preserve"> PAGEREF _Toc256000041 \h </w:instrText>
      </w:r>
      <w:r>
        <w:fldChar w:fldCharType="separate"/>
      </w:r>
      <w:r>
        <w:rPr>
          <w:rStyle w:val="18"/>
        </w:rPr>
        <w:t>96</w:t>
      </w:r>
      <w:r>
        <w:fldChar w:fldCharType="end"/>
      </w:r>
      <w:r>
        <w:fldChar w:fldCharType="end"/>
      </w:r>
    </w:p>
    <w:p>
      <w:pPr>
        <w:pStyle w:val="10"/>
        <w:tabs>
          <w:tab w:val="right" w:leader="dot" w:pos="8650"/>
        </w:tabs>
        <w:rPr>
          <w:rFonts w:asciiTheme="minorHAnsi" w:hAnsiTheme="minorHAnsi"/>
          <w:sz w:val="22"/>
        </w:rPr>
      </w:pPr>
      <w:r>
        <w:fldChar w:fldCharType="begin"/>
      </w:r>
      <w:r>
        <w:rPr>
          <w:rStyle w:val="18"/>
        </w:rPr>
        <w:instrText xml:space="preserve"> HYPERLINK \l "_Toc256000042" </w:instrText>
      </w:r>
      <w:r>
        <w:fldChar w:fldCharType="separate"/>
      </w:r>
      <w:r>
        <w:rPr>
          <w:rStyle w:val="18"/>
          <w:rFonts w:ascii="宋体" w:hAnsi="宋体"/>
        </w:rPr>
        <w:t>十五、基金收益与分配</w:t>
      </w:r>
      <w:r>
        <w:rPr>
          <w:rStyle w:val="18"/>
        </w:rPr>
        <w:tab/>
      </w:r>
      <w:r>
        <w:fldChar w:fldCharType="begin"/>
      </w:r>
      <w:r>
        <w:rPr>
          <w:rStyle w:val="18"/>
        </w:rPr>
        <w:instrText xml:space="preserve"> PAGEREF _Toc256000042 \h </w:instrText>
      </w:r>
      <w:r>
        <w:fldChar w:fldCharType="separate"/>
      </w:r>
      <w:r>
        <w:rPr>
          <w:rStyle w:val="18"/>
        </w:rPr>
        <w:t>101</w:t>
      </w:r>
      <w:r>
        <w:fldChar w:fldCharType="end"/>
      </w:r>
      <w:r>
        <w:fldChar w:fldCharType="end"/>
      </w:r>
    </w:p>
    <w:p>
      <w:pPr>
        <w:pStyle w:val="10"/>
        <w:tabs>
          <w:tab w:val="right" w:leader="dot" w:pos="8650"/>
        </w:tabs>
        <w:rPr>
          <w:rFonts w:asciiTheme="minorHAnsi" w:hAnsiTheme="minorHAnsi"/>
          <w:sz w:val="22"/>
        </w:rPr>
      </w:pPr>
      <w:r>
        <w:fldChar w:fldCharType="begin"/>
      </w:r>
      <w:r>
        <w:rPr>
          <w:rStyle w:val="18"/>
        </w:rPr>
        <w:instrText xml:space="preserve"> HYPERLINK \l "_Toc256000043" </w:instrText>
      </w:r>
      <w:r>
        <w:fldChar w:fldCharType="separate"/>
      </w:r>
      <w:r>
        <w:rPr>
          <w:rStyle w:val="18"/>
          <w:rFonts w:ascii="宋体" w:hAnsi="宋体"/>
        </w:rPr>
        <w:t>十六、基金的费用与税收</w:t>
      </w:r>
      <w:r>
        <w:rPr>
          <w:rStyle w:val="18"/>
        </w:rPr>
        <w:tab/>
      </w:r>
      <w:r>
        <w:fldChar w:fldCharType="begin"/>
      </w:r>
      <w:r>
        <w:rPr>
          <w:rStyle w:val="18"/>
        </w:rPr>
        <w:instrText xml:space="preserve"> PAGEREF _Toc256000043 \h </w:instrText>
      </w:r>
      <w:r>
        <w:fldChar w:fldCharType="separate"/>
      </w:r>
      <w:r>
        <w:rPr>
          <w:rStyle w:val="18"/>
        </w:rPr>
        <w:t>102</w:t>
      </w:r>
      <w:r>
        <w:fldChar w:fldCharType="end"/>
      </w:r>
      <w:r>
        <w:fldChar w:fldCharType="end"/>
      </w:r>
    </w:p>
    <w:p>
      <w:pPr>
        <w:pStyle w:val="10"/>
        <w:tabs>
          <w:tab w:val="right" w:leader="dot" w:pos="8650"/>
        </w:tabs>
        <w:rPr>
          <w:rFonts w:asciiTheme="minorHAnsi" w:hAnsiTheme="minorHAnsi"/>
          <w:sz w:val="22"/>
        </w:rPr>
      </w:pPr>
      <w:r>
        <w:fldChar w:fldCharType="begin"/>
      </w:r>
      <w:r>
        <w:rPr>
          <w:rStyle w:val="18"/>
        </w:rPr>
        <w:instrText xml:space="preserve"> HYPERLINK \l "_Toc256000044" </w:instrText>
      </w:r>
      <w:r>
        <w:fldChar w:fldCharType="separate"/>
      </w:r>
      <w:r>
        <w:rPr>
          <w:rStyle w:val="18"/>
          <w:rFonts w:ascii="宋体" w:hAnsi="宋体"/>
        </w:rPr>
        <w:t>十七、基金的会计与审计</w:t>
      </w:r>
      <w:r>
        <w:rPr>
          <w:rStyle w:val="18"/>
        </w:rPr>
        <w:tab/>
      </w:r>
      <w:r>
        <w:fldChar w:fldCharType="begin"/>
      </w:r>
      <w:r>
        <w:rPr>
          <w:rStyle w:val="18"/>
        </w:rPr>
        <w:instrText xml:space="preserve"> PAGEREF _Toc256000044 \h </w:instrText>
      </w:r>
      <w:r>
        <w:fldChar w:fldCharType="separate"/>
      </w:r>
      <w:r>
        <w:rPr>
          <w:rStyle w:val="18"/>
        </w:rPr>
        <w:t>104</w:t>
      </w:r>
      <w:r>
        <w:fldChar w:fldCharType="end"/>
      </w:r>
      <w:r>
        <w:fldChar w:fldCharType="end"/>
      </w:r>
    </w:p>
    <w:p>
      <w:pPr>
        <w:pStyle w:val="10"/>
        <w:tabs>
          <w:tab w:val="right" w:leader="dot" w:pos="8650"/>
        </w:tabs>
        <w:rPr>
          <w:rFonts w:asciiTheme="minorHAnsi" w:hAnsiTheme="minorHAnsi"/>
          <w:sz w:val="22"/>
        </w:rPr>
      </w:pPr>
      <w:r>
        <w:fldChar w:fldCharType="begin"/>
      </w:r>
      <w:r>
        <w:rPr>
          <w:rStyle w:val="18"/>
        </w:rPr>
        <w:instrText xml:space="preserve"> HYPERLINK \l "_Toc256000045" </w:instrText>
      </w:r>
      <w:r>
        <w:fldChar w:fldCharType="separate"/>
      </w:r>
      <w:r>
        <w:rPr>
          <w:rStyle w:val="18"/>
          <w:rFonts w:ascii="宋体" w:hAnsi="宋体"/>
        </w:rPr>
        <w:t>十八、基金的信息披露</w:t>
      </w:r>
      <w:r>
        <w:rPr>
          <w:rStyle w:val="18"/>
        </w:rPr>
        <w:tab/>
      </w:r>
      <w:r>
        <w:fldChar w:fldCharType="begin"/>
      </w:r>
      <w:r>
        <w:rPr>
          <w:rStyle w:val="18"/>
        </w:rPr>
        <w:instrText xml:space="preserve"> PAGEREF _Toc256000045 \h </w:instrText>
      </w:r>
      <w:r>
        <w:fldChar w:fldCharType="separate"/>
      </w:r>
      <w:r>
        <w:rPr>
          <w:rStyle w:val="18"/>
        </w:rPr>
        <w:t>105</w:t>
      </w:r>
      <w:r>
        <w:fldChar w:fldCharType="end"/>
      </w:r>
      <w:r>
        <w:fldChar w:fldCharType="end"/>
      </w:r>
    </w:p>
    <w:p>
      <w:pPr>
        <w:pStyle w:val="10"/>
        <w:tabs>
          <w:tab w:val="right" w:leader="dot" w:pos="8650"/>
        </w:tabs>
        <w:rPr>
          <w:rFonts w:asciiTheme="minorHAnsi" w:hAnsiTheme="minorHAnsi"/>
          <w:sz w:val="22"/>
        </w:rPr>
      </w:pPr>
      <w:r>
        <w:fldChar w:fldCharType="begin"/>
      </w:r>
      <w:r>
        <w:rPr>
          <w:rStyle w:val="18"/>
        </w:rPr>
        <w:instrText xml:space="preserve"> HYPERLINK \l "_Toc256000046" </w:instrText>
      </w:r>
      <w:r>
        <w:fldChar w:fldCharType="separate"/>
      </w:r>
      <w:r>
        <w:rPr>
          <w:rStyle w:val="18"/>
          <w:rFonts w:ascii="宋体" w:hAnsi="宋体"/>
        </w:rPr>
        <w:t>十九、风险揭示</w:t>
      </w:r>
      <w:r>
        <w:rPr>
          <w:rStyle w:val="18"/>
        </w:rPr>
        <w:tab/>
      </w:r>
      <w:r>
        <w:fldChar w:fldCharType="begin"/>
      </w:r>
      <w:r>
        <w:rPr>
          <w:rStyle w:val="18"/>
        </w:rPr>
        <w:instrText xml:space="preserve"> PAGEREF _Toc256000046 \h </w:instrText>
      </w:r>
      <w:r>
        <w:fldChar w:fldCharType="separate"/>
      </w:r>
      <w:r>
        <w:rPr>
          <w:rStyle w:val="18"/>
        </w:rPr>
        <w:t>111</w:t>
      </w:r>
      <w:r>
        <w:fldChar w:fldCharType="end"/>
      </w:r>
      <w:r>
        <w:fldChar w:fldCharType="end"/>
      </w:r>
    </w:p>
    <w:p>
      <w:pPr>
        <w:pStyle w:val="10"/>
        <w:tabs>
          <w:tab w:val="right" w:leader="dot" w:pos="8650"/>
        </w:tabs>
        <w:rPr>
          <w:rFonts w:asciiTheme="minorHAnsi" w:hAnsiTheme="minorHAnsi"/>
          <w:sz w:val="22"/>
        </w:rPr>
      </w:pPr>
      <w:r>
        <w:fldChar w:fldCharType="begin"/>
      </w:r>
      <w:r>
        <w:rPr>
          <w:rStyle w:val="18"/>
        </w:rPr>
        <w:instrText xml:space="preserve"> HYPERLINK \l "_Toc256000047" </w:instrText>
      </w:r>
      <w:r>
        <w:fldChar w:fldCharType="separate"/>
      </w:r>
      <w:r>
        <w:rPr>
          <w:rStyle w:val="18"/>
          <w:rFonts w:ascii="宋体" w:hAnsi="宋体"/>
        </w:rPr>
        <w:t>二十、基金合同的变更、终止与基金财产的清算</w:t>
      </w:r>
      <w:r>
        <w:rPr>
          <w:rStyle w:val="18"/>
        </w:rPr>
        <w:tab/>
      </w:r>
      <w:r>
        <w:fldChar w:fldCharType="begin"/>
      </w:r>
      <w:r>
        <w:rPr>
          <w:rStyle w:val="18"/>
        </w:rPr>
        <w:instrText xml:space="preserve"> PAGEREF _Toc256000047 \h </w:instrText>
      </w:r>
      <w:r>
        <w:fldChar w:fldCharType="separate"/>
      </w:r>
      <w:r>
        <w:rPr>
          <w:rStyle w:val="18"/>
        </w:rPr>
        <w:t>119</w:t>
      </w:r>
      <w:r>
        <w:fldChar w:fldCharType="end"/>
      </w:r>
      <w:r>
        <w:fldChar w:fldCharType="end"/>
      </w:r>
    </w:p>
    <w:p>
      <w:pPr>
        <w:pStyle w:val="10"/>
        <w:tabs>
          <w:tab w:val="right" w:leader="dot" w:pos="8650"/>
        </w:tabs>
        <w:rPr>
          <w:rFonts w:asciiTheme="minorHAnsi" w:hAnsiTheme="minorHAnsi"/>
          <w:sz w:val="22"/>
        </w:rPr>
      </w:pPr>
      <w:r>
        <w:fldChar w:fldCharType="begin"/>
      </w:r>
      <w:r>
        <w:rPr>
          <w:rStyle w:val="18"/>
        </w:rPr>
        <w:instrText xml:space="preserve"> HYPERLINK \l "_Toc256000048" </w:instrText>
      </w:r>
      <w:r>
        <w:fldChar w:fldCharType="separate"/>
      </w:r>
      <w:r>
        <w:rPr>
          <w:rStyle w:val="18"/>
          <w:rFonts w:ascii="宋体" w:hAnsi="宋体"/>
        </w:rPr>
        <w:t>二十一、基金合同内容摘要</w:t>
      </w:r>
      <w:r>
        <w:rPr>
          <w:rStyle w:val="18"/>
        </w:rPr>
        <w:tab/>
      </w:r>
      <w:r>
        <w:fldChar w:fldCharType="begin"/>
      </w:r>
      <w:r>
        <w:rPr>
          <w:rStyle w:val="18"/>
        </w:rPr>
        <w:instrText xml:space="preserve"> PAGEREF _Toc256000048 \h </w:instrText>
      </w:r>
      <w:r>
        <w:fldChar w:fldCharType="separate"/>
      </w:r>
      <w:r>
        <w:rPr>
          <w:rStyle w:val="18"/>
        </w:rPr>
        <w:t>121</w:t>
      </w:r>
      <w:r>
        <w:fldChar w:fldCharType="end"/>
      </w:r>
      <w:r>
        <w:fldChar w:fldCharType="end"/>
      </w:r>
    </w:p>
    <w:p>
      <w:pPr>
        <w:pStyle w:val="10"/>
        <w:tabs>
          <w:tab w:val="right" w:leader="dot" w:pos="8650"/>
        </w:tabs>
        <w:rPr>
          <w:rFonts w:asciiTheme="minorHAnsi" w:hAnsiTheme="minorHAnsi"/>
          <w:sz w:val="22"/>
        </w:rPr>
      </w:pPr>
      <w:r>
        <w:fldChar w:fldCharType="begin"/>
      </w:r>
      <w:r>
        <w:rPr>
          <w:rStyle w:val="18"/>
        </w:rPr>
        <w:instrText xml:space="preserve"> HYPERLINK \l "_Toc256000049" </w:instrText>
      </w:r>
      <w:r>
        <w:fldChar w:fldCharType="separate"/>
      </w:r>
      <w:r>
        <w:rPr>
          <w:rStyle w:val="18"/>
          <w:rFonts w:ascii="宋体" w:hAnsi="宋体"/>
        </w:rPr>
        <w:t>二十二、托管协议的内容摘要</w:t>
      </w:r>
      <w:r>
        <w:rPr>
          <w:rStyle w:val="18"/>
        </w:rPr>
        <w:tab/>
      </w:r>
      <w:r>
        <w:fldChar w:fldCharType="begin"/>
      </w:r>
      <w:r>
        <w:rPr>
          <w:rStyle w:val="18"/>
        </w:rPr>
        <w:instrText xml:space="preserve"> PAGEREF _Toc256000049 \h </w:instrText>
      </w:r>
      <w:r>
        <w:fldChar w:fldCharType="separate"/>
      </w:r>
      <w:r>
        <w:rPr>
          <w:rStyle w:val="18"/>
        </w:rPr>
        <w:t>135</w:t>
      </w:r>
      <w:r>
        <w:fldChar w:fldCharType="end"/>
      </w:r>
      <w:r>
        <w:fldChar w:fldCharType="end"/>
      </w:r>
    </w:p>
    <w:p>
      <w:pPr>
        <w:pStyle w:val="10"/>
        <w:tabs>
          <w:tab w:val="right" w:leader="dot" w:pos="8650"/>
        </w:tabs>
        <w:rPr>
          <w:rFonts w:asciiTheme="minorHAnsi" w:hAnsiTheme="minorHAnsi"/>
          <w:sz w:val="22"/>
        </w:rPr>
      </w:pPr>
      <w:r>
        <w:fldChar w:fldCharType="begin"/>
      </w:r>
      <w:r>
        <w:rPr>
          <w:rStyle w:val="18"/>
        </w:rPr>
        <w:instrText xml:space="preserve"> HYPERLINK \l "_Toc256000050" </w:instrText>
      </w:r>
      <w:r>
        <w:fldChar w:fldCharType="separate"/>
      </w:r>
      <w:r>
        <w:rPr>
          <w:rStyle w:val="18"/>
          <w:rFonts w:ascii="宋体" w:hAnsi="宋体"/>
        </w:rPr>
        <w:t>二十三、对基金份额持有人的服务</w:t>
      </w:r>
      <w:r>
        <w:rPr>
          <w:rStyle w:val="18"/>
        </w:rPr>
        <w:tab/>
      </w:r>
      <w:r>
        <w:fldChar w:fldCharType="begin"/>
      </w:r>
      <w:r>
        <w:rPr>
          <w:rStyle w:val="18"/>
        </w:rPr>
        <w:instrText xml:space="preserve"> PAGEREF _Toc256000050 \h </w:instrText>
      </w:r>
      <w:r>
        <w:fldChar w:fldCharType="separate"/>
      </w:r>
      <w:r>
        <w:rPr>
          <w:rStyle w:val="18"/>
        </w:rPr>
        <w:t>152</w:t>
      </w:r>
      <w:r>
        <w:fldChar w:fldCharType="end"/>
      </w:r>
      <w:r>
        <w:fldChar w:fldCharType="end"/>
      </w:r>
    </w:p>
    <w:p>
      <w:pPr>
        <w:pStyle w:val="10"/>
        <w:tabs>
          <w:tab w:val="right" w:leader="dot" w:pos="8650"/>
        </w:tabs>
        <w:rPr>
          <w:rFonts w:asciiTheme="minorHAnsi" w:hAnsiTheme="minorHAnsi"/>
          <w:sz w:val="22"/>
        </w:rPr>
      </w:pPr>
      <w:r>
        <w:fldChar w:fldCharType="begin"/>
      </w:r>
      <w:r>
        <w:rPr>
          <w:rStyle w:val="18"/>
        </w:rPr>
        <w:instrText xml:space="preserve"> HYPERLINK \l "_Toc256000051" </w:instrText>
      </w:r>
      <w:r>
        <w:fldChar w:fldCharType="separate"/>
      </w:r>
      <w:r>
        <w:rPr>
          <w:rStyle w:val="18"/>
          <w:rFonts w:ascii="宋体" w:hAnsi="宋体"/>
        </w:rPr>
        <w:t>二十四、其他应披露事项</w:t>
      </w:r>
      <w:r>
        <w:rPr>
          <w:rStyle w:val="18"/>
        </w:rPr>
        <w:tab/>
      </w:r>
      <w:r>
        <w:fldChar w:fldCharType="begin"/>
      </w:r>
      <w:r>
        <w:rPr>
          <w:rStyle w:val="18"/>
        </w:rPr>
        <w:instrText xml:space="preserve"> PAGEREF _Toc256000051 \h </w:instrText>
      </w:r>
      <w:r>
        <w:fldChar w:fldCharType="separate"/>
      </w:r>
      <w:r>
        <w:rPr>
          <w:rStyle w:val="18"/>
        </w:rPr>
        <w:t>154</w:t>
      </w:r>
      <w:r>
        <w:fldChar w:fldCharType="end"/>
      </w:r>
      <w:r>
        <w:fldChar w:fldCharType="end"/>
      </w:r>
    </w:p>
    <w:p>
      <w:pPr>
        <w:pStyle w:val="10"/>
        <w:tabs>
          <w:tab w:val="right" w:leader="dot" w:pos="8650"/>
        </w:tabs>
        <w:rPr>
          <w:rFonts w:asciiTheme="minorHAnsi" w:hAnsiTheme="minorHAnsi"/>
          <w:sz w:val="22"/>
        </w:rPr>
      </w:pPr>
      <w:r>
        <w:fldChar w:fldCharType="begin"/>
      </w:r>
      <w:r>
        <w:rPr>
          <w:rStyle w:val="18"/>
        </w:rPr>
        <w:instrText xml:space="preserve"> HYPERLINK \l "_Toc256000052" </w:instrText>
      </w:r>
      <w:r>
        <w:fldChar w:fldCharType="separate"/>
      </w:r>
      <w:r>
        <w:rPr>
          <w:rStyle w:val="18"/>
          <w:rFonts w:ascii="宋体" w:hAnsi="宋体"/>
        </w:rPr>
        <w:t>二十五、招募说明书的存放及查阅方式</w:t>
      </w:r>
      <w:r>
        <w:rPr>
          <w:rStyle w:val="18"/>
        </w:rPr>
        <w:tab/>
      </w:r>
      <w:r>
        <w:fldChar w:fldCharType="begin"/>
      </w:r>
      <w:r>
        <w:rPr>
          <w:rStyle w:val="18"/>
        </w:rPr>
        <w:instrText xml:space="preserve"> PAGEREF _Toc256000052 \h </w:instrText>
      </w:r>
      <w:r>
        <w:fldChar w:fldCharType="separate"/>
      </w:r>
      <w:r>
        <w:rPr>
          <w:rStyle w:val="18"/>
        </w:rPr>
        <w:t>156</w:t>
      </w:r>
      <w:r>
        <w:fldChar w:fldCharType="end"/>
      </w:r>
      <w:r>
        <w:fldChar w:fldCharType="end"/>
      </w:r>
    </w:p>
    <w:p>
      <w:pPr>
        <w:pStyle w:val="10"/>
        <w:tabs>
          <w:tab w:val="right" w:leader="dot" w:pos="8650"/>
        </w:tabs>
        <w:rPr>
          <w:rFonts w:asciiTheme="minorHAnsi" w:hAnsiTheme="minorHAnsi"/>
          <w:sz w:val="22"/>
        </w:rPr>
      </w:pPr>
      <w:r>
        <w:fldChar w:fldCharType="begin"/>
      </w:r>
      <w:r>
        <w:rPr>
          <w:rStyle w:val="18"/>
        </w:rPr>
        <w:instrText xml:space="preserve"> HYPERLINK \l "_Toc256000053" </w:instrText>
      </w:r>
      <w:r>
        <w:fldChar w:fldCharType="separate"/>
      </w:r>
      <w:r>
        <w:rPr>
          <w:rStyle w:val="18"/>
          <w:rFonts w:ascii="宋体" w:hAnsi="宋体"/>
        </w:rPr>
        <w:t>二十六、备查文件</w:t>
      </w:r>
      <w:r>
        <w:rPr>
          <w:rStyle w:val="18"/>
        </w:rPr>
        <w:tab/>
      </w:r>
      <w:r>
        <w:fldChar w:fldCharType="begin"/>
      </w:r>
      <w:r>
        <w:rPr>
          <w:rStyle w:val="18"/>
        </w:rPr>
        <w:instrText xml:space="preserve"> PAGEREF _Toc256000053 \h </w:instrText>
      </w:r>
      <w:r>
        <w:fldChar w:fldCharType="separate"/>
      </w:r>
      <w:r>
        <w:rPr>
          <w:rStyle w:val="18"/>
        </w:rPr>
        <w:t>157</w:t>
      </w:r>
      <w:r>
        <w:fldChar w:fldCharType="end"/>
      </w:r>
      <w:r>
        <w:fldChar w:fldCharType="end"/>
      </w:r>
    </w:p>
    <w:p>
      <w:pPr>
        <w:pStyle w:val="20"/>
        <w:snapToGrid w:val="0"/>
        <w:spacing w:after="0" w:line="360" w:lineRule="auto"/>
        <w:jc w:val="center"/>
        <w:rPr>
          <w:rFonts w:ascii="宋体" w:hAnsi="宋体"/>
          <w:color w:val="auto"/>
        </w:rPr>
      </w:pPr>
      <w:r>
        <w:rPr>
          <w:rFonts w:ascii="宋体" w:hAnsi="宋体"/>
          <w:color w:val="auto"/>
        </w:rPr>
        <w:fldChar w:fldCharType="end"/>
      </w:r>
    </w:p>
    <w:p>
      <w:pPr>
        <w:autoSpaceDE w:val="0"/>
        <w:autoSpaceDN w:val="0"/>
        <w:adjustRightInd w:val="0"/>
        <w:snapToGrid w:val="0"/>
        <w:spacing w:before="51" w:after="0" w:line="360" w:lineRule="auto"/>
        <w:ind w:left="120" w:right="13" w:rightChars="6" w:firstLine="480"/>
        <w:rPr>
          <w:rFonts w:ascii="宋体" w:hAnsi="宋体"/>
          <w:kern w:val="0"/>
          <w:szCs w:val="24"/>
        </w:rPr>
        <w:sectPr>
          <w:footerReference r:id="rId12" w:type="default"/>
          <w:pgSz w:w="11920" w:h="16840"/>
          <w:pgMar w:top="1360" w:right="1580" w:bottom="280" w:left="1680" w:header="0" w:footer="1186" w:gutter="0"/>
          <w:cols w:space="720" w:num="1"/>
        </w:sectPr>
      </w:pPr>
    </w:p>
    <w:p>
      <w:pPr>
        <w:pStyle w:val="2"/>
        <w:snapToGrid w:val="0"/>
        <w:spacing w:before="240" w:beforeLines="0" w:after="0"/>
        <w:rPr>
          <w:rFonts w:ascii="宋体" w:hAnsi="宋体"/>
          <w:szCs w:val="30"/>
        </w:rPr>
      </w:pPr>
      <w:bookmarkStart w:id="4" w:name="_Toc256000028"/>
      <w:bookmarkStart w:id="5" w:name="_Toc256000001"/>
      <w:r>
        <w:rPr>
          <w:rFonts w:ascii="宋体" w:hAnsi="宋体"/>
          <w:sz w:val="30"/>
        </w:rPr>
        <w:t>一、绪言</w:t>
      </w:r>
      <w:bookmarkEnd w:id="4"/>
      <w:bookmarkEnd w:id="5"/>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交银施罗德定期支付双息平衡混合型证券投资基金招募说明书》（以下简称“本招募说明书”）依据《中华人民共和国证券投资基金法》、《公开募集证券投资基金运作管理办法》、《证券投资基金销售管理办法》、《公开募集证券投资基金信息披露管理办法》、《公开募集开放式证券投资基金流动性风险管理规定》(以下简称“《流动性规定》”)和其他相关法律法规的规定以及《交银施罗德定期支付双息平衡混合型证券投资基金基金合同》（以下简称“基金合同”）编写。</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基金管理人承诺本招募说明书不存在任何虚假记载、误导性陈述或者重大遗漏，并对其真实性、准确性、完整性承担法律责任。本基金是根据本招募说明书所载明的资料申请募集的。本基金管理人没有委托或授权任何其他人提供未在本招募说明书中载明的信息,或对本招募说明书作任何解释或者说明。</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本招募说明书根据本基金的基金合同编写，并经中国证监会核准。基金合同是约定基金当事人之间权利、义务的法律文件。基金投资人自依基金合同取得基金份额，即成为基金份额持有人和基金合同的当事人，其持有基金份额的行为本身即表明其对基金合同的承认和接受，并按照《基金法》、基金合同及其他有关规定享有权利、承担义务。基金投资人欲了解基金份额持有人的权利和义务，应详细查阅基金合同。</w:t>
      </w:r>
    </w:p>
    <w:p>
      <w:pPr>
        <w:pStyle w:val="2"/>
        <w:snapToGrid w:val="0"/>
        <w:spacing w:before="240" w:beforeLines="0" w:after="0"/>
        <w:rPr>
          <w:rFonts w:ascii="宋体" w:hAnsi="宋体"/>
          <w:szCs w:val="30"/>
        </w:rPr>
      </w:pPr>
      <w:r>
        <w:br w:type="page"/>
      </w:r>
      <w:bookmarkStart w:id="6" w:name="_Toc256000029"/>
      <w:bookmarkStart w:id="7" w:name="_Toc256000002"/>
      <w:r>
        <w:rPr>
          <w:rFonts w:ascii="宋体" w:hAnsi="宋体"/>
          <w:sz w:val="30"/>
        </w:rPr>
        <w:t>二、释义</w:t>
      </w:r>
      <w:bookmarkEnd w:id="6"/>
      <w:bookmarkEnd w:id="7"/>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在本招募说明书中，除非文意另有所指，下列词语或简称具有如下含义：</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1、基金或本基金：指交银施罗德定期支付双息平衡混合型证券投资基金</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2、基金管理人或本基金管理人：指交银施罗德基金管理有限公司</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3、基金托管人或本基金托管人：指中国农业银行股份有限公司</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4、基金合同：指《交银施罗德定期支付双息平衡混合型证券投资基金基金合同》及对该基金合同的任何有效修订和补充</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5、托管协议：指基金管理人与基金托管人就本基金签订之《交银施罗德定期支付双息平衡混合型证券投资基金托管协议》及对该托管协议的任何有效修订和补充</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6、招募说明书或本招募说明书：指《交银施罗德定期支付双息平衡混合型证券投资基金招募说明书》及其更新</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7、基金份额发售公告：指《交银施罗德定期支付双息平衡混合型证券投资基金基金份额发售公告》</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8、基金产品资料概要：指《交银施罗德定期支付双息平衡混合型证券投资基金基金产品资料概要》及其更新</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9、法律法规：指中国现行有效并公布实施的法律、行政法规、规范性文件、司法解释、行政规章以及其他对基金合同当事人有约束力的决定、决议、通知等</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10、中国：指中华人民共和国（仅为基金合同之目的，不包括香港特别行政区、澳门特别行政区及台湾地区）</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11、《基金法》：指2003年10月28日经第十届全国人民代表大会常务委员会第五次会议通过，自2004年6月1日起实施的《中华人民共和国证券投资基金法》及颁布机关对其不时做出的修订</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12、《销售办法》：指中国证监会2013年3月15日颁布、同年6月1日实施的《证券投资基金销售管理办法》及颁布机关对其不时做出的修订</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13、《信息披露办法》：指中国证监会2019年7月26日颁布、同年9月1日实施的《公开募集证券投资基金信息披露管理办法》及颁布机关对其不时做出的修订</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14、《流动性规定》：指中国证监会2017年8月31日颁布、同年10月1日实施的《公开募集开放式证券投资基金流动性风险管理规定》及颁布机关对其不时做出的修订</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15、《运作办法》：指中国证监会2014年7月7日颁布、同年8月8日实施的《公开募集证券投资基金运作管理办法》及颁布机关对其不时做出的修订</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16、中国证监会：指中国证券监督管理委员会</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17、银行业监督管理机构：指中国人民银行和/或中国银行业监督管理委员会</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18、基金合同当事人：指受基金合同约束，根据基金合同享有权利并承担义务的法律主体，包括基金管理人、基金托管人和基金份额持有人</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19、个人投资者：指依据有关法律法规规定可投资于证券投资基金的自然人</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20、机构投资者：指依法可以投资证券投资基金的、在中国境内合法登记并存续或经有关政府部门批准设立并存续的企业法人、事业法人、社会团体或其他组织</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21、合格境外机构投资者：指符合《合格境外机构投资者境内证券投资管理办法》及相关法律法规规定可以投资于在中国境内依法募集的证券投资基金的中国境外的机构投资者</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22、投资人或投资者：指个人投资者、机构投资者和合格境外机构投资者以及法律法规或中国证监会允许购买证券投资基金的其他投资人的合称</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23、基金份额持有人：指依基金合同和招募说明书合法取得基金份额的投资人</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24、基金销售业务：指基金管理人或销售机构宣传推介基金，发售基金份额，办理基金份额的申购、赎回、转换、转托管及定期定额投资等业务</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25、直销机构：指交银施罗德基金管理有限公司</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26、代销机构：指符合《销售办法》和中国证监会规定的其他条件，取得基金销售业务资格并与基金管理人签订了基金销售服务代理协议，代为办理基金销售业务的机构</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27、销售机构：指直销机构和代销机构</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28、登记业务：指基金登记、存管、过户、清算和结算业务，具体内容包括投资人基金账户的建立和管理、基金份额登记、基金销售业务的确认、清算和结算、代理发放红利、建立并保管基金份额持有人名册和办理非交易过户等</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29、登记机构：指办理登记业务的机构。基金的登记机构为交银施罗德基金管理有限公司或接受交银施罗德基金管理有限公司委托代为办理登记业务的机构</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30、基金账户：指登记机构为投资人开立的、记录其持有的、基金管理人所管理的基金份额余额及其变动情况的账户</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31、基金交易账户：指销售机构为投资人开立的、记录投资人通过该销售机构办理认购、申购、赎回、转换及转托管等业务而引起的基金份额变动及结余情况的账户</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32、基金合同生效日：指基金募集达到法律法规规定及基金合同规定的条件，基金管理人向中国证监会办理基金备案手续完毕，并获得中国证监会书面确认的日期</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33、基金合同终止日：指基金合同规定的基金合同终止事由出现后，基金财产清算完毕，清算结果报中国证监会备案并予以公告的日期</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34、基金募集期：指自基金份额发售之日起至发售结束之日止的期间，最长不得超过3个月</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35、存续期：指基金合同生效至终止之间的不定期期限</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36、工作日：指上海证券交易所、深圳证券交易所的正常交易日</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37、T日：指销售机构在规定时间受理投资人申购、赎回或其他业务申请的开放日</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38、T+n日：指自T日起第n个工作日(不包含T日)</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39、开放日：指为投资人办理基金份额申购、赎回或其他业务的工作日</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40、开放时间：指开放日基金接受申购、赎回或其他交易的时间段</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41、《业务规则》：指《交银施罗德基金管理有限公司开放式基金业务规则》，是规范基金管理人所管理的开放式证券投资基金登记方面的业务规则，由基金管理人和投资人共同遵守</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42、认购：指在基金募集期内，投资人根据基金合同和招募说明书的规定申请购买基金份额的行为</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43、申购：指基金合同生效后，投资人根据基金合同和招募说明书的规定申请购买基金份额的行为</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44、赎回：指基金合同生效后，基金份额持有人按基金合同和招募说明书规定的条件要求将基金份额兑换为现金的行为</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45、基金转换：指基金份额持有人按照本基金合同和基金管理人届时有效公告规定的条件，申请将其持有基金管理人管理的、某一基金的基金份额转换为基金管理人管理的其他基金基金份额的行为</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46、转托管：指基金份额持有人在本基金的不同销售机构之间实施的变更所持基金份额销售机构的操作</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47、定期定额投资计划：指投资人通过有关销售机构提出申请，约定每期申购日、扣款金额及扣款方式，由销售机构在投资人指定银行账户内自动完成扣款并于每期约定的申购日提交基金申购申请的一种投资方式</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48、巨额赎回：指本基金单个开放日，基金净赎回申请（赎回申请份额总数加上基金转换中转出申请份额总数后扣除申购申请份额总数及基金转换中转入申请份额总数后的余额，定期支付时的自动赎回份额不纳入以上赎回份额计算）超过上一开放日基金总份额的10%</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49、元：指人民币元</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50、基金收益：指基金投资所得红利、股息、债券利息、买卖证券价差、银行存款利息、已实现的其他合法收入及因运用基金财产带来的成本和费用的节约</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51、基金资产总值：指基金拥有的各类有价证券、银行存款本息、基金应收申购款及其他资产的价值总和</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52、基金资产净值：指基金资产总值减去基金负债后的价值</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53、基金份额净值：指计算日基金资产净值除以计算日基金份额总数</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54、基金资产估值：指计算评估基金资产和负债的价值，以确定基金资产净值和基金份额净值的过程</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55、定期支付：指本基金按照基金合同的约定，每月定期向基金份额持有人支付一定现金的业务</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56、流动性受限资产：指由于法律法规、监管、合同或操作障碍等原因无法以合理价格予以变现的资产，包括但不限于到期日在10个交易日以上的逆回购与银行定期存款（含协议约定有条件提前支取的银行存款）、停牌股票、流通受限的新股及非公开发行股票、资产支持证券、因发行人债务违约无法进行转让或交易的债券等</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57、指定媒介：指中国证监会指定的用以进行信息披露的全国性报刊及指定互联网网站（包括基金管理人网站、基金托管人网站、中国证监会基金电子披露网站）等媒介</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58、不可抗力：指本基金合同当事人不能预见、不能避免且不能克服的客观事件。</w:t>
      </w:r>
    </w:p>
    <w:p>
      <w:pPr>
        <w:pStyle w:val="2"/>
        <w:snapToGrid w:val="0"/>
        <w:spacing w:before="240" w:beforeLines="0" w:after="0"/>
        <w:rPr>
          <w:rFonts w:ascii="宋体" w:hAnsi="宋体"/>
          <w:szCs w:val="30"/>
        </w:rPr>
      </w:pPr>
      <w:r>
        <w:br w:type="page"/>
      </w:r>
      <w:bookmarkStart w:id="8" w:name="_Toc256000003"/>
      <w:bookmarkStart w:id="9" w:name="_Toc256000030"/>
      <w:r>
        <w:rPr>
          <w:rFonts w:ascii="宋体" w:hAnsi="宋体"/>
          <w:sz w:val="30"/>
        </w:rPr>
        <w:t>三、基金管理人</w:t>
      </w:r>
      <w:bookmarkEnd w:id="8"/>
      <w:bookmarkEnd w:id="9"/>
    </w:p>
    <w:p>
      <w:pPr>
        <w:autoSpaceDE w:val="0"/>
        <w:autoSpaceDN w:val="0"/>
        <w:adjustRightInd w:val="0"/>
        <w:snapToGrid w:val="0"/>
        <w:spacing w:after="0" w:line="360" w:lineRule="auto"/>
        <w:ind w:firstLine="480" w:firstLineChars="200"/>
        <w:jc w:val="left"/>
        <w:rPr>
          <w:rFonts w:ascii="宋体" w:hAnsi="宋体"/>
          <w:szCs w:val="24"/>
        </w:rPr>
      </w:pPr>
      <w:r>
        <w:rPr>
          <w:rFonts w:ascii="宋体" w:hAnsi="宋体"/>
          <w:b/>
          <w:sz w:val="24"/>
        </w:rPr>
        <w:t>（一）基金管理人概况</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名称：交银施罗德基金管理有限公司</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住所：中国(上海)自由贸易试验区银城中路188号交通银行大楼二层（裙）</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办公地址：上海市浦东新区世纪大道8号国金中心二期21-22楼</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邮政编码：200120</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法定代表人：袁庆伟（代任）</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成立时间：2005年8月4日</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注册资本：2亿元人民币</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存续期间：持续经营</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联系人：何佳妮</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电话：（021）61055050</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传真：（021）61055034</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交银施罗德基金管理有限公司（以下简称“公司”）经中国证监会证监基金字[2005]128号文批准设立。公司股权结构如下：</w:t>
      </w:r>
    </w:p>
    <w:tbl>
      <w:tblPr>
        <w:tblStyle w:val="14"/>
        <w:tblW w:w="5000" w:type="pct"/>
        <w:tblInd w:w="0" w:type="dxa"/>
        <w:tblLayout w:type="fixed"/>
        <w:tblCellMar>
          <w:top w:w="0" w:type="dxa"/>
          <w:left w:w="0" w:type="dxa"/>
          <w:bottom w:w="0" w:type="dxa"/>
          <w:right w:w="0" w:type="dxa"/>
        </w:tblCellMar>
      </w:tblPr>
      <w:tblGrid>
        <w:gridCol w:w="4335"/>
        <w:gridCol w:w="4335"/>
      </w:tblGrid>
      <w:tr>
        <w:tblPrEx>
          <w:tblCellMar>
            <w:top w:w="0" w:type="dxa"/>
            <w:left w:w="0" w:type="dxa"/>
            <w:bottom w:w="0" w:type="dxa"/>
            <w:right w:w="0" w:type="dxa"/>
          </w:tblCellMar>
        </w:tblPrEx>
        <w:trPr>
          <w:cantSplit/>
          <w:trHeight w:val="375" w:hRule="atLeast"/>
        </w:trPr>
        <w:tc>
          <w:tcPr>
            <w:tcW w:w="7" w:type="dxa"/>
            <w:tcBorders>
              <w:top w:val="single" w:color="auto" w:sz="4" w:space="0"/>
              <w:left w:val="single" w:color="auto" w:sz="4" w:space="0"/>
              <w:bottom w:val="single" w:color="auto" w:sz="4" w:space="0"/>
              <w:right w:val="single" w:color="auto" w:sz="4" w:space="0"/>
            </w:tcBorders>
            <w:vAlign w:val="center"/>
          </w:tcPr>
          <w:p>
            <w:pPr>
              <w:widowControl/>
              <w:snapToGrid w:val="0"/>
              <w:spacing w:after="0" w:line="240" w:lineRule="auto"/>
              <w:jc w:val="center"/>
              <w:rPr>
                <w:rFonts w:ascii="宋体" w:hAnsi="宋体"/>
                <w:color w:val="000000"/>
                <w:kern w:val="0"/>
                <w:sz w:val="24"/>
                <w:szCs w:val="24"/>
              </w:rPr>
            </w:pPr>
            <w:r>
              <w:rPr>
                <w:rFonts w:ascii="宋体" w:hAnsi="宋体"/>
                <w:color w:val="000000"/>
                <w:kern w:val="0"/>
                <w:sz w:val="24"/>
                <w:szCs w:val="24"/>
              </w:rPr>
              <w:t>股东名称</w:t>
            </w:r>
          </w:p>
        </w:tc>
        <w:tc>
          <w:tcPr>
            <w:tcW w:w="7" w:type="dxa"/>
            <w:tcBorders>
              <w:top w:val="single" w:color="auto" w:sz="4" w:space="0"/>
              <w:left w:val="single" w:color="auto" w:sz="4" w:space="0"/>
              <w:bottom w:val="single" w:color="auto" w:sz="4" w:space="0"/>
              <w:right w:val="single" w:color="auto" w:sz="4" w:space="0"/>
            </w:tcBorders>
            <w:vAlign w:val="center"/>
          </w:tcPr>
          <w:p>
            <w:pPr>
              <w:widowControl/>
              <w:snapToGrid w:val="0"/>
              <w:spacing w:after="0" w:line="240" w:lineRule="auto"/>
              <w:jc w:val="center"/>
              <w:rPr>
                <w:rFonts w:ascii="宋体" w:hAnsi="宋体"/>
                <w:color w:val="000000"/>
                <w:kern w:val="0"/>
                <w:sz w:val="24"/>
                <w:szCs w:val="24"/>
              </w:rPr>
            </w:pPr>
            <w:r>
              <w:rPr>
                <w:rFonts w:ascii="宋体" w:hAnsi="宋体"/>
                <w:color w:val="000000"/>
                <w:kern w:val="0"/>
                <w:sz w:val="24"/>
                <w:szCs w:val="24"/>
              </w:rPr>
              <w:t>股权比例</w:t>
            </w:r>
          </w:p>
        </w:tc>
      </w:tr>
      <w:tr>
        <w:tblPrEx>
          <w:tblCellMar>
            <w:top w:w="0" w:type="dxa"/>
            <w:left w:w="0" w:type="dxa"/>
            <w:bottom w:w="0" w:type="dxa"/>
            <w:right w:w="0" w:type="dxa"/>
          </w:tblCellMar>
        </w:tblPrEx>
        <w:trPr>
          <w:cantSplit/>
          <w:trHeight w:val="375" w:hRule="atLeast"/>
        </w:trPr>
        <w:tc>
          <w:tcPr>
            <w:tcW w:w="7" w:type="dxa"/>
            <w:tcBorders>
              <w:top w:val="single" w:color="auto" w:sz="4" w:space="0"/>
              <w:left w:val="single" w:color="auto" w:sz="4" w:space="0"/>
              <w:bottom w:val="single" w:color="auto" w:sz="4" w:space="0"/>
              <w:right w:val="single" w:color="auto" w:sz="4" w:space="0"/>
            </w:tcBorders>
            <w:vAlign w:val="center"/>
          </w:tcPr>
          <w:p>
            <w:pPr>
              <w:widowControl/>
              <w:snapToGrid w:val="0"/>
              <w:spacing w:after="0" w:line="240" w:lineRule="auto"/>
              <w:jc w:val="left"/>
              <w:rPr>
                <w:rFonts w:ascii="宋体" w:hAnsi="宋体"/>
                <w:color w:val="000000"/>
                <w:kern w:val="0"/>
                <w:sz w:val="24"/>
                <w:szCs w:val="24"/>
              </w:rPr>
            </w:pPr>
            <w:r>
              <w:rPr>
                <w:rFonts w:ascii="宋体" w:hAnsi="宋体"/>
                <w:color w:val="000000"/>
                <w:kern w:val="0"/>
                <w:sz w:val="24"/>
                <w:szCs w:val="24"/>
              </w:rPr>
              <w:t>交通银行股份有限公司（以下使用全称或其简称“交通银行”）</w:t>
            </w:r>
          </w:p>
        </w:tc>
        <w:tc>
          <w:tcPr>
            <w:tcW w:w="7" w:type="dxa"/>
            <w:tcBorders>
              <w:top w:val="single" w:color="auto" w:sz="4" w:space="0"/>
              <w:left w:val="single" w:color="auto" w:sz="4" w:space="0"/>
              <w:bottom w:val="single" w:color="auto" w:sz="4" w:space="0"/>
              <w:right w:val="single" w:color="auto" w:sz="4" w:space="0"/>
            </w:tcBorders>
            <w:vAlign w:val="center"/>
          </w:tcPr>
          <w:p>
            <w:pPr>
              <w:widowControl/>
              <w:snapToGrid w:val="0"/>
              <w:spacing w:after="0" w:line="240" w:lineRule="auto"/>
              <w:jc w:val="center"/>
              <w:rPr>
                <w:rFonts w:ascii="宋体" w:hAnsi="宋体"/>
                <w:color w:val="000000"/>
                <w:kern w:val="0"/>
                <w:sz w:val="24"/>
                <w:szCs w:val="24"/>
              </w:rPr>
            </w:pPr>
            <w:r>
              <w:rPr>
                <w:rFonts w:ascii="宋体" w:hAnsi="宋体"/>
                <w:color w:val="000000"/>
                <w:kern w:val="0"/>
                <w:sz w:val="24"/>
                <w:szCs w:val="24"/>
              </w:rPr>
              <w:t>65%</w:t>
            </w:r>
          </w:p>
        </w:tc>
      </w:tr>
      <w:tr>
        <w:tblPrEx>
          <w:tblCellMar>
            <w:top w:w="0" w:type="dxa"/>
            <w:left w:w="0" w:type="dxa"/>
            <w:bottom w:w="0" w:type="dxa"/>
            <w:right w:w="0" w:type="dxa"/>
          </w:tblCellMar>
        </w:tblPrEx>
        <w:trPr>
          <w:cantSplit/>
          <w:trHeight w:val="375" w:hRule="atLeast"/>
        </w:trPr>
        <w:tc>
          <w:tcPr>
            <w:tcW w:w="7" w:type="dxa"/>
            <w:tcBorders>
              <w:top w:val="single" w:color="auto" w:sz="4" w:space="0"/>
              <w:left w:val="single" w:color="auto" w:sz="4" w:space="0"/>
              <w:bottom w:val="single" w:color="auto" w:sz="4" w:space="0"/>
              <w:right w:val="single" w:color="auto" w:sz="4" w:space="0"/>
            </w:tcBorders>
            <w:vAlign w:val="center"/>
          </w:tcPr>
          <w:p>
            <w:pPr>
              <w:widowControl/>
              <w:snapToGrid w:val="0"/>
              <w:spacing w:after="0" w:line="240" w:lineRule="auto"/>
              <w:jc w:val="left"/>
              <w:rPr>
                <w:rFonts w:ascii="宋体" w:hAnsi="宋体"/>
                <w:color w:val="000000"/>
                <w:kern w:val="0"/>
                <w:sz w:val="24"/>
                <w:szCs w:val="24"/>
              </w:rPr>
            </w:pPr>
            <w:r>
              <w:rPr>
                <w:rFonts w:ascii="宋体" w:hAnsi="宋体"/>
                <w:color w:val="000000"/>
                <w:kern w:val="0"/>
                <w:sz w:val="24"/>
                <w:szCs w:val="24"/>
              </w:rPr>
              <w:t>施罗德投资管理有限公司</w:t>
            </w:r>
          </w:p>
        </w:tc>
        <w:tc>
          <w:tcPr>
            <w:tcW w:w="7" w:type="dxa"/>
            <w:tcBorders>
              <w:top w:val="single" w:color="auto" w:sz="4" w:space="0"/>
              <w:left w:val="single" w:color="auto" w:sz="4" w:space="0"/>
              <w:bottom w:val="single" w:color="auto" w:sz="4" w:space="0"/>
              <w:right w:val="single" w:color="auto" w:sz="4" w:space="0"/>
            </w:tcBorders>
            <w:vAlign w:val="center"/>
          </w:tcPr>
          <w:p>
            <w:pPr>
              <w:widowControl/>
              <w:snapToGrid w:val="0"/>
              <w:spacing w:after="0" w:line="240" w:lineRule="auto"/>
              <w:jc w:val="center"/>
              <w:rPr>
                <w:rFonts w:ascii="宋体" w:hAnsi="宋体"/>
                <w:color w:val="000000"/>
                <w:kern w:val="0"/>
                <w:sz w:val="24"/>
                <w:szCs w:val="24"/>
              </w:rPr>
            </w:pPr>
            <w:r>
              <w:rPr>
                <w:rFonts w:ascii="宋体" w:hAnsi="宋体"/>
                <w:color w:val="000000"/>
                <w:kern w:val="0"/>
                <w:sz w:val="24"/>
                <w:szCs w:val="24"/>
              </w:rPr>
              <w:t>30%</w:t>
            </w:r>
          </w:p>
        </w:tc>
      </w:tr>
      <w:tr>
        <w:tblPrEx>
          <w:tblCellMar>
            <w:top w:w="0" w:type="dxa"/>
            <w:left w:w="0" w:type="dxa"/>
            <w:bottom w:w="0" w:type="dxa"/>
            <w:right w:w="0" w:type="dxa"/>
          </w:tblCellMar>
        </w:tblPrEx>
        <w:trPr>
          <w:cantSplit/>
          <w:trHeight w:val="375" w:hRule="atLeast"/>
        </w:trPr>
        <w:tc>
          <w:tcPr>
            <w:tcW w:w="7" w:type="dxa"/>
            <w:tcBorders>
              <w:top w:val="single" w:color="auto" w:sz="4" w:space="0"/>
              <w:left w:val="single" w:color="auto" w:sz="4" w:space="0"/>
              <w:bottom w:val="single" w:color="auto" w:sz="4" w:space="0"/>
              <w:right w:val="single" w:color="auto" w:sz="4" w:space="0"/>
            </w:tcBorders>
            <w:vAlign w:val="center"/>
          </w:tcPr>
          <w:p>
            <w:pPr>
              <w:widowControl/>
              <w:snapToGrid w:val="0"/>
              <w:spacing w:after="0" w:line="240" w:lineRule="auto"/>
              <w:jc w:val="left"/>
              <w:rPr>
                <w:rFonts w:ascii="宋体" w:hAnsi="宋体"/>
                <w:color w:val="000000"/>
                <w:kern w:val="0"/>
                <w:sz w:val="24"/>
                <w:szCs w:val="24"/>
              </w:rPr>
            </w:pPr>
            <w:r>
              <w:rPr>
                <w:rFonts w:ascii="宋体" w:hAnsi="宋体"/>
                <w:color w:val="000000"/>
                <w:kern w:val="0"/>
                <w:sz w:val="24"/>
                <w:szCs w:val="24"/>
              </w:rPr>
              <w:t>中国国际海运集装箱（集团）股份有限公司</w:t>
            </w:r>
          </w:p>
        </w:tc>
        <w:tc>
          <w:tcPr>
            <w:tcW w:w="7" w:type="dxa"/>
            <w:tcBorders>
              <w:top w:val="single" w:color="auto" w:sz="4" w:space="0"/>
              <w:left w:val="single" w:color="auto" w:sz="4" w:space="0"/>
              <w:bottom w:val="single" w:color="auto" w:sz="4" w:space="0"/>
              <w:right w:val="single" w:color="auto" w:sz="4" w:space="0"/>
            </w:tcBorders>
            <w:vAlign w:val="center"/>
          </w:tcPr>
          <w:p>
            <w:pPr>
              <w:widowControl/>
              <w:snapToGrid w:val="0"/>
              <w:spacing w:after="0" w:line="240" w:lineRule="auto"/>
              <w:jc w:val="center"/>
              <w:rPr>
                <w:rFonts w:ascii="宋体" w:hAnsi="宋体"/>
                <w:color w:val="000000"/>
                <w:kern w:val="0"/>
                <w:sz w:val="24"/>
                <w:szCs w:val="24"/>
              </w:rPr>
            </w:pPr>
            <w:r>
              <w:rPr>
                <w:rFonts w:ascii="宋体" w:hAnsi="宋体"/>
                <w:color w:val="000000"/>
                <w:kern w:val="0"/>
                <w:sz w:val="24"/>
                <w:szCs w:val="24"/>
              </w:rPr>
              <w:t>5%</w:t>
            </w:r>
          </w:p>
        </w:tc>
      </w:tr>
    </w:tbl>
    <w:p>
      <w:pPr>
        <w:autoSpaceDE w:val="0"/>
        <w:autoSpaceDN w:val="0"/>
        <w:adjustRightInd w:val="0"/>
        <w:snapToGrid w:val="0"/>
        <w:spacing w:after="0" w:line="360" w:lineRule="auto"/>
        <w:ind w:firstLine="480" w:firstLineChars="200"/>
        <w:jc w:val="left"/>
        <w:rPr>
          <w:rFonts w:ascii="宋体" w:hAnsi="宋体"/>
          <w:szCs w:val="24"/>
        </w:rPr>
      </w:pPr>
      <w:r>
        <w:rPr>
          <w:rFonts w:ascii="宋体" w:hAnsi="宋体"/>
          <w:b/>
          <w:sz w:val="24"/>
        </w:rPr>
        <w:t>（二）主要成员情况</w:t>
      </w:r>
    </w:p>
    <w:p>
      <w:pPr>
        <w:autoSpaceDE w:val="0"/>
        <w:autoSpaceDN w:val="0"/>
        <w:adjustRightInd w:val="0"/>
        <w:snapToGrid w:val="0"/>
        <w:spacing w:after="0" w:line="360" w:lineRule="auto"/>
        <w:ind w:firstLine="480" w:firstLineChars="200"/>
        <w:jc w:val="left"/>
        <w:rPr>
          <w:rFonts w:ascii="宋体" w:hAnsi="宋体"/>
          <w:szCs w:val="24"/>
        </w:rPr>
      </w:pPr>
      <w:r>
        <w:rPr>
          <w:rFonts w:ascii="宋体" w:hAnsi="宋体"/>
          <w:sz w:val="24"/>
        </w:rPr>
        <w:t>1、基金管理人董事会成员</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 xml:space="preserve">袁庆伟女士，董事，总经理，代任董事长，硕士。历任交通银行乌鲁木齐分行财务会计处副处长、会计结算部高级经理，交通银行总行资产托管业务中心（资产托管部）副总裁、总裁，交通银行总行金融机构部总经理、资产管理业务中心总裁等职务。  </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夏华龙先生，董事，博士，现任交通银行选派子公司股权董事，历任交通银行总行托管部基金业务部内控综合处副处长、资产委托高级经理、保险及养老金高级经理、资产托管部副总经理，交银施罗德基金管理有限公司党委委员、副总经理、首席信息官，交通银行总行养老金融部总经理。</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Karine Szenberg女士，董事，硕士。现任施罗德投资集团执行副主席、集团执行委员会成员和施罗德投资管理（瑞士）股份有限公司董事会主席。历任施罗德投资法国主管、欧洲主管、全球产品和营销主管等。</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章骏翔先生，副董事长，硕士，美国特许金融分析师(CFA)持证人。现任施罗德投资管理（香港）有限公司亚洲投资风险主管。历任渣打银行（香港）交易风险监控，华宝兴业基金风险管理部总经理，法国安盛投资管理（香港）有限公司亚洲风险经理等。</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单锋先生，独立董事，博士。现任南京大学法学教授职务。历任南京大学法学院助教、讲师、副教授。</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刘凤元先生，独立董事，博士。现任华东政法大学国际金融法律学院教授，资本市场研究中心主任，兼任多家香港和大陆上市公司（非证券基金经营机构）独立董事。</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宋若坤女士，独立董事，学士。英格兰及威尔士特许会计师协会和香港会计师公会特许会计师。历任毕马威会计师事务所香港分所审计部副经理，摩根资产管理（香港）亚太区资产管理合规主管等。</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许颖女士，职工董事，学士。现任交银施罗德基金管理有限公司基金运营部总经理、工会副主席职务。历任交银施罗德基金管理有限公司财务部总经理、财务总监，交银施罗德资产管理有限公司执行监事。</w:t>
      </w:r>
    </w:p>
    <w:p>
      <w:pPr>
        <w:autoSpaceDE w:val="0"/>
        <w:autoSpaceDN w:val="0"/>
        <w:adjustRightInd w:val="0"/>
        <w:snapToGrid w:val="0"/>
        <w:spacing w:after="0" w:line="360" w:lineRule="auto"/>
        <w:ind w:firstLine="480" w:firstLineChars="200"/>
        <w:jc w:val="left"/>
        <w:rPr>
          <w:rFonts w:ascii="宋体" w:hAnsi="宋体"/>
          <w:szCs w:val="24"/>
        </w:rPr>
      </w:pPr>
      <w:r>
        <w:rPr>
          <w:rFonts w:ascii="宋体" w:hAnsi="宋体"/>
          <w:sz w:val="24"/>
        </w:rPr>
        <w:t>2、基金管理人高级管理人员</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袁庆伟女士，总经理。简历同上。</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佘川女士，督察长，硕士，兼任交银施罗德资产管理有限公司董事。历任华泰证券有限责任公司综合发展部高级经理、投资银行部项目经理，银河基金管理有限公司监察部总监，交银施罗德基金管理有限公司监察稽核部总经理、监察风控副总监、投资运营总监。</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马俊先生，副总经理，硕士。历任交通银行总行投资管理部高级投资分析、副高级经理，交银施罗德基金管理有限公司总裁办公室总经理、研究部副总经理、研究总监、综合管理部总经理。</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周云康先生，首席信息官，硕士。历任交通银行柳州分行电脑中心科员、软件开发科长、副经理、经理；交通银行总行信息技术部（电脑部）主管、副处长；交通银行总行软件开发中心副高级经理、高级经理；交通银行总行金融科技部高级经理；交通银行总行营运与渠道部副总经理。</w:t>
      </w:r>
    </w:p>
    <w:p>
      <w:pPr>
        <w:autoSpaceDE w:val="0"/>
        <w:autoSpaceDN w:val="0"/>
        <w:adjustRightInd w:val="0"/>
        <w:snapToGrid w:val="0"/>
        <w:spacing w:after="0" w:line="360" w:lineRule="auto"/>
        <w:ind w:firstLine="480" w:firstLineChars="200"/>
        <w:jc w:val="left"/>
        <w:rPr>
          <w:rFonts w:ascii="宋体" w:hAnsi="宋体"/>
          <w:szCs w:val="24"/>
        </w:rPr>
      </w:pPr>
      <w:r>
        <w:rPr>
          <w:rFonts w:ascii="宋体" w:hAnsi="宋体"/>
          <w:sz w:val="24"/>
        </w:rPr>
        <w:t>3、本基金基金经理</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徐嘉辰先生:澳门大学医药管理硕士、中国药科大学药学学士。11年证券投资行业从业经验。曾任安信证券研究中心医药行业分析师，泰康资产管理有限责任公司医药行业研究员。2018年加入交银施罗德基金管理有限公司，曾任行业分析师，现任基金经理。现任交银施罗德定期支付双息平衡混合型证券投资基金（2026年08月27日至今）、交银施罗德均衡成长一年持有期混合型证券投资基金（2025年09月11日至今）、交银施罗德医疗健康混合型发起式证券投资基金（2023年10月11日至今）的基金经理。</w:t>
      </w:r>
      <w:bookmarkStart w:id="56" w:name="_GoBack"/>
      <w:bookmarkEnd w:id="56"/>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本基金历任基金经理：</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杨浩先生（2015年08月15日至2022年09月07日）</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项廷锋先生（2013年09月04日至2014年12月18日）</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黄鼎先生（2021年09月29日至2026年08月29日）</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张迎军先生（2013年09月04日至2015年07月10日）</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李德亮先生（2013年09月04日至2015年08月28日）</w:t>
      </w:r>
    </w:p>
    <w:p>
      <w:pPr>
        <w:autoSpaceDE w:val="0"/>
        <w:autoSpaceDN w:val="0"/>
        <w:adjustRightInd w:val="0"/>
        <w:snapToGrid w:val="0"/>
        <w:spacing w:after="0" w:line="360" w:lineRule="auto"/>
        <w:ind w:firstLine="480" w:firstLineChars="200"/>
        <w:jc w:val="left"/>
        <w:rPr>
          <w:rFonts w:ascii="宋体" w:hAnsi="宋体"/>
          <w:szCs w:val="24"/>
        </w:rPr>
      </w:pPr>
      <w:r>
        <w:rPr>
          <w:rFonts w:ascii="宋体" w:hAnsi="宋体"/>
          <w:sz w:val="24"/>
        </w:rPr>
        <w:t>4、投资决策委员会成员</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委员：马俊（副总经理）</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迟鑫（权益部总经理兼任跨境投资部总经理）</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王崇（权益投资副总监、权益部一级专家、基金经理）</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于海颖（混合资产投资总监、基金经理）</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黄莹洁（固定收益（公募）投资助理总监、基金经理）</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樊继拓（多资产研究部副总经理）</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上述人员之间不存在近亲属关系。</w:t>
      </w:r>
    </w:p>
    <w:p>
      <w:pPr>
        <w:autoSpaceDE w:val="0"/>
        <w:autoSpaceDN w:val="0"/>
        <w:adjustRightInd w:val="0"/>
        <w:snapToGrid w:val="0"/>
        <w:spacing w:after="0" w:line="360" w:lineRule="auto"/>
        <w:ind w:firstLine="480" w:firstLineChars="200"/>
        <w:jc w:val="left"/>
        <w:rPr>
          <w:rFonts w:ascii="宋体" w:hAnsi="宋体"/>
          <w:szCs w:val="24"/>
        </w:rPr>
      </w:pPr>
      <w:r>
        <w:rPr>
          <w:rFonts w:ascii="宋体" w:hAnsi="宋体"/>
          <w:b/>
          <w:sz w:val="24"/>
        </w:rPr>
        <w:t>（三）基金管理人的职责</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1、依法募集基金，办理或者委托经中国证监会认定的其他机构代为办理基金份额的发售、申购、赎回和登记事宜；</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2、办理基金备案手续；</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3、对所管理的不同基金财产分别管理、分别记账，进行证券投资；</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4、按照基金合同的约定确定基金收益分配方案，及时向基金份额持有人分配收益；</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5、进行基金会计核算并编制基金财务会计报告；</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6、编制季度报告、中期报告和年度报告；</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7、计算并公告基金净值信息，确定基金份额申购、赎回价格；</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8、办理与基金财产管理业务活动有关的信息披露事项；</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9、召集基金份额持有人大会；</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10、保存基金财产管理业务活动的记录、账册、报表和其他相关资料；</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11、以基金管理人名义，代表基金份额持有人利益行使诉讼权利或者实施其他法律行为；</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12、有关法律法规和中国证监会规定的其他职责。</w:t>
      </w:r>
    </w:p>
    <w:p>
      <w:pPr>
        <w:autoSpaceDE w:val="0"/>
        <w:autoSpaceDN w:val="0"/>
        <w:adjustRightInd w:val="0"/>
        <w:snapToGrid w:val="0"/>
        <w:spacing w:after="0" w:line="360" w:lineRule="auto"/>
        <w:ind w:firstLine="480" w:firstLineChars="200"/>
        <w:jc w:val="left"/>
        <w:rPr>
          <w:rFonts w:ascii="宋体" w:hAnsi="宋体"/>
          <w:szCs w:val="24"/>
        </w:rPr>
      </w:pPr>
      <w:r>
        <w:rPr>
          <w:rFonts w:ascii="宋体" w:hAnsi="宋体"/>
          <w:b/>
          <w:sz w:val="24"/>
        </w:rPr>
        <w:t>（四）基金管理人的承诺</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1、基金管理人承诺不从事违反《证券法》的行为，并承诺建立健全内部控制制度，采取有效措施，防止违反《证券法》行为的发生；</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2、基金管理人承诺不从事违反《基金法》的行为，并承诺建立健全内部风险控制制度，采取有效措施，防止下列行为的发生：</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（1）将基金管理人固有财产或者他人财产混同于基金财产从事证券投资；</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（2）不公平地对待管理的不同基金财产；</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（3）利用基金财产为基金份额持有人以外的第三人牟取利益；</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（4）向基金份额持有人违规承诺收益或者承担损失；</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（5）依照法律法规有关规定，由中国证监会规定禁止的其他行为。</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3、基金管理人承诺严格遵守基金合同，并承诺建立健全内部控制制度，采取有效措施，防止违反基金合同行为的发生；</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4、基金管理人承诺加强人员管理，强化职业操守，督促和约束员工遵守国家有关法律法规及行业规范，诚实信用、勤勉尽责。</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5、基金管理人承诺不从事其他法规规定禁止从事的行为。</w:t>
      </w:r>
    </w:p>
    <w:p>
      <w:pPr>
        <w:autoSpaceDE w:val="0"/>
        <w:autoSpaceDN w:val="0"/>
        <w:adjustRightInd w:val="0"/>
        <w:snapToGrid w:val="0"/>
        <w:spacing w:after="0" w:line="360" w:lineRule="auto"/>
        <w:ind w:firstLine="480" w:firstLineChars="200"/>
        <w:jc w:val="left"/>
        <w:rPr>
          <w:rFonts w:ascii="宋体" w:hAnsi="宋体"/>
          <w:szCs w:val="24"/>
        </w:rPr>
      </w:pPr>
      <w:r>
        <w:rPr>
          <w:rFonts w:ascii="宋体" w:hAnsi="宋体"/>
          <w:b/>
          <w:sz w:val="24"/>
        </w:rPr>
        <w:t>（五）基金经理承诺</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1、依照有关法律法规和基金合同的规定，本着谨慎的原则为基金份额持有人谋取最大利益；</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2、不利用职务之便为自己、受雇人或任何第三者谋取利益；</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3、不泄露在任职期间知悉的有关证券、基金的商业秘密，尚未依法公开的基金投资内容、基金投资计划等信息；</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4、不以任何形式为其他组织或个人进行证券交易。</w:t>
      </w:r>
    </w:p>
    <w:p>
      <w:pPr>
        <w:autoSpaceDE w:val="0"/>
        <w:autoSpaceDN w:val="0"/>
        <w:adjustRightInd w:val="0"/>
        <w:snapToGrid w:val="0"/>
        <w:spacing w:after="0" w:line="360" w:lineRule="auto"/>
        <w:ind w:firstLine="480" w:firstLineChars="200"/>
        <w:jc w:val="left"/>
        <w:rPr>
          <w:rFonts w:ascii="宋体" w:hAnsi="宋体"/>
          <w:szCs w:val="24"/>
        </w:rPr>
      </w:pPr>
      <w:r>
        <w:rPr>
          <w:rFonts w:ascii="宋体" w:hAnsi="宋体"/>
          <w:b/>
          <w:sz w:val="24"/>
        </w:rPr>
        <w:t>（六）基金管理人的内部控制制度</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1、内部控制的原则</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（1）健全性原则</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内部控制应当包括公司的各项业务、各个部门或机构和各级人员, 并涵盖到决策、执行、监督、反馈等各个环节。</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（2）有效性原则</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通过科学的内控手段和方法，建立合理的内控程序，维护内控制度的有效执行。</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（3）独立性原则</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公司各机构、部门和岗位职责应当保持相对独立，除非法律法规另有规定，公司基金资产、自有资产、其他资产的运作应当分离。</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（4）相互制约原则</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公司内部部门和岗位的设置应当体现权责分明、相互制衡。</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（5）成本效益原则</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公司运用科学化的经营管理方法降低运作成本，提高经济效益，力争以合理的控制成本达到最佳的内部控制效果。</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2、风险管理和内部风险控制体系结构</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公司的风险管理体系结构是一个分工明确、相互牵制的组织结构，由董事会对风险管理负最终责任，各个业务部门负责本部门的风险评估和监控，风险管理部负责监察公司的风险管理措施的执行。具体而言，包括如下组成部分：</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（1）董事会</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负责制定公司风险偏好（含风险容忍度）、风险管理和内部控制政策，审议并通过与公司内部风险管理和合规有关的重大事项。</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（2）合规风险及审计委员会</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作为董事会下的专业委员会之一，负责对公司在经营管理和基金业务运作的合法性、合规性和风险状况进行检查和评估，对公司监察稽核制度的有效性进行评价，监督检查公司财务状况，审计公司的财务报表，评估公司的财务表现，保证公司的财务运作符合法律的要求和通行的会计标准。</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（3）风险控制委员会</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作为总经理下设的专业委员会之一，风险控制委员会负责评估与公司战略发展和经营运作相关的主要风险；评估公司各方面运行状况是否合规有序，审查有无存在与公司业务有关的重大风险；审议或听取由公司制度规定的需要向风险控制委员会报告的其他情形等。</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（4）督察长</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独立行使督察权利；直接对董事会负责；就内部控制制度和执行情况独立地履行检查、评价、报告、建议职能；定期和不定期地向董事会报告公司内部控制执行情况。</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（5）风险管理部</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风险管理部负责制定公司风险管理政策和防范及控制措施，汇总公司业务所有的风险信息，独立识别、评估各类风险，提出风险控制建议，使公司在一种风险管理和控制的环境中实现业务目标。</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（6）审计部</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审计部负责按照公司要求，根据国家法律法规及行业规范，结合公司战略发展及管理目标，对公司内部控制体系的适当性及运行的效果和效率进行独立评价，协助促进公司风险管理、控制和治理过程的完善，实现合规经营目标。</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（7）内控合规及法律事务部</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内控合规及法律事务部负责公司的法律、内控合规事务及协调实施信息披露事务，依法维护公司合法权益，评估并处理公司运营中发生的法律、内控合规及信息披露相关问题，及时向公司管理层及全体员工传达法规及监管要求。</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（8）业务部门</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风险管理是每一个业务部门首要的责任。部门负责人对本部门的风险负全部责任，负责履行公司的风险管理程序，负责本部门的风险管理系统的开发、执行和维护，用于识别、监控和降低风险。</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3、风险管理和内部风险控制的措施</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（1）建立内控体系，完善内控制度</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公司建立、健全了内控体系，通过高管人员关于内控的明确分工，确保各项业务活动有恰当的组织和授权，确保监察活动独立，并得到高管人员的支持，同时置备操作手册，并定期更新。</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（2）建立相互分离、相互制衡的内控机制</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建立、健全了各项制度，做到基金经理分开，投资决策分开，基金交易集中，形成不同部门、不同岗位之间的制衡机制，从制度上减少和防范风险。</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（3）建立、健全岗位责任制</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建立、健全了岗位责任制，使每个员工都明确自己的任务、职责，并及时将各自工作领域中的风险隐患上报，以防范和减少风险。</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（4）建立风险分类、识别、评估、报告、提示程序</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建立了风险评估机制，通过适合的程序，确认和评估与公司运作有关的风险；公司建立了自下而上的风险报告程序，对风险隐患进行层层汇报，使各个层次的人员及时掌握风险状况，从而以最快速度作出决策。</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（5）建立有效的内部监控系统</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建立了足够、有效的内部监控系统，对可能出现的各种风险进行全面和实时的监控。</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（6）使用数量化的风险管理手段</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采取数量化、技术化的风险控制手段，建立数量化的风险管理模型，用以提示风险，以便公司及时采取有效的措施，对风险进行分散、控制和规避，尽可能地减少损失。</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（7）提供足够的培训</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制定了完整的培训计划，为所有员工提供足够和适当的培训，使员工明确其职责所在，控制风险。</w:t>
      </w:r>
    </w:p>
    <w:p>
      <w:pPr>
        <w:pStyle w:val="2"/>
        <w:snapToGrid w:val="0"/>
        <w:spacing w:before="240" w:beforeLines="0" w:after="0"/>
        <w:rPr>
          <w:rFonts w:ascii="宋体" w:hAnsi="宋体"/>
          <w:szCs w:val="30"/>
        </w:rPr>
      </w:pPr>
      <w:r>
        <w:br w:type="page"/>
      </w:r>
      <w:bookmarkStart w:id="10" w:name="_Toc256000004"/>
      <w:bookmarkStart w:id="11" w:name="_Toc256000031"/>
      <w:r>
        <w:rPr>
          <w:rFonts w:ascii="宋体" w:hAnsi="宋体"/>
          <w:sz w:val="30"/>
        </w:rPr>
        <w:t>四、基金托管人</w:t>
      </w:r>
      <w:bookmarkEnd w:id="10"/>
      <w:bookmarkEnd w:id="11"/>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b/>
          <w:kern w:val="0"/>
          <w:sz w:val="24"/>
        </w:rPr>
        <w:t>（一）基金托管人情况</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1、基本情况</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名称：中国农业银行股份有限公司（简称中国农业银行）</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住所：北京市东城区建国门内大街69号</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办公地址：北京市西城区复兴门内大街28号凯晨世贸中心东座</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法定代表人：谷澍</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成立日期：2009年1月15日</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批准设立机关和批准设立文号：中国银监会银监复[2009]13号</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基金托管资格批文及文号：中国证监会证监基字[1998]23号</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注册资本：34,998,303.4万元人民币</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存续期间：持续经营</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联系电话：010-66060069</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传真：010-68121816</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联系人：任航</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中国农业银行股份有限公司是中国金融体系的重要组成部分,总行设在北京。经国务院批准，中国农业银行整体改制为中国农业银行股份有限公司并于2009年1月15日依法成立。中国农业银行股份有限公司承继原中国农业银行全部资产、负债、业务、机构网点和员工。中国农业银行网点遍布中国城乡，成为国内网点最多、业务辐射范围最广，服务领域最广，服务对象最多，业务功能齐全的大型国有商业银行之一。在海外，中国农业银行同样通过自己的努力赢得了良好的信誉，每年位居《财富》世界500强企业之列。作为一家城乡并举、联通国际、功能齐备的大型国有商业银行，中国农业银行一贯秉承以客户为中心的经营理念，坚持审慎稳健经营、可持续发展，立足县域和城市两大市场，实施差异化竞争策略，着力打造“伴你成长”服务品牌，依托覆盖全国的分支机构、庞大的电子化网络和多元化的金融产品，致力为广大客户提供优质的金融服务，与广大客户共创价值、共同成长。</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中国农业银行是中国第一批开展托管业务的国内商业银行，经验丰富，服务优质，业绩突出，2004年被英国《全球托管人》评为中国“最佳托管银行”。2007年中国农业银行通过了美国SAS70内部控制审计，并获得无保留意见的SAS70审计报告。自2010年起中国农业银行连续通过托管业务国际内控标准（ISAE3402）认证，表明了独立公正第三方对中国农业银行托管服务运作流程的风险管理、内部控制的健全有效性的全面认可。中国农业银行着力加强能力建设，品牌声誉进一步提升，在2010年首届“‘金牌理财’TOP10颁奖盛典”中成绩突出，获“最佳托管银行”奖。2010年再次荣获《首席财务官》杂志颁发的“最佳资产托管奖”。2012年荣获第十届中国财经风云榜“最佳资产托管银行”称号；2013年至2017年连续荣获上海清算所授予的“托管银行优秀奖”和中央国债登记结算有限责任公司授予的“优秀托管机构奖”称号；2015年、2016年荣获中国银行业协会授予的“养老金业务最佳发展奖”称号；2018年荣获中国基金报授予的公募基金20年“最佳基金托管银行”奖；2019年荣获证券时报授予的“2019年度资产托管银行天玑奖”称号；2020年被美国《环球金融》评为中国“最佳托管银行”；2021年荣获全国银行间同业拆借中心首次设立的“银行间本币市场优秀托管行”奖；2022年在权威杂志《财资》年度评选中首次荣获“中国最佳保险托管银行”；2023年第五次荣获《环球金融》杂志中国地区“最佳次托管银行”大奖；2024年荣获《中国基金报》英华奖“优秀ETF托管人”。</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中国农业银行证券投资基金托管部于1998年5月经中国证监会和中国人民银行批准成立，2004年更名为中国农业银行托管业务部。目前内设风险合规部/综合管理部、业务管理部、客户一部、客户二部、客户三部、客户四部、系统与信息管理部、营运管理部、营运一部、营运二部，拥有先进的安全防范设施和基金托管业务系统。</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2、主要人员情况</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中国农业银行托管业务部现有员工302名，其中具有高级职称的专家60名，服务团队成员专业水平高、业务素质好、服务能力强，高级管理层均有20年以上金融从业经验和高级技术职称，精通国内外证券市场的运作。</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3、基金托管业务经营情况</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截止到2026年6月30日，中国农业银行托管的封闭式证券投资基金和开放式证券投资基金共1052只。</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b/>
          <w:kern w:val="0"/>
          <w:sz w:val="24"/>
        </w:rPr>
        <w:t>（二）基金托管人的内部风险控制制度说明</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1、内部控制目标</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严格遵守国家有关托管业务的法律法规、行业监管规章和行内有关管理规定，守法经营、规范运作、严格监察，确保业务的稳健运行，保证基金财产的安全完整，确保有关信息的真实、准确、完整、及时，保护基金份额持有人的合法权益。</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2、内部控制组织结构</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风险管理委员会总体负责中国农业银行的风险管理与内部控制工作，对托管业务风险管理和内部控制工作进行监督和评价。托管业务部专门设置了风险管理处，配备了专职内控监督人员负责托管业务的内控监督工作，独立行使监督稽核职权。</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3、内部控制制度及措施</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具备系统、完善的制度控制体系，建立了管理制度、控制制度、岗位职责、业务操作流程，可以保证托管业务的规范操作和顺利进行；业务人员具备从业资格；业务管理实行严格的复核、审核、检查制度，授权工作实行集中控制，业务印章按规程保管、存放、使用，账户资料严格保管，制约机制严格有效；业务操作区专门设置，封闭管理，实施音像监控；业务信息由专职信息披露人负责，防止泄密；业务实现自动化操作，防止人为事故的发生，技术系统完整、独立。</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b/>
          <w:kern w:val="0"/>
          <w:sz w:val="24"/>
        </w:rPr>
        <w:t>（三）基金托管人对基金管理人运作基金进行监督的方法和程序</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基金托管人通过参数设置将《基金法》、《运作办法》、基金合同、托管协议规定的投资比例和禁止投资品种输入监控系统，每日登录监控系统监督基金管理人的投资运作，并通过基金资金账户、基金管理人的投资指令等监督基金管理人的其他行为。</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当基金出现异常交易行为时，基金托管人应当针对不同情况进行以下方式的处理：</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1、电话提示。对媒体和舆论反映集中的问题，电话提示基金管理人；</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2、书面警示。对本基金投资比例接近超标、资金头寸不足等问题，以书面方式对基金管理人进行提示；</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3、书面报告。对投资比例超标、清算资金透支以及其他涉嫌违规交易等行为，书面提示有关基金管理人并报中国证监会。</w:t>
      </w:r>
    </w:p>
    <w:p>
      <w:pPr>
        <w:pStyle w:val="2"/>
        <w:snapToGrid w:val="0"/>
        <w:spacing w:before="240" w:beforeLines="0" w:after="0"/>
        <w:rPr>
          <w:rFonts w:ascii="宋体" w:hAnsi="宋体"/>
          <w:szCs w:val="30"/>
        </w:rPr>
      </w:pPr>
      <w:r>
        <w:br w:type="page"/>
      </w:r>
      <w:bookmarkStart w:id="12" w:name="_Toc256000032"/>
      <w:bookmarkStart w:id="13" w:name="_Toc256000005"/>
      <w:r>
        <w:rPr>
          <w:rFonts w:ascii="宋体" w:hAnsi="宋体"/>
          <w:sz w:val="30"/>
        </w:rPr>
        <w:t>五、相关服务机构</w:t>
      </w:r>
      <w:bookmarkEnd w:id="12"/>
      <w:bookmarkEnd w:id="13"/>
    </w:p>
    <w:p>
      <w:pPr>
        <w:autoSpaceDE w:val="0"/>
        <w:autoSpaceDN w:val="0"/>
        <w:adjustRightInd w:val="0"/>
        <w:snapToGrid w:val="0"/>
        <w:spacing w:after="0" w:line="360" w:lineRule="auto"/>
        <w:ind w:firstLine="480" w:firstLineChars="200"/>
        <w:jc w:val="left"/>
        <w:rPr>
          <w:rFonts w:ascii="宋体" w:hAnsi="宋体"/>
          <w:szCs w:val="24"/>
        </w:rPr>
      </w:pPr>
      <w:r>
        <w:rPr>
          <w:rFonts w:ascii="宋体" w:hAnsi="宋体"/>
          <w:b/>
          <w:sz w:val="24"/>
        </w:rPr>
        <w:t>（一）基金份额销售机构</w:t>
      </w:r>
    </w:p>
    <w:p>
      <w:pPr>
        <w:autoSpaceDE w:val="0"/>
        <w:autoSpaceDN w:val="0"/>
        <w:adjustRightInd w:val="0"/>
        <w:snapToGrid w:val="0"/>
        <w:spacing w:after="0" w:line="360" w:lineRule="auto"/>
        <w:ind w:firstLine="480" w:firstLineChars="200"/>
        <w:jc w:val="left"/>
        <w:rPr>
          <w:rFonts w:ascii="宋体" w:hAnsi="宋体"/>
          <w:szCs w:val="24"/>
        </w:rPr>
      </w:pPr>
      <w:r>
        <w:rPr>
          <w:rFonts w:ascii="宋体" w:hAnsi="宋体"/>
          <w:sz w:val="24"/>
        </w:rPr>
        <w:t>1、直销机构</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本基金直销机构为基金管理人直销柜台以及基金管理人的网上直销交易平台（网站及手机APP，下同）。</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机构名称：交银施罗德基金管理有限公司</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住所：中国(上海)自由贸易试验区银城中路188号交通银行大楼二层（裙）</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办公地址：上海市浦东新区世纪大道8号国金中心二期21-22楼</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法定代表人：袁庆伟（代任）</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成立时间：2005年8月4日</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电话：（021）61055724</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传真：（021）61055054</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联系人：傅鲸</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客户服务电话：400-700-5000（免长途话费），（021）61055000</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网址：www.fund001.com</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个人投资者可以通过基金管理人网上直销交易平台办理开户、本基金的申购、赎回、定期定额投资、转换等业务，具体交易细则请参阅基金管理人网站。</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网上直销交易平台网址：www.fund001.com。</w:t>
      </w:r>
    </w:p>
    <w:p>
      <w:pPr>
        <w:autoSpaceDE w:val="0"/>
        <w:autoSpaceDN w:val="0"/>
        <w:adjustRightInd w:val="0"/>
        <w:snapToGrid w:val="0"/>
        <w:spacing w:after="0" w:line="360" w:lineRule="auto"/>
        <w:ind w:firstLine="480" w:firstLineChars="200"/>
        <w:jc w:val="left"/>
        <w:rPr>
          <w:rFonts w:ascii="宋体" w:hAnsi="宋体"/>
          <w:szCs w:val="24"/>
        </w:rPr>
      </w:pPr>
      <w:r>
        <w:rPr>
          <w:rFonts w:ascii="宋体" w:hAnsi="宋体"/>
          <w:sz w:val="24"/>
        </w:rPr>
        <w:t>2、代销机构</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（1）名称：中国农业银行股份有限公司</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住所：北京市东城区建国门内大街69号</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办公地址：北京市西城区复兴门内大街28号凯晨世贸中心东座</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法定代表人：周慕冰</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联系电话：010-66060069</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传真：010-68121816</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联系人：贺倩</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客户服务电话：95599</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网址：www.abchina.com</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（2）名称：中国建设银行股份有限公司</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住所：北京市西城区金融大街25号</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办公地址：北京市西城区闹市口大街1号院1号楼</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法定代表人：张金良</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电话：（010）66275654</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传真：（010）66275654</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客户服务电话：95533</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网址：www.ccb.com</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（3）名称：交通银行股份有限公司</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住所：上海市浦东新区银城中路188号</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办公地址：上海市浦东新区银城中路188号</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法定代表人：任德奇</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电话：（021）58781234</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传真：（021）58408483</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联系人：范瑞波</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客户服务电话：95559</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网址：www.bankcomm.com</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（4）名称：招商银行股份有限公司</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住所：深圳市福田区深南大道7088号</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办公地址：深圳市福田区深南大道7088号</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法定代表人：缪建民</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电话：（0755）83198888</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传真：（0755）83195109</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联系人：季平伟</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客户服务电话：95555</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网址：www.cmbchina.com</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（5）名称：中信银行股份有限公司</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住所：北京市东城区朝阳门北大街9号</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办公地址：北京市东城区朝阳门北大街9号</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法定代表人：朱鹤新</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电话：（010）89936330</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传真：（010）85230024</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联系人：丰靖</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客户服务电话：95558</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网址：bank.ecitic.com</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（6）名称：上海浦东发展银行股份有限公司</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住所：上海市中山东一路12 号</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办公地址：上海市中山东一路12 号</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法定代表人：郑杨</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电话：（021）61618888</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传真：（021）61618888</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联系人：朱瑛</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客户服务电话：95528</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网址：www.spdb.com.cn</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（7）名称：中国光大银行股份有限公司</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住所：北京市西城区太平桥大街25号、甲25号中国光大中心</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办公地址：北京市西城区太平桥大街25号、甲25号中国光大中心</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法定代表人：李晓鹏</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电话：（010）63639681</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传真：（010）63639709</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联系人：刘昭宇</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客户服务电话：95595</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网址：www.cebbank.com</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（8）名称：中国民生银行股份有限公司</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住所：北京市西城区复兴门内大街2号</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办公地址：北京市西城区复兴门内大街2号</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法定代表人：洪崎</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电话：（010）58560666</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传真：（010）57092611</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联系人：许野</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客户服务电话： 95568</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网址：www.cmbc.com.cn</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（9）名称：中国邮政储蓄银行股份有限公司</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住所：北京市西城区金融大街3号</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办公地址：北京市西城区金融大街3号</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法定代表人：李国华</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传真：（010）68858117</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联系人：陈春林</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客户服务电话：95580</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网址：www.psbc.com</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（10）名称：东莞农村商业银行股份有限公司</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住所：东莞市东城区鸿福东路2号</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办公地址：东莞市东城区鸿福东路2号</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法定代表人：王耀球</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电话：（0769）22866254</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传真：（0769）22866282</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联系人：林培珊</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客户服务电话：（0769）961122</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网址：www.drcbank.com</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（11）名称：江苏常熟农村商业银行股份有限公司</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住所：江苏省常熟市新世纪大道58号</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办公地址：江苏省常熟市新世纪大道58号</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法定代表人：宋建明</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联系电话：（0512）52909128</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传真：（0512）52909122</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联系人：黄晓</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客户服务电话：962000</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网址：www.csrcbank.com</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（12）名称：江苏江南农村商业银行股份有限公司</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住所：江苏省常州市和平中路413号</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办公地址：江苏省常州市和平中路413号</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法定代表人：陆向阳</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电话：0519-80585939</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传真：0519-89995170</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联系人：蒋姣</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客户服务电话：96005</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网址：http://www.jnbank.com.cn</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（13）名称：厦门银行股份有限公司</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厦门银行股份有限公司</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客户服务电话： 400-858-8888</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网址： www.xmbankonline.com</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（14）名称：宁波银行股份有限公司</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住所：宁波市江东区中山东路294号</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法定代表人：陆华裕</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电话：（021）63586210</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传真：（021）63586215</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联系人：胡技勋</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客户服务电话：96528（上海地区962528）</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网址：www.nbcb.com.cn</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（15）名称：平安银行股份有限公司</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注册地址：深圳市罗湖区深南东路5047号</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办公地址：深圳市深南东路5047号</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法定代表人：谢永林</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电话：0755-22166574</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传真：0755-82080406</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联系人：赵杨</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客服电话：95511-3或95501</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网址：bank.pingan.com</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（16）名称：东吴证券股份有限公司</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住所：苏州工业园区星阳街5号</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法定代表人：范力</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电话：0512-62938521</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传真：0512-62938527</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联系人：陆晓</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客户服务电话：95330</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网址：www.dwjq.com.cn</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（17）名称：国泰海通证券股份有限公司</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注册地址：中国（上海）自由贸易试验区商城路618号</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办公地址：上海市静安区南京西路768号国泰君安大厦</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法定代表人：朱健</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联系电话：021-38676666</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传真：021-38670666</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联系人：邵亚杰</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服务热线 : 95521 / 4008888666</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网址：www.gtht.com</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（18）名称：中信建投证券股份有限公司</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住所：北京市朝阳区安立路66号4号楼</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办公地址：北京市朝阳门内大街188号</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法定代表人：刘成</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电话：（010）56135784</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联系人：刘芸</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客户服务电话：95587</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网址：www.csc108.com</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（19）名称：国信证券股份有限公司</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住所：深圳市罗湖区红岭中路1012号国信证券大厦16-26楼</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办公地址：深圳市罗湖区红岭中路1012号国信证券大厦16-26楼</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法定代表人：张纳沙</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电话：（0755）82130833</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传真：（0755）82133952</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联系人：于智勇</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客户服务电话：95536</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网址：www.guosen.com.cn</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（20）名称：招商证券股份有限公司</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住所：深圳市福田区福田街道福华一路111号</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办公地址：深圳市福田区益田路江苏大厦A座38-45层</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法定代表人：朱江涛</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电话：（0755）82943666</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传真：（0755）82943636</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联系人：黄婵君</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客户服务电话：400-8888-111，95565</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网址：www.newone.com.cn</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（21）名称：广发证券股份有限公司</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住所：广州市黄埔区中新广州知识城腾飞一街2号618室</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办公地址：广州市天河区马场路26号广发证券大厦</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法定代表人：林传辉</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电话：（020）66338888</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传真：（020）87553600</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联系人：任嘉鹏</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客户服务电话：95575</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网址：www.gf.com.cn</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（22）名称：中信证券股份有限公司</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住所：广东省深圳市福田区中心三路8号卓越时代广场（二期）北座</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办公地址：北京市朝阳区亮马桥路48号中信证券大厦</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法定代表人：张佑君</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电话：010-60838888</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客服电话：95548</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网址：www.cs.ecitic.com</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（23）名称：中国银河证券股份有限公司</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住所：北京市西城区金融大街35号国际企业大厦C座</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办公地址：北京市西城区金融大街35号国际企业大厦C座</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法定代表人：陈共炎</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电话：010-83574507</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联系人：辛国政</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客户服务电话：400-888-8888</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网址：www.chinastock.com.cn</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（24）名称：申万宏源证券有限公司</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住所：上海市徐汇区长乐路989号世纪商贸广场45层</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办公地址：上海市徐汇区长乐路989号世纪商贸广场45层</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法定代表人：杨玉成</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电话：（021）33389888</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联系人：李清怡</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客户服务电话：95523或4008895523</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网址：www.sywg.com</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（25）名称：兴业证券股份有限公司</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住所：福州市湖东路268号</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办公地址：上海市浦东新区长柳路36号</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法定代表人：杨华辉</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电话： 021-38565547</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联系人：乔琳雪</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网址： www.xyzq.com.cn</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客户服务电话：95562</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（26）名称：国投证券股份有限公司</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住所：深圳市福田区福田街道福华一路119号安信金融大厦</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办公地址：深圳市福田区福田街道福华一路119号安信金融大厦</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法定代表人：王苏望</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电话：（0755）81688000</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传真：（0755）82558355</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客户服务电话：95517</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网址：https://www.sdicsc.com.cn/</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（27）名称：西南证券股份有限公司</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住所：重庆市江北区桥北苑8号</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办公地址：重庆市江北区桥北苑8号西南证券大厦</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法定代表人：吴坚</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电话：（023）63786141</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传真：（023）63786212</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联系人：张煜</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客户服务电话：95355、400-809-6096</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网址：www.swsc.com.cn</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（28）名称：华泰证券股份有限公司</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住所：江苏省南京市江东中路228号</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办公地址：江苏省南京市建邺区江东中路228号华泰证券广场</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法定代表人：张伟</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电话：（0755）82492193</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传真：（0755）82492962</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联系人：徐浩津</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客户服务电话：95597</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网址：www.htsc.com.cn</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（29）名称：山西证券股份有限公司</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住所：山西省太原市府西街69号山西国际贸易中心东塔楼</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办公地址：山西省太原市府西街69号山西国际贸易中心东塔楼</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法定代表人：侯巍</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电话：0351—8686815</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联系人：谢武兵</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客户服务电话：400-666-1618、95573</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网址：www.i618.com.cn</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（30）名称：中信证券（山东）有限责任公司</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住所：青岛市崂山区深圳路222号1号楼2001</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办公地址：青岛市市南区东海西路28号龙翔广场东座5层</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法定代表人：肖海峰</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电话：0531-89606166</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传真：0532-85022605</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联系人：赵如意</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客户服务电话：95548</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网址：sd.citics.com</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（31）名称：信达证券股份有限公司</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住所：北京市西城区闹市口大街9号院1号楼信达金融中心</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办公地址：北京市西城区闹市口大街9号院1号楼信达金融中心</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法定代表人：张志刚</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电话：（010）63081000</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传真：（010）63081344</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联系人：尹旭航</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客户服务电话：95321</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网址：www.cindasc.com</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（32）名称：方正证券股份有限公司</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住所：湖南长沙芙蓉中路二段华侨国际大厦22-24层</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办公地址：湖南长沙芙蓉中路二段华侨国际大厦22-24层</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法定代表人：施华</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电话：（010）68546765</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传真：（010）68546792</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联系人：张达</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客户服务电话：95571</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网址：www.foundersc.com</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（33）名称：长城证券有限责任公司</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住所：深圳市福田区深南大道6008号特区报业大厦14、16、17层</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法定代表人：黄耀华</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电话：（0755）83516289</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传真：（0755）83516199</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联系人：匡婷</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客户服务电话：（0755）33680000，400-6666-888</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网址：www.cc168.com.cn</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（34）名称：光大证券股份有限公司</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住所：上海市静安区新闸路1508号</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办公地址：上海市静安区新闸路1508号</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法定代表人：薛峰</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电话：（021）22169999</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传真：（021）22169134</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联系人：刘晨</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客户服务电话： 10108998</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网址：www.ebscn.com</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（35）名称：中信证券华南股份有限公司</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住所：广州市天河区珠江西路5号广州国际金融中心主塔19层、20层</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办公地址：广州市天河区珠江西路5号广州国际金融中心主塔19层、20层</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法定代表人：陈可可</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电话：020-88836999</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传真：020-88836984</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联系人：郭杏燕</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客服电话：（020）95396</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网址：www.gzs.com.cn</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（36）名称：大同证券有限责任公司</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注册地址：山西省大同市城区迎宾街15号桐城中央21层</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办公地址：太原市长治路 111 号山西世贸中心 A 座 F12、F13</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邮政编码：030600</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法定代表人：董祥</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电 话：（0351）4130322</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传 真：（0351）7219891</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客服电话：4007121212</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网址：www.dtsbc.com.cn</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（37）名称：浙商证券股份有限公司</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住所：浙江省杭州市江干区五星路201号</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办公地址：浙江省杭州市江干区五星路201号</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法定代表人：吴承根</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电话：（0571）87901964</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传真：（0571）87901955</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联系人：胡相斌</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客户服务电话：95345</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网址：www.stocke.com.cn</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（38）名称：平安证券股份有限公司</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住所：深圳市福田区金田路大中华国际交易广场裙楼8楼</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办公地址：深圳市福田区金田路大中华国际交易广场裙楼8楼(518048)</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法定代表人：杨宇翔</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电话：（0755）22627802</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传真：（0755）82400862</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联系人：郑舒丽</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客户服务电话：95511-8</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网址：www.pingan.com</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（39）名称：东莞证券股份有限公司</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住所：广东省东莞市莞城区可园南路一号</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办公地址：广东省东莞市莞城区可园南路一号</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电话：（0769）22115712</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传真：（0769）22115712</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联系人：李荣</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客户服务电话：95328</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网址：www.dgzq.com</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（40）名称：国都证券股份有限公司</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住所：北京市东城区东直门南大街3号国华投资大厦9层10层</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办公地址：北京市东城区东直门南大街3号国华投资大厦9层10层</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法定代表人：王少华</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客户服务电话：400-818-8118</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网址：www.guodu.com</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（41）名称：金融街证券股份有限公司</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注册地址：内蒙古自治区呼和浩特市新城区海拉尔东街满世尚都办公商业综合楼</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办公地址：内蒙古自治区呼和浩特市新城区海拉尔东街满世尚都办公商业综合楼</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法定代表人：祝艳辉</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联系人：熊丽、王捷勋</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联系电话：0471-4968480</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客户服务电话：956088</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网址：www.cnht.com.cn</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（42）名称：华西证券股份有限公司</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住所：四川省成都市高新区天府二街198号华西证券大厦</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办公地址：四川省成都市高新区天府二街198号华西证券大厦</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法定代表人：杨炯洋</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电话：（028）86135991</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传真：（028）86150400</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联系人：周志茹</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客户服务电话：95584</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网址：www.hx168.com.cn</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（43）名称：申万宏源西部证券有限公司</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住所：新疆乌鲁木齐市建设路2号</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办公地址：北京市西城区太平桥大街19号宏源证券</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法定代表人：冯戎</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电话：（010）88085858</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传真：（010）88085195</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联系人：李巍</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客户服务电话：4008-000-562</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网址：www.hysec.com</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（44）名称：中泰证券股份有限公司</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注册地址：济南市高新区经十路7000号汉峪金融商务中心五区3号楼</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办公地址：济南市高新区经十路7000号汉峪金融商务中心五区3号楼</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法定代表人：王洪</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电话：（0531）68889155</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传真：（0531）68889752</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联系人：许曼华</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客户服务电话：95538</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网址：www.zts.com.cn</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（45）名称：第一创业证券股份有限公司</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住所：深圳市罗湖区笋岗路12号中民时代广场 B 座25、26层</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办公地址：深圳市罗湖区笋岗路12号中民时代广场 B 座25、26层</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法定代表人：刘学民</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电话：（0755）25832852</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传真：（0755）25831718</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联系人：崔国良</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客户服务电话：4008881888</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网址：www.firstcapital.com.cn</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（46）名称：德邦证券股份有限公司</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住所：上海市普陀区曹杨路510号南半幢9楼</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办公地址：上海市福山路500号城建大厦26楼</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法定代表人：姚文平</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电话：（021）68761616</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传真：（021）68767981</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客户服务电话：4008-888-128</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网址：www.tebon.com.cn</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（47）名称：中国国际金融股份有限公司</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住所：北京建国门外大街1号国贸大厦2座27层及28层</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办公地址：北京建国门外大街1号国贸大厦2座27层及28层</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法定代表人：毕明建</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电话：（010）65051166</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传真：（010）85679203</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联系人：杨涵宇</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网址：www.cicc.com.cn</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（48）名称：财通证券股份有限公司</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注册地址：杭州市杭大路15号嘉华国际商务中心201、501、502、1103、1601-1615、1701-1716</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办公地址：杭州市杭大路15号嘉华国际商务中心201、501、502、1103、1601-1615、1701-1716</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法定代表人： 沈继宁</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电话：0571-87789160</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联系人： 陶志华</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客户服务电话：95336,40086-96336</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网址：www.ctsec.com</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（49）名称：五矿证券有限公司</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住所：深圳市福田区金田路4028号荣超经贸中心47层</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法定代表人：赵立功</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公司客服电话：400180028</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传真号：075582545500</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网址：www.wkzq.com.cn</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（50）名称：华鑫证券有限责任公司</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华鑫证券有限责任公司</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客户服务电话： 4001099918，95323</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网址： www.cfsc.com.cn</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（51）名称：瑞银证券有限责任公司</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住所：北京市西城区金融大街7号英蓝国际金融中心12层、15层</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办公地址：北京市西城区金融大街7号英蓝国际金融中心12层、15层</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法定代表人：程宜荪</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电话：（010）58328112</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传真：（010）58328740</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联系人：牟冲</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客户服务电话：400-887-8827</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网址：www.ubssecurities.com</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（52）名称：中国中金财富证券有限公司</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住所：深圳市福田区益田路与福中路交界处荣超商务中心A栋第18层-21层及第04层01.02.03.05.11.12.13.15.16.18.19.20.21.22.23单元</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办公地址：深圳市福田区益田路6003号荣超商务中心A栋第04、18层至21层</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法定代表人：高涛</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电话：（0755）88320851</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联系人：胡芷境</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客户服务电话：95532/400-600-8008</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网址：www.ciccwm.com</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（53）名称：东方财富证券股份有限公司</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住所：西藏自治区拉萨市柳梧新区国际总部城10栋楼</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办公地址：上海市徐汇区宛平南路88号东方财富大厦</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法定代表人：戴彦</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电话：（021）021-23586603</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传真：（021）021-23586860</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联系人：付佳</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客户服务电话：95357</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网址：http://www.18.cn</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（54）名称：粤开证券股份有限公司</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注册地址：广州市黄埔区科学大道60号开发区控股中心19、22、23层</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办公地址：广州市黄埔区科学大道60号开发区控股中心19、22、23层</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法定代表人：郭川舟</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客服电话：95564</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网址：www.ykzq.com</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（55）名称：江海证券有限公司</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住所：黑龙江省哈尔滨市香坊区赣水路56号</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法定代表人：孙名扬</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电话：（0451）85863719</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传真：（0451）82287211</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联系人：刘爽</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客户服务电话：956007</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网址：www.jhzq.com.cn</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（56）名称：国金证券股份有限公司</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住所：四川省成都市东城根上街95号</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办公地址：成都市东城根上街95号</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法定代表人：冉云</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电话：（028）86690057，（028）86690058</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传真：（028）86690126</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联系人：刘婧漪 贾鹏</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客户服务电话：95310</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网址：www.gjzq.com.cn</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（57）名称：华宝证券股份有限公司</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住所：中国上海市陆家嘴环路166号未来资产大厦27楼</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办公地址：中国上海市浦东新区世纪大道100号上海环球金融中心57楼</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法定代表人： 陈林</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电话：（021）68777222</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传真：（021）68777822</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联系人：赵洁</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客户服务电话：400-820-9898</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网址：www.cnhbstock.com</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（58）名称：长城国瑞证券有限公司</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住所：厦门市思明区台北路1号海西金谷广场T2办公楼13-14层</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办公地址：厦门市思明区台北路1号海西金谷广场T2办公楼13-14层</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法定代表人：李鹏</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电话：0592-2079658</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传真：0592-5162590</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联系人：陈月月</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客户服务电话：400-0099-886</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网址：www.gwgsc.com</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（59）名称：国新证券股份有限公司</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住所：北京市西城区金融大街8号</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办公地址：北京市西城区金融大街8号</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法定代表人：宋德清</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电话：（010）58568235</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传真：（010）58568062</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联系人：黄恒</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客户服务电话：（010）58568118</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网址：www.crsec.com.cn</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（60）名称：联储证券有限责任公司</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住所：深圳市福田区福田街道岗厦社区深南大道南侧金地中心大厦9楼</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办公地址：北京市朝阳区安定路5号院3号楼中建财富国际中心27层联储证券</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法定代表人：吕春卫</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传真：010-86499401</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联系人： 祝博文、张婉婷</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客服电话: 400-620-6868</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网址: www.lczq.com</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（61）名称：万联证券股份有限公司</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注册地址：广州市天河区珠江东路11号18、19楼全层</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办公地址：广东省广州市天河区珠江东路13号高德置地广场E座12层</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法定代表人：王达</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联 系 人：丁思</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联系方式：020-83988334</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客服电话：95322</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公司官网：www.wlzq.cn</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（62）名称：西部证券股份有限公司</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住所：陕西省西安市新城区东新街 319 号 8 幢 10000 室</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办公地址：陕西省西安市新城区东新街 319 号 8 幢 10000 室</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法定代表人：徐朝晖</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电话：029-87211668</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联系人：张吉安</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客户服务电话：95582</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网址：www.west95582.com</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（63）名称：华龙证券股份有限公司</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住所：兰州市城关区东岗西路638号财富中心</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办公地址：兰州市城关区东岗西路638号财富中心</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法定代表人：李晓安</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电话：（0931）4890208</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传真：（0931）4890628</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联系人：李昕田</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客户服务电话：4006898888、（0931）4890208</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网址：www.hlzqgs.com</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（64）名称：中航证券有限公司</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住所：南昌市红谷滩新区红谷中大道1619号国际金融大厦41楼</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办公地址：南昌市红谷滩新区红谷中大道1619号国际金融大厦41楼</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法定代表人：杜航</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电话：（0791）86768681</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传真：（0791）86770178</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联系人：戴蕾</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客户服务电话：400-8895-335</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网址：www.avicsec.com</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（65）名称：中邮证券有限责任公司</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注册地址：陕西省西安市唐延路5号（陕西邮政信息大厦9-11层）</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办公地址：北京市东城区珠市口东大街17号</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法定代表人：郭成林</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电话：010-67017788-8914</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传真：010-67017788</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联系人：史蕾</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客户服务电话：4008-888-005</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网址：www.cnpsec.com</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（66）名称：开源证券股份有限公司</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注册地址：陕西省西安市高新区锦业路一号都市之门B座5层</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办公地址：陕西省西安市高新区锦业路一号都市之门B座5层</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法定代表人：李刚</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电话：13709210036</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联系人：赵东会</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网址：www.kysec.cn</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客户服务电话：95321</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（67）名称：南京证券股份有限公司</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住所：南京市江东中路389号</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办公地址：南京市江东中路389号</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法定代表人：李剑锋</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电话：（025）58519529</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传真：（025）83369725</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联系人：曹梦媛</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客户服务电话：95386</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网址：www.nizq.com.cn</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（68）名称：东方证券股份有限公司</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住所：上海市中山南路318号2号楼22层-29层</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法定代表人：王益民</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电话：（021）63325888</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传真：（021）63326173</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联系人：吴宇</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客户服务电话：95503</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网址：www.dfzq.com.cn</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（69）名称：申港证券股份有限公司</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住所：中国（上海）自由贸易实验区世纪大道1589号长泰国际金融大厦16/22/23楼</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办公地址：中国（上海）自由贸易试验区世纪大道1589号长泰国际金融大厦16/19/22/23/26楼</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法定代表人：邵亚良</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电话：021-20639666</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传真：021-20639696</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联系人：金燕</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客户服务电话：956029/021-80229999</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网址：www.shgsec.com</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（70）名称：国元证券股份有限公司</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住所：中国安徽省合肥市梅山路18号安徽国际金融中心A座</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办公地址：中国安徽省合肥市梅山路18号安徽国际金融中心A座</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法定代表人：俞仕新</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联系电话：0551-62207400</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传真：0551-62207148</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联系人：汪先哲</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客户服务电话：95578</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网址：www.gyzq.com.cn</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（71）名称：天相投资顾问有限公司</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住所：北京市西城区金融街19号富凯大厦B座701</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办公地址：北京市西城区新街口外大街28号C座5层</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法定代表人：林义相</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电话：（010）66045529</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传真：（010）66045518</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联系人：尹伶</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客户服务电话：（010）66045678</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网址：http://www.txsec.com</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（72）名称：深圳市新兰德证券投资咨询有限公司</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住所：深圳市福田区华强北路赛格科技园4栋10层1006#</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办公地址：北京市西城区金融大街35号国际企业大厦C座9层</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法定代表人：陈操</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电话：（010）58325395</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传真：（010）58325282</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联系人：刘宝文</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客户服务电话：400-850-7771</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网址：http://8.jrj.com.cn/</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（73）名称：和讯信息科技有限公司</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住所：北京市朝阳区朝外大街22号泛利大厦10层</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办公地址：北京市朝阳区朝外大街22号泛利大厦10层</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法定代表人：王莉</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电话：（021）20835789</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传真：（021）20835879</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联系人：周轶</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客户服务电话：4009200022</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网址：http://licaike.hexun.com/</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（74）名称：上海挖财基金销售有限公司</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注册地址：中国(上海)自由贸易试验区杨高南路759号18层03单元</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办公地址：中国(上海)自由贸易试验区杨高南路759号18层03单元</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法定代表人：吕柳霞</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电话：021-50810673</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传真：021-50810687</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邮编：200120</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联系人：毛善波</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客服电话：400-711-8718</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网址：www.wacaijijin.com</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（75）名称：腾安基金销售（深圳）有限公司</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住所：深圳市前海深港合作区前湾一路1号A栋201室（入驻深圳市前海商务秘书有限公司）</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办公地址：深圳市南山区海天二路33号腾讯滨海大厦</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法定代表人：刘明军</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电话：95017（拨通后转1转8）</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联系人：谭广峰</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客户服务电话：95017（拨通后转1转8）</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网址：http://www.tenganxinxi.com/</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（76）名称：北京度小满基金销售有限公司</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注册地址：北京市海淀区西北旺东路10号院西区4号楼1层103室</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法定代表人：葛新</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办公地址：北京市海淀区西北旺东路10号院西区4号楼</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机构联系人：王笑宇</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联系人电话：010-59403028</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联系人传真：010-59403027</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客户服务电话：95055-4</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公司网址：www.baiyingfund.com</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（77）名称：诺亚正行基金销售有限公司</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住所:上海市虹口区飞虹路360弄9号3724室</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办公地址:上海市杨浦区长阳路1687号长阳谷2号楼</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法定代表：汪静波</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电话：（021）80358523</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传真：（021）80358749</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联系人：李娟</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客户服务电话：4008215399</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网址：www.noah-fund.com</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（78）名称：深圳众禄基金销售股份有限公司</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住所：深圳市罗湖区梨园路物资控股置地大厦8楼</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办公地址：深圳市罗湖区梨园路物资控股置地大厦8楼</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法定代表人：薛峰</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电话：（0755）33227953</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传真：（0755）33227951</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联系人：汤素娅</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客户服务电话：4006-788-887</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网址：www.zlfund.cn，www.jjmmw.com</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（79）名称：上海天天基金销售有限公司</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住所：上海市徐汇区龙田路190号2号楼2层</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办公地址：上海市徐汇区宛平南路88号金座东方财富大厦</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法定代表人：其实</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电话：（021）54509998</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传真：（021）64385308</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联系人：屠彦洋</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客户服务电话：400-1818-188</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网址：www.1234567.com.cn</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（80）名称：上海好买基金销售有限公司</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住所：上海市虹口区场中路685弄37号4号楼449室</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办公地址：上海市浦东新区浦东南路1118号鄂尔多斯国际大厦903-906室</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法定代表人：杨文斌</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传真：（021）68596916</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联系人：薛年</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客户服务电话：400-700-9665</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网址：www.howbuy.com</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（81）名称：蚂蚁（杭州）基金销售有限公司</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住所：浙江省杭州市余杭区五常街道文一西路969号3幢5层599室</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办公地址：浙江省杭州市西湖区西溪路556号</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法定代表人：王珺</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电话：（0571）28829790，（021）60897869</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传真：（0571）26698533</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联系人：韩爱彬</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客户服务电话：95188-8</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网址：www.fund123.cn</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（82）名称：上海长量基金销售有限公司</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住所：上海市浦东新区高翔路526号2幢220室</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办公地址：上海市浦东新区浦东大道555号裕景国际B座16层</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法定代表人：张跃伟</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电话：（021）20691832</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传真：（021）20691861</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联系人：单丙烨</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客户服务电话：400-820-2899</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网址：www.erichfund.com</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（83）名称：浙江同花顺基金销售有限公司</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住所：浙江省杭州市文二西路1号元茂大厦903</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办公地址：浙江杭州余杭区五常街道同顺街18号</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法定代表人：吴强</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电话：（0571）88911818</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传真：（0571）86800423</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联系人：吴强</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客户服务电话：952555</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网址：https://fund.10jqka.com.cn/</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（84）名称：北京展恒基金销售股份有限公司</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住所：北京市顺义区后沙峪镇安富街6号</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办公地址：北京市朝阳区安苑路15-1号邮电新闻大厦2层</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法定代表人：闫振杰</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电话：（010）59601366-7024</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传真：（010）62020355</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联系人： 马林</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客户服务电话：400-888-6661</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网址：www.myfund.com</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（85）名称：上海利得基金销售有限公司</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住所： 上海浦东新区峨山路91弄61号陆家嘴软件园10号楼12楼</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办公地址：上海市虹口区东大名路1098号浦江国际金融广场53层</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法定代表人：李兴春</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电话：021-50583533</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传真：021-50583633</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联系人： 伍豪</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客服电话：400-032-5885</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网址：www.leadfund.com.cn</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（86）名称：嘉实财富管理有限公司</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住所：海南省三亚市天涯区三亚湾路国际客运港区国际养生度假中心酒店B座(2＃楼)27楼2714室</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办公地址及其联系方式：北京市朝阳区建国门外大街21号北京国际俱乐部C座</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法定代表人: 张峰</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电话： 010-85097302</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联系人：闫欢</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客户服务电话：400-021-8850</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公司网址：http://www.harvestwm.cn</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（87）名称：北京创金启富基金销售有限公司</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住所： 北京市西城区白纸坊东街2号院6号楼712室</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办公地址： 北京市西城区白纸坊东街2号院6号楼712室</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法定代表人： 梁蓉</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电话：010-66154828-8047</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传真：010-63583991</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联系人： 魏素清</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客户服务电话：010-66154828</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网址： https://www.5irich.com</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（88）名称：泛华普益基金销售有限公司</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住所：成都市成华区建设路9号高地中心1101室</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办公地址：成都市金牛区花照壁西顺街399号1栋1单元龙湖西宸天街B座1201号</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法定代表人：于海锋</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电话：028-8661-6229</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传真：无</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联系人：隋亚方</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客户服务电话：400-080-3388</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网址：https://www.puyifund.com/</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（89）名称：宜信普泽（北京）基金销售有限公司</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住所：北京市朝阳区建国路乙118号12层01D、02A—02F、03A—03C</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办公地址：北京市朝阳区建国路乙118号12层01D、02A—02F、03A—03C</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法定代表人：汤蕾</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电话：010-5090-5707</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传真：无</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联系人：蒋凯帆</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客户服务电话：400-6099-200</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网址：http://www.puzefund.com</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（90）名称：南京苏宁基金销售有限公司</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住所：南京市玄武区苏宁大道1-5号</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办公地址：南京市玄武区苏宁大道1-5号</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法定代表人：王锋</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电话：025-66996699</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传真：025-66996699</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联系人：冯鹏鹏</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客户服务电话：95177</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网址：www.snjijin.com</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（91）名称：格上富信投资顾问有限公司</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住所：北京市朝阳区东三环北路19号楼701内09室</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办公地址：北京市朝阳区东三环北路19号楼701内09室</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法定代表人：李悦章</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电话：（010）85594745</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传真：（010）65983333</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联系人：张林</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客户服务电话：400-066-8586</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网址：www.igesafe.com</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（92）名称：北京汇成基金销售有限公司</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住所：北京市西城区宣武门外大街甲1号4层401-2</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办公地址：北京市西城区宣武门外大街甲1号环球财讯中心D座4层401-2</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法定代表人：王伟刚</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电话：（010）56282140</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传真：（010）62680827</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联系人：张林</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客户服务电话：010-63158805</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网址：www.hcfunds.co</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（93）名称：深圳市米粒基金销售有限公司</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注册地址：深圳市前海深港合作区南山街道兴海大道3046号香江金融大厦2111</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办公地址：深圳市前海深港合作区南山街道兴海大道3046号香江金融大厦2111</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法定代表人：黎泰材</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联系人：董宣</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联系电话：0755-26695461</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客户服务电话：400-001-1566</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网址：www.yilucaifu.com</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400-001-1566</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www.yilucaifu.com</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（94）名称：北京广源达信基金销售有限公司</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注册地址：北京市西城区新街口外大街28号C座六层605室</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办公地址：北京市顺义区天祥路6号院北京东航中心T1A-304B室</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法定代表人：齐剑辉</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电话：400-616-7531</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传真：-</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联系人：赵明锦</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客户服务电话：400-616-7531</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网址：https://www.niuniufund.com/</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（95）名称：上海大智慧基金销售有限公司</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住所：上海市浦东新区杨高南路428号1号楼10-11层</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办公地址：上海市浦东新区杨高南路428号1号楼10-11层</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法定代表人：申健</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电话：021-0219988-35374</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传真：021-20219923</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联系人：张蜓</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客户服务电话：021-20292031</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网址：https://www.wg.com.cn</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（96）名称：北京新浪仓石基金销售有限公司</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注册地址：北京市海淀区东北旺西路中关村软件园二期（西扩）N-1、N-2地块新浪总部科研楼5层518室</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办公地址：北京市海淀区东北旺西路中关村软件园二期（西扩）N-1、N-2地块新浪总部科研楼5层518室</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法定代表人：穆飞虎</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电话：010-58982465</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联系人：穆飞虎</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客服电话：010-6267 5369</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网址：www.xincai.com</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（97）名称：上海万得基金销售有限公司</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住所：中国（上海）自由贸易试验区福山路33号11楼B座</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办公地址：上海市浦东新区浦明路1500号万得大厦11楼</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法定代表人： 宋晓言</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电话：021-50712782</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传真：021-50710161</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联系人： 马烨莹</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客户服务电话：400-799-1888</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网址： www.520fund.com.cn</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（98）名称：上海联泰基金销售有限公司</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住所：上海市普陀区兰溪路900弄15号526室</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办公地址：上海市虹口区临潼路188号</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法定代表人：尹彬彬</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电话：021-52822063</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传真：021-52975270</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联系人：兰敏</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客户服务电话：400-118-1188</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网址：www.66liantai.com</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（99）名称：上海基煜基金销售有限公司</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住所：上海市崇明县长兴镇路潘园公路1800号2号楼6153室（上海泰和经济发展区）</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办公地址：上海市杨浦区昆明路518号A1002室</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法定代表人：王翔</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电话：（021）65370077</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传真：（021）55085991</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联系人：俞申莉</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客户服务电话：（021）65370077</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网址：www.fofund.com.cn</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（100）名称：北京虹点基金销售有限公司</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注册地址：北京市朝阳区东三环北路38号院1号楼19层2201内11室</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办公地址：北京市朝阳区东三环北路38号院1号楼19层2201内11室</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法定代表人：邓伟</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客户服务电话：400-035-5010</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公司网址：www.hongdianfund.com</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（101）名称：上海陆金所基金销售有限公司</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住所：上海市浦东新区陆家嘴环路1333号14楼09单元</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办公地址：上海市浦东新区陆家嘴环路1333号</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法定代表人：王之光</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电话：（021）20665952</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传真：（021）22066653</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联系人：宁博宇</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客户服务电话：4008219031</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网址：www.lufunds.com</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（102）名称：珠海盈米基金销售有限公司</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住所：珠海市横琴新区宝华路6号105室-3491</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办公地址：广州市海珠区琶洲大道东1号保利国际广场南塔12楼B1201-1203</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法定代表人：肖雯</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电话：（020）89629099</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传真：（020）89629011</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联系人：黄敏嫦</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客户服务电话：（020）89629066</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网址：www.yingmi.com</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（103）名称：奕丰基金销售有限公司</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住所：深圳市前海深港合作区前湾一路1号A栋201室（入住深圳市前海商务秘书有限公司）</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办公地址：深圳市南山区海德三道航天科技广场A座17楼1704室</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法定代表人：TEO WEE HOWE</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电话：（0755）89460500</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传真：（0755）21674453</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联系人：叶健</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客户服务电话：400-684-0500</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网址：www.ifastps.com.cn</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（104）名称：京东肯特瑞基金销售有限公司</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住所： 北京市海淀区西三旗建材城中路12号17号平房157</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办公地址：北京市通州区亦庄经济技术开发区科创十一街18号院京东集团总部A座17层</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法定代表人：王苏宁</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电话：95118</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传真：010-89189566</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联系人：李丹</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客服热线：95118</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网址：kenterui.jd.com</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（105）名称：大连网金基金销售有限公司</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住所： 辽宁省大连市沙河口区体坛路22号诺德大厦2层202室</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办公地址： 辽宁省大连市沙河口区体坛路22号诺德大厦2层202室</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法定代表人： 樊怀东</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电话：（0411-39027810）</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传真：（0411-39027835）</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联系人： 于秀</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客户服务电话： 4000-899-100</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网址：http://www.yibaijin.com/</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（106）名称：上海证达通基金销售有限公司</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住所： 上海市浦东新区金葵路118号3层B区</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办公地址：上海市浦东新区金葵路118号3层B区</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法定代表人：姚杨</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电话：（021）20530186</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传真：（021）20538999</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联系人： 潘梦茹</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客户服务电话：021-20538880</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网址：www.zdt.fund</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（107）名称：深圳市金斧子基金销售有限公司</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住所：深圳市南山区粤海街道科苑路16号东方科技大厦18楼</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办公地址：深圳市南山区粤海街道科苑路科兴科学园B3单元7楼</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法定代表人：赖任军</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电话：（0755）66892301</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传真：（0755）66892399</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联系人：张烨</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客户服务电话：400-9500-888</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网址：www.jfzinv.com</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（108）名称：北京雪球基金销售有限公司</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住所：北京市朝阳区创远路 34 号院6号楼15层1501室</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办公地址：北京市朝阳区创远路 34 号院融新科技中心 C 座 17 层</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法定代表人：李楠</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电话：（010）61840688</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传真：（010）84997571</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联系人：武安广</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客户服务电话：400-1599-288</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网址：danjuanfunds.com</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（109）名称：上海中欧财富基金销售有限公司</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住所：中国（上海）自由贸易试验区陆家嘴环路479号1008-1室</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办公地址：上海市虹口区公平路18号嘉昱大厦6楼</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法定代表人：许欣</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电话：021-68609600</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传真：021-33830351</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联系人： 刘弘义</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客户服务电话：400-700-9700</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公司网址：https://www.zocaifu.com</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（110）名称：万家财富基金销售（天津）有限公司</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住所：天津自贸区（中心商务区）迎宾大道1988号滨海浙商大厦公寓2-2413室</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办公地址：北京市西城区丰盛胡同28号太平洋保险大厦A座5层</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法定代表人：张军</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电话：（010）59013825</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传真：（010）59013828</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联系人：王茜蕊</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客户服务电话：010-59013895</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网址：http://www.wanjiawealth.com/</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（111）名称：上海华夏财富投资管理有限公司</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住所：上海市虹口区东大名路687号1幢2楼268室</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办公地址： 北京市西城区金融大街33号通泰大厦B座8层</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法定代表人： 毛淮平</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电话：010-88066632</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传真：010-63136184</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联系人： 张静怡</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客户服务电话：400-817-5666</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网址： www.amcfortune.com</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（112）名称：中信期货有限公司</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住所：深圳市福田区中心三路8号卓越时代广场（二期）北座13层1301-1305室、14层</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办公地址：深圳市福田区中心三路8号卓越时代广场（二期）北座13层1301-1305室、14层</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法定代表人：张皓</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电话：010-60833754</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传真：021-60819988</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联系人：刘宏莹</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客服电话：400-990-8826</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网站：www.citicsf.com</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（113）名称：玄元保险代理有限公司</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住所：中国(上海)自由贸易试验区张杨路707号1105室</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办公地址：中国(上海)自由贸易试验区张杨路707号1105室</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法定代表人：马永谙</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电话：（021）50701053</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传真：（021）50701053</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客户服务电话：400-080-8208</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网址：www.licaimofang.cn</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（114）名称：阳光人寿保险股份有限公司</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住所：海南省三亚市迎宾路360-1号三亚阳光金融广场16层</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办公地址：北京市朝阳区朝阳门外大街乙12号院1号昆泰国际大厦12层</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法定代表人：李科</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电话：（010）85632771</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传真：（010）85632773</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联系人：王超</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客户服务电话：95510</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网址：http://fund.sinosig.com/</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（115）名称：中国人寿保险股份有限公司</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住所：中国北京市西城区金融大街16号</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办公地址：北京市西城区金融大街16号中国人寿广场A座</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法定代表人：王滨</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客户服务电话：95519</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网址： www.e-chinalife.com</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（116）名称：和耕传承基金销售有限公司</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住所：河南自贸试验区郑州片区（郑东）东风南路东康宁街北6号楼5楼503</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办公地址：河南自贸试验区郑州片区（郑东）东风南路东康宁街北6号楼5楼503</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法定代表人：温丽燕</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电话：0371-85518395</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传真：0371-85518397</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联系人：胡静华</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客户服务电话：4000555671</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网址：www.hgccpb.com</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（117）名称：济安财富（北京）基金销售有限公司</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住所：北京市朝阳区太阳宫中路16号院1号楼10层1005</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办公地址：北京市朝阳区太阳宫中路16号院1号楼11层1105</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法定代表人：杨健</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电话：010-65309516</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传真：010-65330699</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联系人：宋静</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客户服务电话：400-673-7010</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网址：www.jianfortune.com</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（118）名称：博时财富基金销售有限公司</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住所：深圳市福田区莲花街道福新社区益田路5999号基金大厦19层</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办公地址：深圳市福田区莲花街道福新社区益田路5999号基金大厦19层</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法定代表人：王德英</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电话：0755-83169999</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传真：0755-83195220</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联系人：崔丹</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客户服务电话：400-610-5568</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网址：www.boserawealth.com</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（119）名称：深圳前海微众银行股份有限公司</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住所：深圳前海深港合作区前湾一路1号A栋201室（入驻深圳市前海商务秘书有限公司）</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办公地址：广东省深圳市南山区沙河西路1819号深圳湾科技生态园7栋A座</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法定代表人：顾敏</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电话：15112686889</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传真：/</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联系人：白冰</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客户服务电话：95384</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网址：www.webank.com</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基金管理人可根据有关法律法规的要求，选择其它符合要求的机构销售本基金，并在管理人网站公示。</w:t>
      </w:r>
    </w:p>
    <w:p>
      <w:pPr>
        <w:autoSpaceDE w:val="0"/>
        <w:autoSpaceDN w:val="0"/>
        <w:adjustRightInd w:val="0"/>
        <w:snapToGrid w:val="0"/>
        <w:spacing w:after="0" w:line="360" w:lineRule="auto"/>
        <w:ind w:firstLine="480" w:firstLineChars="200"/>
        <w:jc w:val="left"/>
        <w:rPr>
          <w:rFonts w:ascii="宋体" w:hAnsi="宋体"/>
          <w:szCs w:val="24"/>
        </w:rPr>
      </w:pPr>
      <w:r>
        <w:rPr>
          <w:rFonts w:ascii="宋体" w:hAnsi="宋体"/>
          <w:b/>
          <w:sz w:val="24"/>
        </w:rPr>
        <w:t>（二）登记机构</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名称：中国证券登记结算有限责任公司</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住所：北京市西城区太平桥大街17号</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办公地址：北京市西城区太平桥大街17号</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法定代表人：于文强</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电话：（010）50938782</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传真：（010）50938907</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联系人：赵亦清</w:t>
      </w:r>
    </w:p>
    <w:p>
      <w:pPr>
        <w:autoSpaceDE w:val="0"/>
        <w:autoSpaceDN w:val="0"/>
        <w:adjustRightInd w:val="0"/>
        <w:snapToGrid w:val="0"/>
        <w:spacing w:after="0" w:line="360" w:lineRule="auto"/>
        <w:ind w:firstLine="480" w:firstLineChars="200"/>
        <w:jc w:val="left"/>
        <w:rPr>
          <w:rFonts w:ascii="宋体" w:hAnsi="宋体"/>
          <w:szCs w:val="24"/>
        </w:rPr>
      </w:pPr>
      <w:r>
        <w:rPr>
          <w:rFonts w:ascii="宋体" w:hAnsi="宋体"/>
          <w:b/>
          <w:sz w:val="24"/>
        </w:rPr>
        <w:t>（三）出具法律意见书的律师事务所</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名称：上海市通力律师事务所</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住所：上海市银城中路68号时代金融中心19楼</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办公地址：上海市银城中路68号时代金融中心19楼</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负责人：陈臻</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电话：（021）31358666</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传真：（021）31358600</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联系人：黎明</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经办律师：吕红、黎明</w:t>
      </w:r>
    </w:p>
    <w:p>
      <w:pPr>
        <w:autoSpaceDE w:val="0"/>
        <w:autoSpaceDN w:val="0"/>
        <w:adjustRightInd w:val="0"/>
        <w:snapToGrid w:val="0"/>
        <w:spacing w:after="0" w:line="360" w:lineRule="auto"/>
        <w:ind w:firstLine="480" w:firstLineChars="200"/>
        <w:jc w:val="left"/>
        <w:rPr>
          <w:rFonts w:ascii="宋体" w:hAnsi="宋体"/>
          <w:szCs w:val="24"/>
        </w:rPr>
      </w:pPr>
      <w:r>
        <w:rPr>
          <w:rFonts w:ascii="宋体" w:hAnsi="宋体"/>
          <w:b/>
          <w:sz w:val="24"/>
        </w:rPr>
        <w:t>（四）审计基金财产的会计师事务所</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名称：毕马威华振会计师事务所(特殊普通合伙)</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住所：北京市东城区东长安街1号东方广场2座办公楼8层</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办公地址：中国上海南京西路1266号恒隆广场2期25楼</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执行事务合伙人：邹俊</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电话：+86 (21) 2212 2888</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传真：+86 (21) 6288 1889</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联系人：侯雯</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经办注册会计师：王国蓓、侯雯</w:t>
      </w:r>
    </w:p>
    <w:p>
      <w:pPr>
        <w:pStyle w:val="2"/>
        <w:snapToGrid w:val="0"/>
        <w:spacing w:before="240" w:beforeLines="0" w:after="0"/>
        <w:rPr>
          <w:rFonts w:ascii="宋体" w:hAnsi="宋体"/>
          <w:szCs w:val="30"/>
        </w:rPr>
      </w:pPr>
      <w:r>
        <w:br w:type="page"/>
      </w:r>
      <w:bookmarkStart w:id="14" w:name="_Toc256000033"/>
      <w:bookmarkStart w:id="15" w:name="_Toc256000006"/>
      <w:r>
        <w:rPr>
          <w:rFonts w:ascii="宋体" w:hAnsi="宋体"/>
          <w:sz w:val="30"/>
        </w:rPr>
        <w:t>六、基金的募集</w:t>
      </w:r>
      <w:bookmarkEnd w:id="14"/>
      <w:bookmarkEnd w:id="15"/>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本基金由基金管理人依照《基金法》、《运作办法》、基金合同及其他有关规定，并经中国证监会证监许可[2013]753号文核准募集发售。</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本基金为契约型开放式混合型基金。基金存续期间为不定期。</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本基金募集期间基金份额净值为人民币1.00元，按初始面值发售。</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本基金自2013年8月7日至2013年8月30日进行发售。本基金设立募集期共募集642,313,653.44份基金份额，有效认购户数为7,039户。</w:t>
      </w:r>
    </w:p>
    <w:p>
      <w:pPr>
        <w:pStyle w:val="2"/>
        <w:snapToGrid w:val="0"/>
        <w:spacing w:before="240" w:beforeLines="0" w:after="0"/>
        <w:rPr>
          <w:rFonts w:ascii="宋体" w:hAnsi="宋体"/>
          <w:szCs w:val="30"/>
        </w:rPr>
      </w:pPr>
      <w:r>
        <w:br w:type="page"/>
      </w:r>
      <w:bookmarkStart w:id="16" w:name="_Toc256000034"/>
      <w:bookmarkStart w:id="17" w:name="_Toc256000007"/>
      <w:r>
        <w:rPr>
          <w:rFonts w:ascii="宋体" w:hAnsi="宋体"/>
          <w:sz w:val="30"/>
        </w:rPr>
        <w:t>七、基金合同的生效</w:t>
      </w:r>
      <w:bookmarkEnd w:id="16"/>
      <w:bookmarkEnd w:id="17"/>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根据有关规定，本基金满足基金合同生效条件，基金合同已于2013年9月4日正式生效。自基金合同生效之日起，本基金管理人正式开始管理本基金。</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基金合同生效后，基金份额持有人数量不满200人或者基金资产净值低于5000万元的，基金管理人应当及时报告中国证监会；连续20个工作日出现前述情形的，基金管理人应当向中国证监会说明原因并报送解决方案。</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法律法规另有规定时，从其规定。</w:t>
      </w:r>
    </w:p>
    <w:p>
      <w:pPr>
        <w:pStyle w:val="2"/>
        <w:snapToGrid w:val="0"/>
        <w:spacing w:before="240" w:beforeLines="0" w:after="0"/>
        <w:rPr>
          <w:rFonts w:ascii="宋体" w:hAnsi="宋体"/>
          <w:szCs w:val="30"/>
        </w:rPr>
      </w:pPr>
      <w:r>
        <w:br w:type="page"/>
      </w:r>
      <w:bookmarkStart w:id="18" w:name="_Toc256000008"/>
      <w:bookmarkStart w:id="19" w:name="_Toc256000035"/>
      <w:r>
        <w:rPr>
          <w:rFonts w:ascii="宋体" w:hAnsi="宋体"/>
          <w:sz w:val="30"/>
        </w:rPr>
        <w:t>八、基金份额的申购与赎回</w:t>
      </w:r>
      <w:bookmarkEnd w:id="18"/>
      <w:bookmarkEnd w:id="19"/>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由投资者主动申请办理的申购、赎回等业务适用本部分的约定。本基金定期支付发起的自动赎回适用本招募说明书第十部分“基金的定期支付”的约定。</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b/>
          <w:kern w:val="0"/>
          <w:sz w:val="24"/>
        </w:rPr>
        <w:t>（一）申购和赎回的场所</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投资人可通过下述场所按照规定的方式进行申购或赎回：</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1、本基金管理人的直销机构</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本基金直销机构为本公司以及本公司的网上直销交易平台。</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名称：交银施罗德基金管理有限公司</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住所：中国(上海)自由贸易试验区银城中路188号交通银行大楼二层（裙）</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办公地址：上海市浦东新区世纪大道8号国金中心二期21-22楼</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电话：（021）61055724</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传真：（021）61055054</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联系人：傅鲸</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客户服务电话：400-700-5000（免长途话费），（021）61055000</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网址：www.fund001.com</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个人投资者可以通过本公司网上直销交易平台办理开户、本基金的申购、赎回、定期定额投资、转换等业务，具体交易细则请参阅本公司网站。网上直销交易平台网址：www.fund001.com</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2、代销机构</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本基金的代销机构参见本招募说明书“五、相关服务机构”章节或拨打本公司客户服务电话进行咨询。</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投资人可通过上述销售机构办理基金申购、赎回业务的营业场所或按上述销售机构提供的其他方式进行申购或赎回。本基金管理人可根据情况变更或增减基金代销机构，并在管理人网站公示。</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若基金管理人或其指定的代销机构开通电话、传真或网上等交易方式，投资人可以通过上述方式进行申购与赎回。</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b/>
          <w:kern w:val="0"/>
          <w:sz w:val="24"/>
        </w:rPr>
        <w:t>（二）申购和赎回的开放日及时间</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1、开放日及开放时间</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投资人在开放日办理基金份额的申购和赎回，具体办理时间为上海证券交易所、深圳证券交易所的正常交易日的交易时间，但基金管理人根据法律法规、中国证监会的要求或本基金合同的规定公告暂停申购、赎回时除外。</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若出现新的证券交易市场、证券交易所交易时间变更或其他特殊情况，基金管理人将视情况对前述开放日及开放时间进行相应的调整，但应在实施日前依照《信息披露办法》的有关规定在指定媒介上公告。</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2、申购的开始日及业务办理时间</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本基金已于2013年12月3日起开放申购业务。</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3、赎回的开始日及业务办理时间</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本基金已于2013年12月3日起开放赎回业务。</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基金管理人不得在基金合同约定之外的日期或者时间办理基金份额的申购、赎回或者转换。投资人在基金合同约定之外的日期和时间提出申购、赎回或转换申请且登记机构确认接受的，其基金份额申购、赎回价格为下一开放日基金份额申购、赎回的价格。</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b/>
          <w:kern w:val="0"/>
          <w:sz w:val="24"/>
        </w:rPr>
        <w:t>（三）申购与赎回的原则</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1、“未知价”原则，即申购、赎回价格以申请当日收市后计算的基金份额净值为基准进行计算；</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2、“金额申购、份额赎回”原则，即申购以金额申请，赎回以份额申请；</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3、当日的申购与赎回申请可以在基金管理人规定的时间以内撤销，但申请经登记机构正式受理的不得撤销；</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4、基金份额持有人赎回时，除指定赎回外，基金管理人按“先进先出”的原则，对该持有人账户在该销售机构托管的基金份额进行处理，即登记确认日期在先的基金份额先赎回，登记确认日期在后的基金份额后赎回，以确定被赎回基金份额的持有期限和所适用的赎回费率。</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基金管理人可在法律法规允许的情况下，对上述原则进行调整。基金管理人必须在新规则开始实施前依照《信息披露办法》的有关规定在指定媒介上公告。</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b/>
          <w:kern w:val="0"/>
          <w:sz w:val="24"/>
        </w:rPr>
        <w:t>（四）申购和赎回的数额限定</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1、申购金额的限制</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直销机构首次申购的最低金额为单笔100万元，追加申购的最低金额为单笔10万元；已在直销机构有认购或申购过本基金管理人管理的任一基金（包括本基金）记录的投资人不受首次申购最低金额的限制。通过基金管理人网上直销交易平台办理基金申购业务的不受直销机构单笔申购最低金额的限制，申购最低金额为单笔1元。本基金直销机构单笔申购最低金额可由基金管理人酌情调整。其他销售机构接受申购申请的最低金额为单笔1元，如果销售机构业务规则规定的最低单笔申购金额高于1元，以该销售机构的规定为准。</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2、赎回份额的限制</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赎回的最低份额为1份基金份额，如果销售机构业务规则规定的最低单笔赎回份额高于1份，以该销售机构的规定为准。</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3、最低保留余额的限制</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每个工作日投资人在单个交易账户保留的本基金份额余额少于1份时，若当日该账户同时有份额减少类业务（如赎回、转换出、定期支付发起的自动赎回等）被确认，则基金管理人有权将投资人在该账户保留的本基金份额一次性全部赎回。</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4、当接受申购申请对存量基金份额持有人利益构成潜在重大不利影响时，基金管理人应当采取设定单一投资者申购金额上限或基金单日净申购比例上限、拒绝大额申购、暂停基金申购等措施，切实保护存量基金份额持有人的合法权益。具体请参见相关公告。</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5、基金管理人可根据市场情况，在法律法规允许的情况下，调整申购的金额和赎回的份额以及最低保留余额的数量限制，基金管理人必须在调整前依照《信息披露办法》的有关规定在指定的媒介上刊登公告并报中国证监会备案。</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6、本基金当月进行定期支付，当月自动赎回用以定期支付的基金份额从当月定期支付基准日（T日）的下一工作日起（含该日）从投资人的基金交易账户中扣减，基金交易账户中扣减后的基金份额余额自T+2日起（含该日）方可查询，可能会导致基金份额持有人在定期支付基准日（T日）的下一工作日（T+1日）提交的赎回或转换出申请因提交申请的份额余额大于实际的份额余额而被确认失败。对于发生基金份额持有人在T+1日提交的赎回申请因提交申请的份额余额大于实际的份额余额而被确认失败的情形，基金管理人有权对该基金份额持有人全部的可用剩余份额发起强制赎回，强制赎回的确认结果以注册登记机构确认结果为准；对于确认失败的转换申请，基金管理人不进行上述强制赎回的处理。</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b/>
          <w:kern w:val="0"/>
          <w:sz w:val="24"/>
        </w:rPr>
        <w:t>（五）申购和赎回的程序</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1、申购和赎回的申请方式</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投资人必须根据销售机构规定的程序，在开放日的具体业务办理时间内提出申购或赎回的申请。投资人在提交申购申请时须按销售机构规定的方式备足申购资金，投资人在提交赎回申请时须持有足够的基金份额余额，否则所提交的申购、赎回申请无效。</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2、申购和赎回申请的确认</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基金管理人应以交易时间结束前受理有效申购和赎回申请的当天作为申购或赎回申请日（T日），在正常情况下，本基金登记机构在T+1日（包括该日）内对该交易的有效性进行确认。T日提交的有效申请，投资人可在T+2日后（包括该日）到销售网点柜台或以销售机构规定的其他方式查询申请的确认情况。若申购不成功，则申购款项退还给投资人。</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基金管理人可在法律法规允许的范围内，依法对上述申购和赎回申请的确认时间进行调整，并必须在调整实施日前按照《信息披露办法》的有关规定在指定媒介上公告并报中国证监会备案。</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销售机构对申购、赎回申请的受理并不代表该申请一定成功，而仅代表销售机构确实接收到申购、赎回申请。申购、赎回申请的确认以登记机构的确认结果为准。对于申请的确认情况，投资者应及时查询。</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3、申购和赎回的款项支付</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投资人申购基金份额时，必须全额交付申购款项，若申购资金在规定时间内未全额到账则申购不成功。</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投资人赎回申请成功后，基金管理人将在T＋7日（包括该日）内支付赎回款项。在发生巨额赎回时，款项的支付办法参照本基金合同有关条款处理。</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4、申购和赎回的注册登记</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（1）投资人T日申购基金成功后，正常情况下，登记机构在T＋1日为投资人增加权益并办理注册登记手续，投资人自T＋2日起（包括该日）有权赎回该部分基金份额。投资人应及时查询有关申请的确认情况。</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（2）投资人T日赎回基金成功后，正常情况下，登记机构在T＋1日为投资人扣除权益并办理相应的注册登记手续。</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（3）基金管理人可在法律法规允许的范围内，对上述注册登记办理时间进行调整，并于开始实施前按照《信息披露办法》的有关规定在指定媒介上公告并报中国证监会备案。</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b/>
          <w:kern w:val="0"/>
          <w:sz w:val="24"/>
        </w:rPr>
        <w:t>（六）基金的申购费和赎回费</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1、申购费用</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本基金的申购费用由基金申购人承担，不列入基金财产，主要用于本基金的市场推广、销售、登记等各项费用。</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投资人可以多次申购本基金，申购费率按每笔申购申请单独计算。</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本基金的申购费率如下：</w:t>
      </w:r>
    </w:p>
    <w:tbl>
      <w:tblPr>
        <w:tblStyle w:val="14"/>
        <w:tblW w:w="5000" w:type="pct"/>
        <w:tblInd w:w="0" w:type="dxa"/>
        <w:tblLayout w:type="fixed"/>
        <w:tblCellMar>
          <w:top w:w="0" w:type="dxa"/>
          <w:left w:w="0" w:type="dxa"/>
          <w:bottom w:w="0" w:type="dxa"/>
          <w:right w:w="0" w:type="dxa"/>
        </w:tblCellMar>
      </w:tblPr>
      <w:tblGrid>
        <w:gridCol w:w="2890"/>
        <w:gridCol w:w="2890"/>
        <w:gridCol w:w="2890"/>
      </w:tblGrid>
      <w:tr>
        <w:tblPrEx>
          <w:tblCellMar>
            <w:top w:w="0" w:type="dxa"/>
            <w:left w:w="0" w:type="dxa"/>
            <w:bottom w:w="0" w:type="dxa"/>
            <w:right w:w="0" w:type="dxa"/>
          </w:tblCellMar>
        </w:tblPrEx>
        <w:trPr>
          <w:cantSplit/>
          <w:trHeight w:val="375" w:hRule="atLeast"/>
        </w:trPr>
        <w:tc>
          <w:tcPr>
            <w:tcW w:w="7" w:type="dxa"/>
            <w:vMerge w:val="restart"/>
            <w:tcBorders>
              <w:top w:val="single" w:color="auto" w:sz="4" w:space="0"/>
              <w:left w:val="single" w:color="auto" w:sz="4" w:space="0"/>
              <w:bottom w:val="single" w:color="auto" w:sz="4" w:space="0"/>
              <w:right w:val="single" w:color="auto" w:sz="4" w:space="0"/>
            </w:tcBorders>
            <w:vAlign w:val="center"/>
          </w:tcPr>
          <w:p>
            <w:pPr>
              <w:spacing w:after="0" w:line="240" w:lineRule="auto"/>
              <w:jc w:val="center"/>
            </w:pPr>
            <w:r>
              <w:rPr>
                <w:rFonts w:ascii="宋体" w:hAnsi="宋体"/>
                <w:color w:val="000000"/>
                <w:kern w:val="0"/>
                <w:sz w:val="25"/>
                <w:szCs w:val="24"/>
              </w:rPr>
              <w:t>申购费率</w:t>
            </w:r>
          </w:p>
        </w:tc>
        <w:tc>
          <w:tcPr>
            <w:tcW w:w="7" w:type="dxa"/>
            <w:tcBorders>
              <w:top w:val="single" w:color="auto" w:sz="4" w:space="0"/>
              <w:left w:val="single" w:color="auto" w:sz="4" w:space="0"/>
              <w:bottom w:val="single" w:color="auto" w:sz="4" w:space="0"/>
              <w:right w:val="single" w:color="auto" w:sz="4" w:space="0"/>
            </w:tcBorders>
            <w:vAlign w:val="center"/>
          </w:tcPr>
          <w:p>
            <w:pPr>
              <w:widowControl/>
              <w:snapToGrid w:val="0"/>
              <w:spacing w:after="0" w:line="240" w:lineRule="auto"/>
              <w:jc w:val="center"/>
              <w:rPr>
                <w:rFonts w:ascii="宋体" w:hAnsi="宋体"/>
                <w:color w:val="000000"/>
                <w:kern w:val="0"/>
                <w:sz w:val="24"/>
                <w:szCs w:val="24"/>
              </w:rPr>
            </w:pPr>
            <w:r>
              <w:rPr>
                <w:rFonts w:ascii="宋体" w:hAnsi="宋体"/>
                <w:color w:val="000000"/>
                <w:kern w:val="0"/>
                <w:sz w:val="24"/>
                <w:szCs w:val="24"/>
              </w:rPr>
              <w:t>申购金额（含申购费）</w:t>
            </w:r>
          </w:p>
        </w:tc>
        <w:tc>
          <w:tcPr>
            <w:tcW w:w="7" w:type="dxa"/>
            <w:tcBorders>
              <w:top w:val="single" w:color="auto" w:sz="4" w:space="0"/>
              <w:left w:val="single" w:color="auto" w:sz="4" w:space="0"/>
              <w:bottom w:val="single" w:color="auto" w:sz="4" w:space="0"/>
              <w:right w:val="single" w:color="auto" w:sz="4" w:space="0"/>
            </w:tcBorders>
            <w:vAlign w:val="center"/>
          </w:tcPr>
          <w:p>
            <w:pPr>
              <w:widowControl/>
              <w:snapToGrid w:val="0"/>
              <w:spacing w:after="0" w:line="240" w:lineRule="auto"/>
              <w:jc w:val="center"/>
              <w:rPr>
                <w:rFonts w:ascii="宋体" w:hAnsi="宋体"/>
                <w:color w:val="000000"/>
                <w:kern w:val="0"/>
                <w:sz w:val="24"/>
                <w:szCs w:val="24"/>
              </w:rPr>
            </w:pPr>
            <w:r>
              <w:rPr>
                <w:rFonts w:ascii="宋体" w:hAnsi="宋体"/>
                <w:color w:val="000000"/>
                <w:kern w:val="0"/>
                <w:sz w:val="24"/>
                <w:szCs w:val="24"/>
              </w:rPr>
              <w:t>申购费率</w:t>
            </w:r>
          </w:p>
        </w:tc>
      </w:tr>
      <w:tr>
        <w:tblPrEx>
          <w:tblCellMar>
            <w:top w:w="0" w:type="dxa"/>
            <w:left w:w="0" w:type="dxa"/>
            <w:bottom w:w="0" w:type="dxa"/>
            <w:right w:w="0" w:type="dxa"/>
          </w:tblCellMar>
        </w:tblPrEx>
        <w:trPr>
          <w:cantSplit/>
          <w:trHeight w:val="375" w:hRule="atLeast"/>
        </w:trPr>
        <w:tc>
          <w:tcPr>
            <w:tcW w:w="7" w:type="dxa"/>
            <w:vMerge w:val="continue"/>
            <w:tcBorders>
              <w:top w:val="single" w:color="auto" w:sz="4" w:space="0"/>
              <w:left w:val="single" w:color="auto" w:sz="4" w:space="0"/>
              <w:bottom w:val="single" w:color="auto" w:sz="4" w:space="0"/>
              <w:right w:val="single" w:color="auto" w:sz="4" w:space="0"/>
            </w:tcBorders>
            <w:vAlign w:val="center"/>
          </w:tcPr>
          <w:p>
            <w:pPr>
              <w:widowControl/>
              <w:snapToGrid w:val="0"/>
              <w:spacing w:after="0" w:line="240" w:lineRule="auto"/>
              <w:jc w:val="center"/>
              <w:rPr>
                <w:rFonts w:ascii="宋体" w:hAnsi="宋体"/>
                <w:color w:val="000000"/>
                <w:kern w:val="0"/>
                <w:sz w:val="24"/>
                <w:szCs w:val="24"/>
              </w:rPr>
            </w:pPr>
          </w:p>
        </w:tc>
        <w:tc>
          <w:tcPr>
            <w:tcW w:w="7" w:type="dxa"/>
            <w:tcBorders>
              <w:top w:val="single" w:color="auto" w:sz="4" w:space="0"/>
              <w:left w:val="single" w:color="auto" w:sz="4" w:space="0"/>
              <w:bottom w:val="single" w:color="auto" w:sz="4" w:space="0"/>
              <w:right w:val="single" w:color="auto" w:sz="4" w:space="0"/>
            </w:tcBorders>
            <w:vAlign w:val="center"/>
          </w:tcPr>
          <w:p>
            <w:pPr>
              <w:spacing w:after="0" w:line="240" w:lineRule="auto"/>
              <w:jc w:val="left"/>
            </w:pPr>
            <w:r>
              <w:rPr>
                <w:rFonts w:ascii="宋体" w:hAnsi="宋体"/>
                <w:color w:val="000000"/>
                <w:kern w:val="0"/>
                <w:sz w:val="25"/>
                <w:szCs w:val="24"/>
              </w:rPr>
              <w:t>50万元以下</w:t>
            </w:r>
          </w:p>
        </w:tc>
        <w:tc>
          <w:tcPr>
            <w:tcW w:w="7" w:type="dxa"/>
            <w:tcBorders>
              <w:top w:val="single" w:color="auto" w:sz="4" w:space="0"/>
              <w:left w:val="single" w:color="auto" w:sz="4" w:space="0"/>
              <w:bottom w:val="single" w:color="auto" w:sz="4" w:space="0"/>
              <w:right w:val="single" w:color="auto" w:sz="4" w:space="0"/>
            </w:tcBorders>
            <w:vAlign w:val="center"/>
          </w:tcPr>
          <w:p>
            <w:pPr>
              <w:widowControl/>
              <w:snapToGrid w:val="0"/>
              <w:spacing w:after="0" w:line="240" w:lineRule="auto"/>
              <w:jc w:val="center"/>
              <w:rPr>
                <w:rFonts w:ascii="宋体" w:hAnsi="宋体"/>
                <w:color w:val="000000"/>
                <w:kern w:val="0"/>
                <w:sz w:val="24"/>
                <w:szCs w:val="24"/>
              </w:rPr>
            </w:pPr>
            <w:r>
              <w:rPr>
                <w:rFonts w:ascii="宋体" w:hAnsi="宋体"/>
                <w:color w:val="000000"/>
                <w:kern w:val="0"/>
                <w:sz w:val="24"/>
                <w:szCs w:val="24"/>
              </w:rPr>
              <w:t>1.5%</w:t>
            </w:r>
          </w:p>
        </w:tc>
      </w:tr>
      <w:tr>
        <w:tblPrEx>
          <w:tblCellMar>
            <w:top w:w="0" w:type="dxa"/>
            <w:left w:w="0" w:type="dxa"/>
            <w:bottom w:w="0" w:type="dxa"/>
            <w:right w:w="0" w:type="dxa"/>
          </w:tblCellMar>
        </w:tblPrEx>
        <w:trPr>
          <w:cantSplit/>
          <w:trHeight w:val="375" w:hRule="atLeast"/>
        </w:trPr>
        <w:tc>
          <w:tcPr>
            <w:tcW w:w="7" w:type="dxa"/>
            <w:vMerge w:val="continue"/>
            <w:tcBorders>
              <w:top w:val="single" w:color="auto" w:sz="4" w:space="0"/>
              <w:left w:val="single" w:color="auto" w:sz="4" w:space="0"/>
              <w:bottom w:val="single" w:color="auto" w:sz="4" w:space="0"/>
              <w:right w:val="single" w:color="auto" w:sz="4" w:space="0"/>
            </w:tcBorders>
            <w:vAlign w:val="center"/>
          </w:tcPr>
          <w:p>
            <w:pPr>
              <w:widowControl/>
              <w:snapToGrid w:val="0"/>
              <w:spacing w:after="0" w:line="240" w:lineRule="auto"/>
              <w:jc w:val="center"/>
              <w:rPr>
                <w:rFonts w:ascii="宋体" w:hAnsi="宋体"/>
                <w:color w:val="000000"/>
                <w:kern w:val="0"/>
                <w:sz w:val="24"/>
                <w:szCs w:val="24"/>
              </w:rPr>
            </w:pPr>
          </w:p>
        </w:tc>
        <w:tc>
          <w:tcPr>
            <w:tcW w:w="7" w:type="dxa"/>
            <w:tcBorders>
              <w:top w:val="single" w:color="auto" w:sz="4" w:space="0"/>
              <w:left w:val="single" w:color="auto" w:sz="4" w:space="0"/>
              <w:bottom w:val="single" w:color="auto" w:sz="4" w:space="0"/>
              <w:right w:val="single" w:color="auto" w:sz="4" w:space="0"/>
            </w:tcBorders>
            <w:vAlign w:val="center"/>
          </w:tcPr>
          <w:p>
            <w:pPr>
              <w:spacing w:after="0" w:line="240" w:lineRule="auto"/>
              <w:jc w:val="left"/>
            </w:pPr>
            <w:r>
              <w:rPr>
                <w:rFonts w:ascii="宋体" w:hAnsi="宋体"/>
                <w:color w:val="000000"/>
                <w:kern w:val="0"/>
                <w:sz w:val="25"/>
                <w:szCs w:val="24"/>
              </w:rPr>
              <w:t>50万元（含）至100万元</w:t>
            </w:r>
          </w:p>
        </w:tc>
        <w:tc>
          <w:tcPr>
            <w:tcW w:w="7" w:type="dxa"/>
            <w:tcBorders>
              <w:top w:val="single" w:color="auto" w:sz="4" w:space="0"/>
              <w:left w:val="single" w:color="auto" w:sz="4" w:space="0"/>
              <w:bottom w:val="single" w:color="auto" w:sz="4" w:space="0"/>
              <w:right w:val="single" w:color="auto" w:sz="4" w:space="0"/>
            </w:tcBorders>
            <w:vAlign w:val="center"/>
          </w:tcPr>
          <w:p>
            <w:pPr>
              <w:widowControl/>
              <w:snapToGrid w:val="0"/>
              <w:spacing w:after="0" w:line="240" w:lineRule="auto"/>
              <w:jc w:val="center"/>
              <w:rPr>
                <w:rFonts w:ascii="宋体" w:hAnsi="宋体"/>
                <w:color w:val="000000"/>
                <w:kern w:val="0"/>
                <w:sz w:val="24"/>
                <w:szCs w:val="24"/>
              </w:rPr>
            </w:pPr>
            <w:r>
              <w:rPr>
                <w:rFonts w:ascii="宋体" w:hAnsi="宋体"/>
                <w:color w:val="000000"/>
                <w:kern w:val="0"/>
                <w:sz w:val="24"/>
                <w:szCs w:val="24"/>
              </w:rPr>
              <w:t>1.2%</w:t>
            </w:r>
          </w:p>
        </w:tc>
      </w:tr>
      <w:tr>
        <w:tblPrEx>
          <w:tblCellMar>
            <w:top w:w="0" w:type="dxa"/>
            <w:left w:w="0" w:type="dxa"/>
            <w:bottom w:w="0" w:type="dxa"/>
            <w:right w:w="0" w:type="dxa"/>
          </w:tblCellMar>
        </w:tblPrEx>
        <w:trPr>
          <w:cantSplit/>
          <w:trHeight w:val="375" w:hRule="atLeast"/>
        </w:trPr>
        <w:tc>
          <w:tcPr>
            <w:tcW w:w="7" w:type="dxa"/>
            <w:vMerge w:val="continue"/>
            <w:tcBorders>
              <w:top w:val="single" w:color="auto" w:sz="4" w:space="0"/>
              <w:left w:val="single" w:color="auto" w:sz="4" w:space="0"/>
              <w:bottom w:val="single" w:color="auto" w:sz="4" w:space="0"/>
              <w:right w:val="single" w:color="auto" w:sz="4" w:space="0"/>
            </w:tcBorders>
            <w:vAlign w:val="center"/>
          </w:tcPr>
          <w:p>
            <w:pPr>
              <w:widowControl/>
              <w:snapToGrid w:val="0"/>
              <w:spacing w:after="0" w:line="240" w:lineRule="auto"/>
              <w:jc w:val="center"/>
              <w:rPr>
                <w:rFonts w:ascii="宋体" w:hAnsi="宋体"/>
                <w:color w:val="000000"/>
                <w:kern w:val="0"/>
                <w:sz w:val="24"/>
                <w:szCs w:val="24"/>
              </w:rPr>
            </w:pPr>
          </w:p>
        </w:tc>
        <w:tc>
          <w:tcPr>
            <w:tcW w:w="7" w:type="dxa"/>
            <w:tcBorders>
              <w:top w:val="single" w:color="auto" w:sz="4" w:space="0"/>
              <w:left w:val="single" w:color="auto" w:sz="4" w:space="0"/>
              <w:bottom w:val="single" w:color="auto" w:sz="4" w:space="0"/>
              <w:right w:val="single" w:color="auto" w:sz="4" w:space="0"/>
            </w:tcBorders>
            <w:vAlign w:val="center"/>
          </w:tcPr>
          <w:p>
            <w:pPr>
              <w:spacing w:after="0" w:line="240" w:lineRule="auto"/>
              <w:jc w:val="left"/>
            </w:pPr>
            <w:r>
              <w:rPr>
                <w:rFonts w:ascii="宋体" w:hAnsi="宋体"/>
                <w:color w:val="000000"/>
                <w:kern w:val="0"/>
                <w:sz w:val="25"/>
                <w:szCs w:val="24"/>
              </w:rPr>
              <w:t>100万元（含）至200万元</w:t>
            </w:r>
          </w:p>
        </w:tc>
        <w:tc>
          <w:tcPr>
            <w:tcW w:w="7" w:type="dxa"/>
            <w:tcBorders>
              <w:top w:val="single" w:color="auto" w:sz="4" w:space="0"/>
              <w:left w:val="single" w:color="auto" w:sz="4" w:space="0"/>
              <w:bottom w:val="single" w:color="auto" w:sz="4" w:space="0"/>
              <w:right w:val="single" w:color="auto" w:sz="4" w:space="0"/>
            </w:tcBorders>
            <w:vAlign w:val="center"/>
          </w:tcPr>
          <w:p>
            <w:pPr>
              <w:widowControl/>
              <w:snapToGrid w:val="0"/>
              <w:spacing w:after="0" w:line="240" w:lineRule="auto"/>
              <w:jc w:val="center"/>
              <w:rPr>
                <w:rFonts w:ascii="宋体" w:hAnsi="宋体"/>
                <w:color w:val="000000"/>
                <w:kern w:val="0"/>
                <w:sz w:val="24"/>
                <w:szCs w:val="24"/>
              </w:rPr>
            </w:pPr>
            <w:r>
              <w:rPr>
                <w:rFonts w:ascii="宋体" w:hAnsi="宋体"/>
                <w:color w:val="000000"/>
                <w:kern w:val="0"/>
                <w:sz w:val="24"/>
                <w:szCs w:val="24"/>
              </w:rPr>
              <w:t>0.8%</w:t>
            </w:r>
          </w:p>
        </w:tc>
      </w:tr>
      <w:tr>
        <w:tblPrEx>
          <w:tblCellMar>
            <w:top w:w="0" w:type="dxa"/>
            <w:left w:w="0" w:type="dxa"/>
            <w:bottom w:w="0" w:type="dxa"/>
            <w:right w:w="0" w:type="dxa"/>
          </w:tblCellMar>
        </w:tblPrEx>
        <w:trPr>
          <w:cantSplit/>
          <w:trHeight w:val="375" w:hRule="atLeast"/>
        </w:trPr>
        <w:tc>
          <w:tcPr>
            <w:tcW w:w="7" w:type="dxa"/>
            <w:vMerge w:val="continue"/>
            <w:tcBorders>
              <w:top w:val="single" w:color="auto" w:sz="4" w:space="0"/>
              <w:left w:val="single" w:color="auto" w:sz="4" w:space="0"/>
              <w:bottom w:val="single" w:color="auto" w:sz="4" w:space="0"/>
              <w:right w:val="single" w:color="auto" w:sz="4" w:space="0"/>
            </w:tcBorders>
            <w:vAlign w:val="center"/>
          </w:tcPr>
          <w:p>
            <w:pPr>
              <w:widowControl/>
              <w:snapToGrid w:val="0"/>
              <w:spacing w:after="0" w:line="240" w:lineRule="auto"/>
              <w:jc w:val="center"/>
              <w:rPr>
                <w:rFonts w:ascii="宋体" w:hAnsi="宋体"/>
                <w:color w:val="000000"/>
                <w:kern w:val="0"/>
                <w:sz w:val="24"/>
                <w:szCs w:val="24"/>
              </w:rPr>
            </w:pPr>
          </w:p>
        </w:tc>
        <w:tc>
          <w:tcPr>
            <w:tcW w:w="7" w:type="dxa"/>
            <w:tcBorders>
              <w:top w:val="single" w:color="auto" w:sz="4" w:space="0"/>
              <w:left w:val="single" w:color="auto" w:sz="4" w:space="0"/>
              <w:bottom w:val="single" w:color="auto" w:sz="4" w:space="0"/>
              <w:right w:val="single" w:color="auto" w:sz="4" w:space="0"/>
            </w:tcBorders>
            <w:vAlign w:val="center"/>
          </w:tcPr>
          <w:p>
            <w:pPr>
              <w:spacing w:after="0" w:line="240" w:lineRule="auto"/>
              <w:jc w:val="left"/>
            </w:pPr>
            <w:r>
              <w:rPr>
                <w:rFonts w:ascii="宋体" w:hAnsi="宋体"/>
                <w:color w:val="000000"/>
                <w:kern w:val="0"/>
                <w:sz w:val="25"/>
                <w:szCs w:val="24"/>
              </w:rPr>
              <w:t>200万元（含）至500万元</w:t>
            </w:r>
          </w:p>
        </w:tc>
        <w:tc>
          <w:tcPr>
            <w:tcW w:w="7" w:type="dxa"/>
            <w:tcBorders>
              <w:top w:val="single" w:color="auto" w:sz="4" w:space="0"/>
              <w:left w:val="single" w:color="auto" w:sz="4" w:space="0"/>
              <w:bottom w:val="single" w:color="auto" w:sz="4" w:space="0"/>
              <w:right w:val="single" w:color="auto" w:sz="4" w:space="0"/>
            </w:tcBorders>
            <w:vAlign w:val="center"/>
          </w:tcPr>
          <w:p>
            <w:pPr>
              <w:widowControl/>
              <w:snapToGrid w:val="0"/>
              <w:spacing w:after="0" w:line="240" w:lineRule="auto"/>
              <w:jc w:val="center"/>
              <w:rPr>
                <w:rFonts w:ascii="宋体" w:hAnsi="宋体"/>
                <w:color w:val="000000"/>
                <w:kern w:val="0"/>
                <w:sz w:val="24"/>
                <w:szCs w:val="24"/>
              </w:rPr>
            </w:pPr>
            <w:r>
              <w:rPr>
                <w:rFonts w:ascii="宋体" w:hAnsi="宋体"/>
                <w:color w:val="000000"/>
                <w:kern w:val="0"/>
                <w:sz w:val="24"/>
                <w:szCs w:val="24"/>
              </w:rPr>
              <w:t>0.5%</w:t>
            </w:r>
          </w:p>
        </w:tc>
      </w:tr>
      <w:tr>
        <w:tblPrEx>
          <w:tblCellMar>
            <w:top w:w="0" w:type="dxa"/>
            <w:left w:w="0" w:type="dxa"/>
            <w:bottom w:w="0" w:type="dxa"/>
            <w:right w:w="0" w:type="dxa"/>
          </w:tblCellMar>
        </w:tblPrEx>
        <w:trPr>
          <w:cantSplit/>
          <w:trHeight w:val="375" w:hRule="atLeast"/>
        </w:trPr>
        <w:tc>
          <w:tcPr>
            <w:tcW w:w="7" w:type="dxa"/>
            <w:vMerge w:val="continue"/>
            <w:tcBorders>
              <w:top w:val="single" w:color="auto" w:sz="4" w:space="0"/>
              <w:left w:val="single" w:color="auto" w:sz="4" w:space="0"/>
              <w:bottom w:val="single" w:color="auto" w:sz="4" w:space="0"/>
              <w:right w:val="single" w:color="auto" w:sz="4" w:space="0"/>
            </w:tcBorders>
            <w:vAlign w:val="center"/>
          </w:tcPr>
          <w:p>
            <w:pPr>
              <w:widowControl/>
              <w:snapToGrid w:val="0"/>
              <w:spacing w:after="0" w:line="240" w:lineRule="auto"/>
              <w:jc w:val="center"/>
              <w:rPr>
                <w:rFonts w:ascii="宋体" w:hAnsi="宋体"/>
                <w:color w:val="000000"/>
                <w:kern w:val="0"/>
                <w:sz w:val="24"/>
                <w:szCs w:val="24"/>
              </w:rPr>
            </w:pPr>
          </w:p>
        </w:tc>
        <w:tc>
          <w:tcPr>
            <w:tcW w:w="7" w:type="dxa"/>
            <w:tcBorders>
              <w:top w:val="single" w:color="auto" w:sz="4" w:space="0"/>
              <w:left w:val="single" w:color="auto" w:sz="4" w:space="0"/>
              <w:bottom w:val="single" w:color="auto" w:sz="4" w:space="0"/>
              <w:right w:val="single" w:color="auto" w:sz="4" w:space="0"/>
            </w:tcBorders>
            <w:vAlign w:val="center"/>
          </w:tcPr>
          <w:p>
            <w:pPr>
              <w:spacing w:after="0" w:line="240" w:lineRule="auto"/>
              <w:jc w:val="left"/>
            </w:pPr>
            <w:r>
              <w:rPr>
                <w:rFonts w:ascii="宋体" w:hAnsi="宋体"/>
                <w:color w:val="000000"/>
                <w:kern w:val="0"/>
                <w:sz w:val="25"/>
                <w:szCs w:val="24"/>
              </w:rPr>
              <w:t>500万元以上（含500万）</w:t>
            </w:r>
          </w:p>
        </w:tc>
        <w:tc>
          <w:tcPr>
            <w:tcW w:w="7" w:type="dxa"/>
            <w:tcBorders>
              <w:top w:val="single" w:color="auto" w:sz="4" w:space="0"/>
              <w:left w:val="single" w:color="auto" w:sz="4" w:space="0"/>
              <w:bottom w:val="single" w:color="auto" w:sz="4" w:space="0"/>
              <w:right w:val="single" w:color="auto" w:sz="4" w:space="0"/>
            </w:tcBorders>
            <w:vAlign w:val="center"/>
          </w:tcPr>
          <w:p>
            <w:pPr>
              <w:widowControl/>
              <w:snapToGrid w:val="0"/>
              <w:spacing w:after="0" w:line="240" w:lineRule="auto"/>
              <w:jc w:val="center"/>
              <w:rPr>
                <w:rFonts w:ascii="宋体" w:hAnsi="宋体"/>
                <w:color w:val="000000"/>
                <w:kern w:val="0"/>
                <w:sz w:val="24"/>
                <w:szCs w:val="24"/>
              </w:rPr>
            </w:pPr>
            <w:r>
              <w:rPr>
                <w:rFonts w:ascii="宋体" w:hAnsi="宋体"/>
                <w:color w:val="000000"/>
                <w:kern w:val="0"/>
                <w:sz w:val="24"/>
                <w:szCs w:val="24"/>
              </w:rPr>
              <w:t>每笔交易1000元</w:t>
            </w:r>
          </w:p>
        </w:tc>
      </w:tr>
    </w:tbl>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因红利自动再投资而产生的基金份额，不收取相应的申购费用。</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投资者通过直销机构交易享有的交易费率优惠情况请见本基金管理人的有关公告或本基金管理人网站。本基金管理人基金网上直销业务已开通的银行卡及各银行卡交易金额限额请参阅本基金管理人网站。</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2、赎回费用</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赎回费用由赎回基金份额的基金份额持有人承担，在基金份额持有人赎回基金份额时收取，不低于赎回费总额的25%应归基金财产，其余用于支付登记费和其他必要的手续费。其中，对持续持有期少于7日的基金份额持有人收取不低于1.5%的赎回费并全额计入基金财产。</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本基金的赎回费率如下：</w:t>
      </w:r>
    </w:p>
    <w:tbl>
      <w:tblPr>
        <w:tblStyle w:val="14"/>
        <w:tblW w:w="5000" w:type="pct"/>
        <w:tblInd w:w="0" w:type="dxa"/>
        <w:tblLayout w:type="fixed"/>
        <w:tblCellMar>
          <w:top w:w="0" w:type="dxa"/>
          <w:left w:w="0" w:type="dxa"/>
          <w:bottom w:w="0" w:type="dxa"/>
          <w:right w:w="0" w:type="dxa"/>
        </w:tblCellMar>
      </w:tblPr>
      <w:tblGrid>
        <w:gridCol w:w="2890"/>
        <w:gridCol w:w="2890"/>
        <w:gridCol w:w="2890"/>
      </w:tblGrid>
      <w:tr>
        <w:tblPrEx>
          <w:tblCellMar>
            <w:top w:w="0" w:type="dxa"/>
            <w:left w:w="0" w:type="dxa"/>
            <w:bottom w:w="0" w:type="dxa"/>
            <w:right w:w="0" w:type="dxa"/>
          </w:tblCellMar>
        </w:tblPrEx>
        <w:trPr>
          <w:cantSplit/>
          <w:trHeight w:val="375" w:hRule="atLeast"/>
        </w:trPr>
        <w:tc>
          <w:tcPr>
            <w:tcW w:w="7" w:type="dxa"/>
            <w:vMerge w:val="restart"/>
            <w:tcBorders>
              <w:top w:val="single" w:color="auto" w:sz="4" w:space="0"/>
              <w:left w:val="single" w:color="auto" w:sz="4" w:space="0"/>
              <w:bottom w:val="single" w:color="auto" w:sz="4" w:space="0"/>
              <w:right w:val="single" w:color="auto" w:sz="4" w:space="0"/>
            </w:tcBorders>
            <w:vAlign w:val="center"/>
          </w:tcPr>
          <w:p>
            <w:pPr>
              <w:spacing w:after="0" w:line="240" w:lineRule="auto"/>
              <w:jc w:val="center"/>
            </w:pPr>
            <w:r>
              <w:rPr>
                <w:rFonts w:ascii="宋体" w:hAnsi="宋体"/>
                <w:color w:val="000000"/>
                <w:kern w:val="0"/>
                <w:sz w:val="25"/>
                <w:szCs w:val="24"/>
              </w:rPr>
              <w:t>赎回费率</w:t>
            </w:r>
          </w:p>
        </w:tc>
        <w:tc>
          <w:tcPr>
            <w:tcW w:w="7" w:type="dxa"/>
            <w:tcBorders>
              <w:top w:val="single" w:color="auto" w:sz="4" w:space="0"/>
              <w:left w:val="single" w:color="auto" w:sz="4" w:space="0"/>
              <w:bottom w:val="single" w:color="auto" w:sz="4" w:space="0"/>
              <w:right w:val="single" w:color="auto" w:sz="4" w:space="0"/>
            </w:tcBorders>
            <w:vAlign w:val="center"/>
          </w:tcPr>
          <w:p>
            <w:pPr>
              <w:widowControl/>
              <w:snapToGrid w:val="0"/>
              <w:spacing w:after="0" w:line="240" w:lineRule="auto"/>
              <w:jc w:val="center"/>
              <w:rPr>
                <w:rFonts w:ascii="宋体" w:hAnsi="宋体"/>
                <w:color w:val="000000"/>
                <w:kern w:val="0"/>
                <w:sz w:val="24"/>
                <w:szCs w:val="24"/>
              </w:rPr>
            </w:pPr>
            <w:r>
              <w:rPr>
                <w:rFonts w:ascii="宋体" w:hAnsi="宋体"/>
                <w:color w:val="000000"/>
                <w:kern w:val="0"/>
                <w:sz w:val="24"/>
                <w:szCs w:val="24"/>
              </w:rPr>
              <w:t>持有期限</w:t>
            </w:r>
          </w:p>
        </w:tc>
        <w:tc>
          <w:tcPr>
            <w:tcW w:w="7" w:type="dxa"/>
            <w:tcBorders>
              <w:top w:val="single" w:color="auto" w:sz="4" w:space="0"/>
              <w:left w:val="single" w:color="auto" w:sz="4" w:space="0"/>
              <w:bottom w:val="single" w:color="auto" w:sz="4" w:space="0"/>
              <w:right w:val="single" w:color="auto" w:sz="4" w:space="0"/>
            </w:tcBorders>
            <w:vAlign w:val="center"/>
          </w:tcPr>
          <w:p>
            <w:pPr>
              <w:widowControl/>
              <w:snapToGrid w:val="0"/>
              <w:spacing w:after="0" w:line="240" w:lineRule="auto"/>
              <w:jc w:val="center"/>
              <w:rPr>
                <w:rFonts w:ascii="宋体" w:hAnsi="宋体"/>
                <w:color w:val="000000"/>
                <w:kern w:val="0"/>
                <w:sz w:val="24"/>
                <w:szCs w:val="24"/>
              </w:rPr>
            </w:pPr>
            <w:r>
              <w:rPr>
                <w:rFonts w:ascii="宋体" w:hAnsi="宋体"/>
                <w:color w:val="000000"/>
                <w:kern w:val="0"/>
                <w:sz w:val="24"/>
                <w:szCs w:val="24"/>
              </w:rPr>
              <w:t>赎回费率</w:t>
            </w:r>
          </w:p>
        </w:tc>
      </w:tr>
      <w:tr>
        <w:tblPrEx>
          <w:tblCellMar>
            <w:top w:w="0" w:type="dxa"/>
            <w:left w:w="0" w:type="dxa"/>
            <w:bottom w:w="0" w:type="dxa"/>
            <w:right w:w="0" w:type="dxa"/>
          </w:tblCellMar>
        </w:tblPrEx>
        <w:trPr>
          <w:cantSplit/>
          <w:trHeight w:val="375" w:hRule="atLeast"/>
        </w:trPr>
        <w:tc>
          <w:tcPr>
            <w:tcW w:w="7" w:type="dxa"/>
            <w:vMerge w:val="continue"/>
            <w:tcBorders>
              <w:top w:val="single" w:color="auto" w:sz="4" w:space="0"/>
              <w:left w:val="single" w:color="auto" w:sz="4" w:space="0"/>
              <w:bottom w:val="single" w:color="auto" w:sz="4" w:space="0"/>
              <w:right w:val="single" w:color="auto" w:sz="4" w:space="0"/>
            </w:tcBorders>
            <w:vAlign w:val="center"/>
          </w:tcPr>
          <w:p>
            <w:pPr>
              <w:widowControl/>
              <w:snapToGrid w:val="0"/>
              <w:spacing w:after="0" w:line="240" w:lineRule="auto"/>
              <w:jc w:val="center"/>
              <w:rPr>
                <w:rFonts w:ascii="宋体" w:hAnsi="宋体"/>
                <w:color w:val="000000"/>
                <w:kern w:val="0"/>
                <w:sz w:val="24"/>
                <w:szCs w:val="24"/>
              </w:rPr>
            </w:pPr>
          </w:p>
        </w:tc>
        <w:tc>
          <w:tcPr>
            <w:tcW w:w="7" w:type="dxa"/>
            <w:tcBorders>
              <w:top w:val="single" w:color="auto" w:sz="4" w:space="0"/>
              <w:left w:val="single" w:color="auto" w:sz="4" w:space="0"/>
              <w:bottom w:val="single" w:color="auto" w:sz="4" w:space="0"/>
              <w:right w:val="single" w:color="auto" w:sz="4" w:space="0"/>
            </w:tcBorders>
            <w:vAlign w:val="center"/>
          </w:tcPr>
          <w:p>
            <w:pPr>
              <w:spacing w:after="0" w:line="240" w:lineRule="auto"/>
              <w:jc w:val="left"/>
            </w:pPr>
            <w:r>
              <w:rPr>
                <w:rFonts w:ascii="宋体" w:hAnsi="宋体"/>
                <w:color w:val="000000"/>
                <w:kern w:val="0"/>
                <w:sz w:val="25"/>
                <w:szCs w:val="24"/>
              </w:rPr>
              <w:t>7日以内</w:t>
            </w:r>
          </w:p>
        </w:tc>
        <w:tc>
          <w:tcPr>
            <w:tcW w:w="7" w:type="dxa"/>
            <w:tcBorders>
              <w:top w:val="single" w:color="auto" w:sz="4" w:space="0"/>
              <w:left w:val="single" w:color="auto" w:sz="4" w:space="0"/>
              <w:bottom w:val="single" w:color="auto" w:sz="4" w:space="0"/>
              <w:right w:val="single" w:color="auto" w:sz="4" w:space="0"/>
            </w:tcBorders>
            <w:vAlign w:val="center"/>
          </w:tcPr>
          <w:p>
            <w:pPr>
              <w:widowControl/>
              <w:snapToGrid w:val="0"/>
              <w:spacing w:after="0" w:line="240" w:lineRule="auto"/>
              <w:jc w:val="center"/>
              <w:rPr>
                <w:rFonts w:ascii="宋体" w:hAnsi="宋体"/>
                <w:color w:val="000000"/>
                <w:kern w:val="0"/>
                <w:sz w:val="24"/>
                <w:szCs w:val="24"/>
              </w:rPr>
            </w:pPr>
            <w:r>
              <w:rPr>
                <w:rFonts w:ascii="宋体" w:hAnsi="宋体"/>
                <w:color w:val="000000"/>
                <w:kern w:val="0"/>
                <w:sz w:val="24"/>
                <w:szCs w:val="24"/>
              </w:rPr>
              <w:t>1.5%</w:t>
            </w:r>
          </w:p>
        </w:tc>
      </w:tr>
      <w:tr>
        <w:tblPrEx>
          <w:tblCellMar>
            <w:top w:w="0" w:type="dxa"/>
            <w:left w:w="0" w:type="dxa"/>
            <w:bottom w:w="0" w:type="dxa"/>
            <w:right w:w="0" w:type="dxa"/>
          </w:tblCellMar>
        </w:tblPrEx>
        <w:trPr>
          <w:cantSplit/>
          <w:trHeight w:val="375" w:hRule="atLeast"/>
        </w:trPr>
        <w:tc>
          <w:tcPr>
            <w:tcW w:w="7" w:type="dxa"/>
            <w:vMerge w:val="continue"/>
            <w:tcBorders>
              <w:top w:val="single" w:color="auto" w:sz="4" w:space="0"/>
              <w:left w:val="single" w:color="auto" w:sz="4" w:space="0"/>
              <w:bottom w:val="single" w:color="auto" w:sz="4" w:space="0"/>
              <w:right w:val="single" w:color="auto" w:sz="4" w:space="0"/>
            </w:tcBorders>
            <w:vAlign w:val="center"/>
          </w:tcPr>
          <w:p>
            <w:pPr>
              <w:widowControl/>
              <w:snapToGrid w:val="0"/>
              <w:spacing w:after="0" w:line="240" w:lineRule="auto"/>
              <w:jc w:val="center"/>
              <w:rPr>
                <w:rFonts w:ascii="宋体" w:hAnsi="宋体"/>
                <w:color w:val="000000"/>
                <w:kern w:val="0"/>
                <w:sz w:val="24"/>
                <w:szCs w:val="24"/>
              </w:rPr>
            </w:pPr>
          </w:p>
        </w:tc>
        <w:tc>
          <w:tcPr>
            <w:tcW w:w="7" w:type="dxa"/>
            <w:tcBorders>
              <w:top w:val="single" w:color="auto" w:sz="4" w:space="0"/>
              <w:left w:val="single" w:color="auto" w:sz="4" w:space="0"/>
              <w:bottom w:val="single" w:color="auto" w:sz="4" w:space="0"/>
              <w:right w:val="single" w:color="auto" w:sz="4" w:space="0"/>
            </w:tcBorders>
            <w:vAlign w:val="center"/>
          </w:tcPr>
          <w:p>
            <w:pPr>
              <w:spacing w:after="0" w:line="240" w:lineRule="auto"/>
              <w:jc w:val="left"/>
            </w:pPr>
            <w:r>
              <w:rPr>
                <w:rFonts w:ascii="宋体" w:hAnsi="宋体"/>
                <w:color w:val="000000"/>
                <w:kern w:val="0"/>
                <w:sz w:val="25"/>
                <w:szCs w:val="24"/>
              </w:rPr>
              <w:t>7日（含）—1年（含）</w:t>
            </w:r>
          </w:p>
        </w:tc>
        <w:tc>
          <w:tcPr>
            <w:tcW w:w="7" w:type="dxa"/>
            <w:tcBorders>
              <w:top w:val="single" w:color="auto" w:sz="4" w:space="0"/>
              <w:left w:val="single" w:color="auto" w:sz="4" w:space="0"/>
              <w:bottom w:val="single" w:color="auto" w:sz="4" w:space="0"/>
              <w:right w:val="single" w:color="auto" w:sz="4" w:space="0"/>
            </w:tcBorders>
            <w:vAlign w:val="center"/>
          </w:tcPr>
          <w:p>
            <w:pPr>
              <w:widowControl/>
              <w:snapToGrid w:val="0"/>
              <w:spacing w:after="0" w:line="240" w:lineRule="auto"/>
              <w:jc w:val="center"/>
              <w:rPr>
                <w:rFonts w:ascii="宋体" w:hAnsi="宋体"/>
                <w:color w:val="000000"/>
                <w:kern w:val="0"/>
                <w:sz w:val="24"/>
                <w:szCs w:val="24"/>
              </w:rPr>
            </w:pPr>
            <w:r>
              <w:rPr>
                <w:rFonts w:ascii="宋体" w:hAnsi="宋体"/>
                <w:color w:val="000000"/>
                <w:kern w:val="0"/>
                <w:sz w:val="24"/>
                <w:szCs w:val="24"/>
              </w:rPr>
              <w:t>0.5%</w:t>
            </w:r>
          </w:p>
        </w:tc>
      </w:tr>
      <w:tr>
        <w:tblPrEx>
          <w:tblCellMar>
            <w:top w:w="0" w:type="dxa"/>
            <w:left w:w="0" w:type="dxa"/>
            <w:bottom w:w="0" w:type="dxa"/>
            <w:right w:w="0" w:type="dxa"/>
          </w:tblCellMar>
        </w:tblPrEx>
        <w:trPr>
          <w:cantSplit/>
          <w:trHeight w:val="375" w:hRule="atLeast"/>
        </w:trPr>
        <w:tc>
          <w:tcPr>
            <w:tcW w:w="7" w:type="dxa"/>
            <w:vMerge w:val="continue"/>
            <w:tcBorders>
              <w:top w:val="single" w:color="auto" w:sz="4" w:space="0"/>
              <w:left w:val="single" w:color="auto" w:sz="4" w:space="0"/>
              <w:bottom w:val="single" w:color="auto" w:sz="4" w:space="0"/>
              <w:right w:val="single" w:color="auto" w:sz="4" w:space="0"/>
            </w:tcBorders>
            <w:vAlign w:val="center"/>
          </w:tcPr>
          <w:p>
            <w:pPr>
              <w:widowControl/>
              <w:snapToGrid w:val="0"/>
              <w:spacing w:after="0" w:line="240" w:lineRule="auto"/>
              <w:jc w:val="center"/>
              <w:rPr>
                <w:rFonts w:ascii="宋体" w:hAnsi="宋体"/>
                <w:color w:val="000000"/>
                <w:kern w:val="0"/>
                <w:sz w:val="24"/>
                <w:szCs w:val="24"/>
              </w:rPr>
            </w:pPr>
          </w:p>
        </w:tc>
        <w:tc>
          <w:tcPr>
            <w:tcW w:w="7" w:type="dxa"/>
            <w:tcBorders>
              <w:top w:val="single" w:color="auto" w:sz="4" w:space="0"/>
              <w:left w:val="single" w:color="auto" w:sz="4" w:space="0"/>
              <w:bottom w:val="single" w:color="auto" w:sz="4" w:space="0"/>
              <w:right w:val="single" w:color="auto" w:sz="4" w:space="0"/>
            </w:tcBorders>
            <w:vAlign w:val="center"/>
          </w:tcPr>
          <w:p>
            <w:pPr>
              <w:spacing w:after="0" w:line="240" w:lineRule="auto"/>
              <w:jc w:val="left"/>
            </w:pPr>
            <w:r>
              <w:rPr>
                <w:rFonts w:ascii="宋体" w:hAnsi="宋体"/>
                <w:color w:val="000000"/>
                <w:kern w:val="0"/>
                <w:sz w:val="25"/>
                <w:szCs w:val="24"/>
              </w:rPr>
              <w:t>1年—2年（含）</w:t>
            </w:r>
          </w:p>
        </w:tc>
        <w:tc>
          <w:tcPr>
            <w:tcW w:w="7" w:type="dxa"/>
            <w:tcBorders>
              <w:top w:val="single" w:color="auto" w:sz="4" w:space="0"/>
              <w:left w:val="single" w:color="auto" w:sz="4" w:space="0"/>
              <w:bottom w:val="single" w:color="auto" w:sz="4" w:space="0"/>
              <w:right w:val="single" w:color="auto" w:sz="4" w:space="0"/>
            </w:tcBorders>
            <w:vAlign w:val="center"/>
          </w:tcPr>
          <w:p>
            <w:pPr>
              <w:widowControl/>
              <w:snapToGrid w:val="0"/>
              <w:spacing w:after="0" w:line="240" w:lineRule="auto"/>
              <w:jc w:val="center"/>
              <w:rPr>
                <w:rFonts w:ascii="宋体" w:hAnsi="宋体"/>
                <w:color w:val="000000"/>
                <w:kern w:val="0"/>
                <w:sz w:val="24"/>
                <w:szCs w:val="24"/>
              </w:rPr>
            </w:pPr>
            <w:r>
              <w:rPr>
                <w:rFonts w:ascii="宋体" w:hAnsi="宋体"/>
                <w:color w:val="000000"/>
                <w:kern w:val="0"/>
                <w:sz w:val="24"/>
                <w:szCs w:val="24"/>
              </w:rPr>
              <w:t>0.2%</w:t>
            </w:r>
          </w:p>
        </w:tc>
      </w:tr>
      <w:tr>
        <w:tblPrEx>
          <w:tblCellMar>
            <w:top w:w="0" w:type="dxa"/>
            <w:left w:w="0" w:type="dxa"/>
            <w:bottom w:w="0" w:type="dxa"/>
            <w:right w:w="0" w:type="dxa"/>
          </w:tblCellMar>
        </w:tblPrEx>
        <w:trPr>
          <w:cantSplit/>
          <w:trHeight w:val="375" w:hRule="atLeast"/>
        </w:trPr>
        <w:tc>
          <w:tcPr>
            <w:tcW w:w="7" w:type="dxa"/>
            <w:vMerge w:val="continue"/>
            <w:tcBorders>
              <w:top w:val="single" w:color="auto" w:sz="4" w:space="0"/>
              <w:left w:val="single" w:color="auto" w:sz="4" w:space="0"/>
              <w:bottom w:val="single" w:color="auto" w:sz="4" w:space="0"/>
              <w:right w:val="single" w:color="auto" w:sz="4" w:space="0"/>
            </w:tcBorders>
            <w:vAlign w:val="center"/>
          </w:tcPr>
          <w:p>
            <w:pPr>
              <w:widowControl/>
              <w:snapToGrid w:val="0"/>
              <w:spacing w:after="0" w:line="240" w:lineRule="auto"/>
              <w:jc w:val="center"/>
              <w:rPr>
                <w:rFonts w:ascii="宋体" w:hAnsi="宋体"/>
                <w:color w:val="000000"/>
                <w:kern w:val="0"/>
                <w:sz w:val="24"/>
                <w:szCs w:val="24"/>
              </w:rPr>
            </w:pPr>
          </w:p>
        </w:tc>
        <w:tc>
          <w:tcPr>
            <w:tcW w:w="7" w:type="dxa"/>
            <w:tcBorders>
              <w:top w:val="single" w:color="auto" w:sz="4" w:space="0"/>
              <w:left w:val="single" w:color="auto" w:sz="4" w:space="0"/>
              <w:bottom w:val="single" w:color="auto" w:sz="4" w:space="0"/>
              <w:right w:val="single" w:color="auto" w:sz="4" w:space="0"/>
            </w:tcBorders>
            <w:vAlign w:val="center"/>
          </w:tcPr>
          <w:p>
            <w:pPr>
              <w:spacing w:after="0" w:line="240" w:lineRule="auto"/>
              <w:jc w:val="left"/>
            </w:pPr>
            <w:r>
              <w:rPr>
                <w:rFonts w:ascii="宋体" w:hAnsi="宋体"/>
                <w:color w:val="000000"/>
                <w:kern w:val="0"/>
                <w:sz w:val="25"/>
                <w:szCs w:val="24"/>
              </w:rPr>
              <w:t>2年以上</w:t>
            </w:r>
          </w:p>
        </w:tc>
        <w:tc>
          <w:tcPr>
            <w:tcW w:w="7" w:type="dxa"/>
            <w:tcBorders>
              <w:top w:val="single" w:color="auto" w:sz="4" w:space="0"/>
              <w:left w:val="single" w:color="auto" w:sz="4" w:space="0"/>
              <w:bottom w:val="single" w:color="auto" w:sz="4" w:space="0"/>
              <w:right w:val="single" w:color="auto" w:sz="4" w:space="0"/>
            </w:tcBorders>
            <w:vAlign w:val="center"/>
          </w:tcPr>
          <w:p>
            <w:pPr>
              <w:widowControl/>
              <w:snapToGrid w:val="0"/>
              <w:spacing w:after="0" w:line="240" w:lineRule="auto"/>
              <w:jc w:val="center"/>
              <w:rPr>
                <w:rFonts w:ascii="宋体" w:hAnsi="宋体"/>
                <w:color w:val="000000"/>
                <w:kern w:val="0"/>
                <w:sz w:val="24"/>
                <w:szCs w:val="24"/>
              </w:rPr>
            </w:pPr>
            <w:r>
              <w:rPr>
                <w:rFonts w:ascii="宋体" w:hAnsi="宋体"/>
                <w:color w:val="000000"/>
                <w:kern w:val="0"/>
                <w:sz w:val="24"/>
                <w:szCs w:val="24"/>
              </w:rPr>
              <w:t>0</w:t>
            </w:r>
          </w:p>
        </w:tc>
      </w:tr>
    </w:tbl>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上表中的“年”指的是365个自然日。</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3、基金管理人可以在基金合同约定的范围内调整费率或收费方式，并最迟应于新的费率或收费方式实施日前依照《信息披露办法》的有关规定在指定媒介上公告。</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4、基金管理人可以在不违背法律法规规定及基金合同约定的情况下根据市场情况制定基金促销计划，针对投资人定期和不定期地开展基金促销活动。在基金促销活动期间，基金管理人可以按中国证监会要求履行必要手续后，对投资人适当调低基金申购费率、赎回费率和转换费率。</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b/>
          <w:kern w:val="0"/>
          <w:sz w:val="24"/>
        </w:rPr>
        <w:t>（七）申购和赎回的数额和价格</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1、申购和赎回数额、余额的处理方式</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1）申购的有效份额为按实际确认的申购金额在扣除相应的费用后，以当日基金份额净值为基准计算，申购份额计算结果保留到小数点后2位，小数点后两位以后的部分四舍五入，由此误差产生的收益或损失由基金财产承担。</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（2）赎回金额为按实际确认的有效赎回份额乘以当日基金份额净值并扣除相应的费用，赎回金额计算结果保留到小数点后2位，小数点后两位以后的部分四舍五入，由此误差产生的收益或损失由基金财产承担。</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2、申购份额的计算</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申购总金额=申请总金额</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净申购金额=申购总金额/（1+申购费率）</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（注：对于适用固定金额申购费用的申购，净申购金额＝申购总金额－固定申购费用金额）</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申购费用=申购总金额-净申购金额</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（注：对于适用固定金额申购费用的申购，申购费用＝固定申购费用金额）</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申购份额=（申购总金额-申购费用）/ T日基金份额净值</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例二：某投资人投资40,000元申购本基金，假设申购当日基金份额净值为1.040元，申购费率为1.5%，则其可得到的申购份额为：</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申购总金额＝40,000元</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净申购金额=40,000/（1+1.5%）=39,408.87元</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申购费用=40,000-39,408.87=591.13元</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申购份额=（40,000-591.13）/1.040=37,893.14份</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3、赎回金额的计算</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赎回费用=赎回份额×T日基金份额净值×赎回费率</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赎回金额=赎回份额×T日基金份额净值-赎回费用</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例三：某投资人赎回认购（申购）持有的10,000份基金份额，对应的赎回费率为0.5%，假设赎回当日基金份额净值是1.016元，则其可得到的赎回金额为：</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赎回费用=10,000×1.016×0.5%＝50.80元</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赎回金额=10,000×1.016-50.80＝10,109.20元</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即：投资人赎回本基金10,000份基金份额，假设赎回当日基金份额净值是1.016元，则其可得到的赎回金额为10,109.20元。</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4、基金份额净值的计算公式</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基金份额净值＝基金资产净值总额/发行在外的基金份额总数</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本基金T日的基金份额净值在当天收市后计算，并在T＋1日内公告。遇特殊情况，经中国证监会同意，可以适当延迟计算或公告。本基金基金份额净值的计算，保留到小数点后3位，小数点后第4位四舍五入，由此误差产生的收益或损失由基金财产承担。</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b/>
          <w:kern w:val="0"/>
          <w:sz w:val="24"/>
        </w:rPr>
        <w:t>（八）拒绝或暂停申购的情形</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发生下列情况时，基金管理人可拒绝或暂停接受投资人的申购申请：</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1、因不可抗力导致基金无法正常运作。</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2、发生基金合同规定的暂停基金资产估值情况时，基金管理人可暂停接受投资人的申购申请。</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3、证券交易所交易时间临时停市，导致基金管理人无法计算当日基金资产净值。</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4、基金管理人认为接受某笔或某些申购申请可能会影响或损害现有基金份额持有人利益时。</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5、当前一估值日基金资产净值50%以上的资产出现无可参考的活跃市场价格且采用估值技术仍导致公允价值存在重大不确定性时，经与基金托管人协商确认后，基金管理人应当暂停接受基金申购申请。</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6、基金管理人接受某笔或者某些申购申请有可能导致单一投资者持有基金份额的比例超过50%，或者变相规避50%集中度的情形。出现上述情形时，基金管理人有权将上述申购申请全部或部分确认失败。</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7、基金资产规模过大，使基金管理人无法找到合适的投资品种，或其他可能对基金业绩产生负面影响，从而损害现有基金份额持有人利益的情形。</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8、法律法规规定或中国证监会认定的其他情形。</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发生上述第1、2、3、5、7、8项暂停申购情形之一且基金管理人决定暂停申购时，基金管理人应当根据有关规定在指定媒介上刊登暂停申购公告。如果投资人的申购申请被拒绝，被拒绝的申购款项将退还给投资人。在暂停申购的情况消除时，基金管理人应及时恢复申购业务的办理。</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b/>
          <w:kern w:val="0"/>
          <w:sz w:val="24"/>
        </w:rPr>
        <w:t>（九）暂停赎回或延缓支付赎回款项的情形</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发生下列情形时，基金管理人可暂停接受投资人的赎回申请或延缓支付赎回款项：</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1、因不可抗力导致基金管理人不能支付赎回款项。</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2、发生基金合同规定的暂停基金资产估值情况时，基金管理人可暂停接受投资人的赎回申请或延缓支付赎回款项。</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3、证券交易所交易时间临时停市，导致基金管理人无法计算当日基金资产净值。</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4、当前一估值日基金资产净值50%以上的资产出现无可参考的活跃市场价格且采用估值技术仍导致公允价值存在重大不确定性时，经与基金托管人协商确认后，基金管理人应当暂停接受基金赎回申请或延缓支付赎回款项。</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5、连续两个或两个以上开放日发生巨额赎回。</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6、法律法规规定或中国证监会认定的其他情形。</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发生上述情形之一且基金管理人决定暂停接受投资人的赎回申请或延缓支付赎回款项时，基金管理人应在当日报中国证监会备案，已确认的赎回申请，基金管理人应足额支付；如暂时不能足额支付，应将可支付部分按单个账户申请量占申请总量的比例分配给赎回申请人，未支付部分可延期支付，并以后续开放日的基金份额净值为依据计算赎回金额。若出现上述第4项所述情形，按基金合同的相关条款处理。基金份额持有人在申请赎回时可事先选择将当日可能未获受理部分予以撤销。在暂停赎回的情况消除时，基金管理人应及时恢复赎回业务的办理并公告。</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b/>
          <w:kern w:val="0"/>
          <w:sz w:val="24"/>
        </w:rPr>
        <w:t>（十）巨额赎回的情形及处理方式</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1、巨额赎回的认定</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若本基金单个开放日内的基金份额净赎回申请（赎回申请份额总数加上基金转换中转出申请份额总数后扣除申购申请份额总数及基金转换中转入申请份额总数后的余额，定期支付时的自动赎回份额不纳入以上赎回份额计算）超过前一开放日的基金总份额的10%，即认为是发生了巨额赎回。</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2、巨额赎回的处理方式</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当基金出现巨额赎回时，基金管理人可以根据基金当时的资产组合状况决定全额赎回或部分延期赎回。</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（1）全额赎回：当基金管理人认为有能力支付投资人的全部赎回申请时，按正常赎回程序执行。</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2）部分延期赎回：当基金管理人认为支付投资人的赎回申请有困难或认为因支付投资人的赎回申请而进行的财产变现可能会对基金资产净值造成较大波动时，基金管理人在当日接受赎回比例不低于上一开放日基金总份额的10%的前提下，可对其余赎回申请延期办理。对于当日的赎回申请，应当按单个账户赎回申请量占赎回申请总量的比例，确定当日受理的赎回份额；对于未能赎回部分，投资人在提交赎回申请时可以选择延期赎回或取消赎回。选择延期赎回的，将自动转入下一个开放日继续赎回，直到全部赎回为止；选择取消赎回的，当日未获受理的部分赎回申请将被撤销。延期的赎回申请与下一开放日赎回申请一并处理，无优先权并以下一开放日的基金份额净值为基础计算赎回金额，以此类推，直到全部赎回为止。如投资人在提交赎回申请时未作明确选择，投资人未能赎回部分作自动延期赎回处理。</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本基金发生巨额赎回且单个基金份额持有人的赎回申请超过上一日基金总份额20%的情形下，基金管理人有权采取如下措施：对于该类基金份额持有人当日超过20%的赎回申请，可以对其赎回申请延期办理；对于该类基金份额持有人未超过上述比例的部分，基金管理人可以根据前段“（1）全额赎回”或“（2）部分延期赎回”的约定方式与其他基金份额持有人的赎回申请一并办理。但是，如该类基金份额持有人在当日选择取消赎回，则其当日未获受理的部分赎回申请将被撤销。</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3）暂停赎回：连续2日以上（含本数）发生巨额赎回，如基金管理人认为有必要，可暂停接受基金的赎回申请；已经接受的赎回申请可以延缓支付赎回款项，但不得超过20个工作日，并应当在指定媒介上进行公告。</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3、巨额赎回的公告</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当发生上述延期赎回并延期办理时，基金管理人应当通过邮寄、传真、刊登公告或者通知代销机构代为告知等方式在3个交易日内通知基金份额持有人，说明有关处理方法，并在2日内在指定媒介上刊登公告。</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b/>
          <w:kern w:val="0"/>
          <w:sz w:val="24"/>
        </w:rPr>
        <w:t>（十一）暂停申购或赎回的公告和重新开放申购或赎回的公告</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1、发生上述暂停申购或赎回情况的，基金管理人应在规定期限内在指定媒介上刊登暂停公告。</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2、暂停结束，基金重新开放申购或赎回时，基金管理人应依照《信息披露管理办法》的有关规定，在指定媒介上刊登基金重新开放申购或赎回公告，并公告最近1个开放日的基金份额净值。</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b/>
          <w:kern w:val="0"/>
          <w:sz w:val="24"/>
        </w:rPr>
        <w:t>（十二）基金的非交易过户</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基金的非交易过户是指基金登记机构受理继承、捐赠和司法强制执行等情形而产生的非交易过户以及登记机构认可、符合法律法规的其它非交易过户。无论在上述何种情况下，接受划转的主体必须是依法可以持有本基金基金份额的投资人。</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继承是指基金份额持有人死亡，其持有的基金份额由其合法的继承人继承；捐赠指基金份额持有人将其合法持有的基金份额捐赠给福利性质的基金会或社会团体；司法强制执行是指司法机构依据生效司法文书将基金份额持有人持有的基金份额强制划转给其他自然人、法人或其他组织。办理非交易过户必须提供基金登记机构要求提供的相关资料，对于符合条件的非交易过户申请按基金登记机构的规定办理，并按基金登记机构规定的标准收费。</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b/>
          <w:kern w:val="0"/>
          <w:sz w:val="24"/>
        </w:rPr>
        <w:t>（十三）基金的转托管</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基金份额持有人可办理已持有基金份额在不同销售机构之间的转托管，基金销售机构可以按照规定的标准收取转托管费。</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如果基金管理人、登记机构、办理转托管的销售机构出现技术系统性能限制或出于其它合理原因，可以暂停该业务或者拒绝基金份额持有人的转托管申请。</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b/>
          <w:kern w:val="0"/>
          <w:sz w:val="24"/>
        </w:rPr>
        <w:t>（十四）定期定额投资计划</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定期定额投资计划是基金申购业务的一种方式，投资人可通过向相关销售机构提交申请，约定每期申购日、扣款金额及扣款方式，由指定的销售机构在投资人指定资金账户内自动扣款并于每期约定的申购日提交基金的申购申请。定期定额投资计划并不构成对基金日常申购、赎回等业务的影响，投资人在办理相关基金定期定额投资计划的同时，仍然可以进行日常申购、赎回业务。本基金2013年11月28日刊登公告自2013年12月3日起开通定期定额投资计划业务，具体开通销售机构名单和业务规则参见相关公告。</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b/>
          <w:kern w:val="0"/>
          <w:sz w:val="24"/>
        </w:rPr>
        <w:t>（十五）基金份额的冻结和解冻</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登记机构只受理国家有权机关依法要求的基金份额的冻结与解冻，以及登记机构认可、符合法律法规的其他情况下的冻结与解冻。</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b/>
          <w:kern w:val="0"/>
          <w:sz w:val="24"/>
        </w:rPr>
        <w:t>（十六）基金份额的折算</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基金合同生效后，本基金可以进行份额折算。</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1、基金份额折算的时间</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基金管理人应事先确定基金份额折算日，并依照《信息披露办法》的有关规定提前公告。</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2、基金份额折算的原则</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基金份额折算由基金管理人向登记机构申请办理，并由登记机构进行基金份额的变更登记。</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基金份额折算后，本基金的基金份额总额与基金份额持有人持有的基金份额数额将发生调整，但调整后的基金份额持有人持有的基金份额占基金份额总额的比例不发生变化。基金份额折算对基金份额持有人的权益无实质性影响。基金份额折算后，基金份额持有人将按照折算后的基金份额享有权利并承担义务。如果基金份额折算过程中发生不可抗力，基金管理人可延迟办理基金份额折算。</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3、基金份额折算的方法</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基金份额折算的具体方法在基金份额折算公告中列示。</w:t>
      </w:r>
    </w:p>
    <w:p>
      <w:pPr>
        <w:pStyle w:val="2"/>
        <w:snapToGrid w:val="0"/>
        <w:spacing w:before="240" w:beforeLines="0" w:after="0"/>
        <w:rPr>
          <w:rFonts w:ascii="宋体" w:hAnsi="宋体"/>
          <w:szCs w:val="30"/>
        </w:rPr>
      </w:pPr>
      <w:r>
        <w:br w:type="page"/>
      </w:r>
      <w:bookmarkStart w:id="20" w:name="_Toc256000009"/>
      <w:bookmarkStart w:id="21" w:name="_Toc256000036"/>
      <w:r>
        <w:rPr>
          <w:rFonts w:ascii="宋体" w:hAnsi="宋体"/>
          <w:sz w:val="30"/>
        </w:rPr>
        <w:t>九、基金的转换</w:t>
      </w:r>
      <w:bookmarkEnd w:id="20"/>
      <w:bookmarkEnd w:id="21"/>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b/>
          <w:kern w:val="0"/>
          <w:sz w:val="24"/>
        </w:rPr>
        <w:t>（一）基金转换</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基金转换是指开放式基金份额持有人将其持有某只基金的部分或全部份额转换为同一基金管理人管理的另一只开放式基金份额。基金转换只能在同一销售机构进行。</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b/>
          <w:kern w:val="0"/>
          <w:sz w:val="24"/>
        </w:rPr>
        <w:t>（二）转换业务办理时间</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本基金2013年11月28日刊登公告自2013年12月3日起开放日常转换业务。</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办理基金间转换的时间为上海证券交易所、深圳证券交易所交易日。若出现新的证券交易市场或交易所交易时间更改或其它原因，基金管理人将视情况进行相应的调整并公告。</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投资人可在基金开放日申请办理基金转换业务，具体办理时间与基金申购、赎回业务办理时间相同。由于各销售机构的系统差异以及业务安排等原因，开展该业务的时间可能有所不同，投资人应以各销售机构公告的时间为准。</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本基金转换业务具体开通销售机构名单参见相关公告。</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b/>
          <w:kern w:val="0"/>
          <w:sz w:val="24"/>
        </w:rPr>
        <w:t>（三）基金转换的程序</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1、申请方式：书面申请或销售机构公布的其他方式。</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2、基金转换申请的确认</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正常情况下，T日规定时间受理的申请，注册登记机构在T＋1日内为投资人对该交易的有效性进行确认，在T＋2日后(包括该日)投资人可向销售机构查询转换的确认情况。</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3、基金转换的注册登记</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注册登记机构以收到有效转换申请的当天作为转换申请日（T日）。投资人转换基金成功的，注册登记机构将在T＋1日对投资人T日的基金转换业务申请进行有效性确认，办理转出基金的权益扣除以及转入基金的权益登记，在T＋2日后（包括该日）投资人可向销售机构查询基金转换的成交情况，并有权转换或赎回该部分基金份额。</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b/>
          <w:kern w:val="0"/>
          <w:sz w:val="24"/>
        </w:rPr>
        <w:t>（四）基金转换的数额限制</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基金转换以份额为单位进行申请，申请转换份额精确到小数点后两位，小数点后两位以后的部分四舍五入，误差部分归基金财产。</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本基金遵循“份额转换”的原则，单笔转换份额不得低于1份。基金持有人可将其全部或部分基金份额转换成其它基金，单笔转换申请不受转入基金最低申购限额限制。</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基于各基金关于投资人在单个交易账户最低保留余额的规定，每个工作日投资人在单个交易账户保留的某基金基金份额余额少于该基金的最低保留余额时，若当日该账户同时有该基金的基金份额减少类业务（如赎回、转换出等）被确认，基金管理人有权将投资人在该账户保留的该基金基金份额一次性全部赎回。因此，如果某笔转换申请确认后转出基金的单个交易账户的基金份额余额少于转出基金的最低保留余额，则转出基金在该账户剩余的基金份额将被全部赎回。如果某笔转换申请确认后转入基金的单个交易账户的基金份额余额少于转入基金的最低保留余额且该账户当日有转入基金的基金份额减少类业务被确认，则转入基金在该账户剩余的基金份额（包括该部分转换入确认份额）将随即被强制赎回。</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b/>
          <w:kern w:val="0"/>
          <w:sz w:val="24"/>
        </w:rPr>
        <w:t>（五）基金转换费用</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1、每笔基金转换视为一笔赎回和一笔申购，基金转换费用相应由转出基金的赎回费用及转出、转入基金的申购补差费用构成。</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2、转出基金的赎回费用</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转出基金的赎回费用按照各基金最新的更新招募说明书及相关公告规定的赎回费率和计费方式收取，赎回费用按一定比例归入基金财产（收取标准遵循各基金最新的更新招募说明书相关规定），其余部分用于支付注册登记费等相关手续费。</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3、前端收费模式下转出与转入基金的申购补差费用</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从不收取申购费用的基金或前端申购费用低的基金向前端申购费用高的基金转换，收取前端申购补差费用；从前端申购费用高的基金向前端申购费用低的基金或不收取申购费用的基金转换，不收取前端申购补差费用。申购补差费用原则上按照转出确认金额对应的转入基金前端申购费率减去转出基金前端申购费率差额进行计算补差，若遇固定费用，则按实际产生补差费用收取。</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4、后端收费模式下转出与转入基金的申购补差费用</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从不收取申购费用的基金或后端申购费用低的基金向后端申购费用高的基金转换，不收取后端申购补差费用，但转入的基金份额赎回的时候需全额收取转入基金的后端申购费；从后端申购费用高的基金向后端申购费用低的基金或不收取申购费用的基金转换，收取后端申购补差费用，且转入的基金份额赎回的时候需全额收取转入基金的后端申购费。后端申购补差费用按照转出份额持有时间对应分档的转出基金后端申购费率减去转入基金后端申购费率差额进行补差。</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5、网上直销的申购补差费率优惠</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为更好服务投资者，本基金管理人已开通基金网上直销业务，个人投资者可以通过“网上直销交易平台”办理基金转换业务，其中部分转换业务可享受转换费率优惠，优惠费率只适用于转出与转入基金申购补差费用，转出基金的赎回费用无优惠。可通过网上直销交易平台办理的转换业务范围及转换费率优惠的具体情况请参阅本基金管理人网站。</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6、基金管理人可以根据法律法规及基金合同的规定对上述收费方式和费率进行调整，并应于调整后的收费方式和费率在实施前依照《信息披露办法》的有关规定在中国证监会指定媒介上公告。</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b/>
          <w:kern w:val="0"/>
          <w:sz w:val="24"/>
        </w:rPr>
        <w:t>（六）基金转换份额的计算公式</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1、前端收费模式下基金转换份额的计算公式及举例</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转出确认金额=转出的基金份额×转换申请当日转出基金的基金份额净值</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转出基金的赎回费=转出确认金额×对应的转出基金的赎回费率</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转入确认金额=转出确认金额-转出基金的赎回费</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转出与转入基金的申购补差费=转入确认金额×对应的转出与转入基金的申购补差费率/（1+对应的转出与转入基金的申购补差费率）</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（注：若转出基金申购费率不低于转入基金申购费率，转出与转入基金的申购补差费为零）</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对于涉及固定费用的，转出与转入基金的申购补差费＝MAX（0，转出基金和转入基金申购费用之差）</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转入基金确认份额=（转入确认金额-转出与转入基金的申购补差费+A）/转换申请当日转入基金的基金份额净值</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其中：</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A为货币市场基金转出的基金份额按比例结转的账户当前累计待支付收益（仅限转出基金为货币市场基金的情形，否则A为0）。</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转入基金确认份额的计算精确到小数点后两位，小数点后两位以后的部分四舍五入，误差部分归基金财产。</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例一：某投资者持有交银趋势前端收费模式的A类基金份额100,000份，持有期半年，转换申请当日交银趋势的A类基金份额净值为1.0100元，交银成长的基金份额净值为2.2700元。若该投资者将100,000份交银趋势前端A类基金份额转换为交银成长前端基金份额，则转入交银成长确认的基金份额为：</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转出确认金额=100,000×1.0100=101,000元</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转出基金的赎回费=101,000×0.5%=505元</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转入确认金额=101,000-505=100,495元</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转出与转入基金的申购补差费=100,495×0/（1+0）=0元</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转入基金确认份额=（100,495-0）/2.2700=44,270.93份</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例二：某投资者持有交银增利A类基金份额1,000,000份，持有期一年半，转换申请当日交银增利A类基金份额的基金份额净值为1.0200元，交银趋势的A类基金份额净值为1.0100元。若该投资者将1,000,000份交银增利A类基金份额转换为交银趋势前端A类基金份额，则转入交银趋势确认的A类基金份额为：</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转出确认金额=1,000,000×1.0200=1,020,000元</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转出基金的赎回费=1,020,000×0.05%=510元</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转入确认金额=1,020,000-510=1,019,490元</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转出与转入基金的申购补差费=1,019,490×0.5%/（1+0.5%）=5,072.09元</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转入基金确认份额=（1,019,490-5,072.09）/1.0100=1,004,374.17份</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例三：某投资者持有交银增利C类基金份额100,000份，持有期一年半，转换申请当日交银增利C类基金份额净值为1.2500元，交银精选的基金份额净值为2.2700元。若该投资者将100,000份交银增利C类基金份额转换为交银精选前端基金份额，则转入交银精选确认的基金份额为：</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转出确认金额=100,000×1.2500=125,000元</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转出基金的赎回费=0元</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转入确认金额=125,000-0=125,000元</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转出与转入基金的申购补差费=125,000×1.5%/（1+1.5%）=1,847.29元</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转入基金确认份额=（125,000-1,847.29）/2.2700=54,252.30份</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例四：某投资者持有交银货币A级基金份额100,000份，该100,000份基金份额未结转的待支付收益为61.52元，转换申请当日交银增利A类基金份额净值为1.2700元，交银货币的基金份额净值为1.00元。若该投资者将100,000份交银货币A级基金份额转换为交银增利A类基金份额，则转入确认的交银增利A类基金份额为：</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转出确认金额=100,000×1.00=100,000元</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转出基金的赎回费=0元</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转入确认金额=100,000-0=100,000元</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转出与转入基金的申购补差费=100,000×0.8%/（1+0.8%）=793.65元</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转入基金确认份额=（100,000-793.65+61.52）/1.2700=78,163.68份</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2、后端收费模式下基金转换份额的计算公式及举例</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转出确认金额=转出的基金份额×转换申请当日转出基金的基金份额净值</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转出基金的赎回费=转出确认金额×对应的转出基金的赎回费率</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转入确认金额=转出确认金额-转出基金的赎回费</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转出与转入基金的申购补差费=转入确认金额×对应的转出与转入基金的申购补差费率</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转入基金确认份额=（转入确认金额-转出与转入基金的申购补差费+A）/转换申请当日转入基金的基金份额净值</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其中：</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A为货币市场基金转出的基金份额按比例结转的账户当前累计待支付收益（仅限转出基金为货币市场基金的情形，否则A为0）。</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转入基金确认份额的计算精确到小数点后两位，小数点后两位以后的部分四舍五入，误差部分归基金财产。</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例五：某投资者持有交银主题后端收费模式的A类基金份额100,000份，持有期一年半，转换申请当日交银主题的A类基金份额净值为1.2500元，交银稳健的基金份额净值为2.2700元。若该投资者将100,000份交银主题后端A类基金份额转换为交银稳健后端基金份额，则转入交银稳健确认的基金份额为：</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转出确认金额=100,000×1.2500=125,000元</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转出基金的赎回费=125,000×0.2%=250元</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转入确认金额=125,000-250=124,750元</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转出与转入基金的申购补差费=124,750×0=0元</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转入基金确认份额=（124,750-0）/2.2700=54,955.95份</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例六：某投资者持有交银先锋后端收费模式的A类基金份额100,000份，持有期一年半，转换申请当日交银先锋的A类基金份额净值为1.2500元，交银货币的基金份额净值为1.00元。若该投资者将100,000份交银先锋后端A类基金份额转换为交银货币，则转入交银货币的基金份额为：</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转出确认金额=100,000×1.2500=125,000元</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转出基金的赎回费=125,000×0.2%=250元</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转入确认金额=125,000-250=124,750元</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转出与转入基金的申购补差费=124,750×1.2%=1497元</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转入基金确认份额=（124,750-1497）/1.00=123,253.00份</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例七：某投资者持有交银蓝筹后端收费模式的基金份额100,000份，持有期三年半，转换申请当日交银蓝筹的基金份额净值为0.8500元，交银增利B类基金份额的基金份额净值为1.0500。若该投资者将100,000份交银蓝筹后端基金份额转换为交银增利B类基金份额，则转入交银增利B类基金份额的基金份额为：</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转出确认金额=100,000×0.8500=85,000元</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转出基金的赎回费=85,000×0=0元</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转入确认金额=85,000-0=85,000元</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转出与转入基金的申购补差费=85,000×0.2%=170元</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转入基金确认份额=（85,000-170）/1.0500=80,790.48份</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例八：某投资者持有交银货币A级基金份额100,000份，该100,000份基金份额未结转的待支付收益为61.52元，转换申请当日交银增利B类基金份额净值为1.2700元，交银货币的基金份额净值为1.00元。若该投资者将100,000份交银货币A级基金份额转换为交银增利B类基金份额，则转入确认的交银增利B类基金份额为：</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转出确认金额=100,000×1.00=100,000元</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转出基金的赎回费=0元</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转入确认金额=100,000-0=100,000元</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转出与转入基金的申购补差费=100,000×0=0元</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转入基金确认份额=（100,000-0+61.52）/1.2700=78,788.60份</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b/>
          <w:kern w:val="0"/>
          <w:sz w:val="24"/>
        </w:rPr>
        <w:t>（七）业务规则</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1、基金转换只能在同一销售机构进行。转换的两只基金必须都是该销售机构代理的同一基金管理人管理的、在同一注册登记机构处注册登记的基金。投资人办理基金转换业务时，转出方的基金必须处于可赎回状态，转入方的基金必须处于可申购状态。</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2、投资人只能在相同收费模式下进行基金转换。前端收费模式的开放式基金只能转换到前端收费模式的其他基金，后端收费模式的基金只能转换到后端收费模式的其他基金。货币市场基金、债券基金C类基金份额与其他基金之间的转换不受上述收费模式的限制。</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3、基金转换采取未知价法，即基金的转换价格以申请受理当日各转出、转入基金的基金份额净值为基础进行计算。（货币市场基金的基金份额净值为固定价1.00元）。</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4、投资人申请转出其账户内货币市场基金的基金份额时，注册登记机构将自动结转该转出份额对应的待支付收益，该收益将一并计入转出金额并折算为转入基金的基金份额，但收益部分不收取转换费用。</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5、转换后，转入基金份额的持有时间将重新计算，即转入基金份额的持有期将自转入基金份额被确认日起重新开始计算。</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b/>
          <w:kern w:val="0"/>
          <w:sz w:val="24"/>
        </w:rPr>
        <w:t>（八）暂停基金转换</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基金转换视同为转出基金的赎回和转入基金的申购，因此有关转出基金和转入基金关于暂停或拒绝申购、暂停赎回的情形和公告的有关规定一般也适用于暂停基金转换，具体暂停或恢复基金转换的相关业务请详见届时本基金管理人发布的相关公告。</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本基金单个开放日，基金净赎回申请份额（该基金赎回申请总份额加上基金转换中转出申请总份额后扣除申购申请总份额及基金转换中转入申请总份额后的余额）超过上一日基金总份额的10%时，即认为发生了巨额赎回。发生巨额赎回时，基金转出与基金赎回具有相同的优先级，基金管理人可根据基金资产组合情况，决定全额转出或部分转出，并且对于基金转出和基金赎回，将采取相同的比例确认；但在转出申请得到部分确认的情况下，未确认部分的转出申请将自动予以撤销，不再视为下一开放日的基金转换申请。</w:t>
      </w:r>
    </w:p>
    <w:p>
      <w:pPr>
        <w:pStyle w:val="2"/>
        <w:snapToGrid w:val="0"/>
        <w:spacing w:before="240" w:beforeLines="0" w:after="0"/>
        <w:rPr>
          <w:rFonts w:ascii="宋体" w:hAnsi="宋体"/>
          <w:szCs w:val="30"/>
        </w:rPr>
      </w:pPr>
      <w:r>
        <w:br w:type="page"/>
      </w:r>
      <w:bookmarkStart w:id="22" w:name="_Toc256000037"/>
      <w:bookmarkStart w:id="23" w:name="_Toc256000010"/>
      <w:r>
        <w:rPr>
          <w:rFonts w:ascii="宋体" w:hAnsi="宋体"/>
          <w:sz w:val="30"/>
        </w:rPr>
        <w:t>十、基金的定期支付</w:t>
      </w:r>
      <w:bookmarkEnd w:id="22"/>
      <w:bookmarkEnd w:id="23"/>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本基金按照基金合同的约定，每月定期通过自动赎回基金份额向基金份额持有人支付一定现金，具体而言，本基金按照本招募说明书约定的年化现金支付比率，以约定的定期支付基准日的基金份额净值为基础，计算当期基金份额持有人可获得支付的现金，并自动赎回基金份额持有人所持的对应金额的基金份额，以该自动赎回的资金向基金份额持有人进行现金支付。上述自动赎回基金份额由基金管理人发起而无需基金份额持有人另行提交赎回申请。基金份额持有人并无需就此类自动赎回支付赎回费。</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未来在法律法规允许的前提下，基金管理人可在履行适当程序后采用除自动赎回基金份额以外的其他方式进行定期支付，并在新的方式开始实施前依照《信息披露办法》的有关规定在指定媒介上公告并报中国证监会备案。</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b/>
          <w:kern w:val="0"/>
          <w:sz w:val="24"/>
        </w:rPr>
        <w:t>（一）定期支付的时间</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基金每月对投资人进行1次定期支付，若基金合同生效不满3个月可不进行支付。发生下列情形时，基金管理人可暂停当月的定期支付：</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1、因不可抗力导致基金管理人不能支付定期支付的款项。</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2、定期支付基准日发生基金合同规定的暂停基金资产估值情况。</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3、定期支付基准日证券交易所交易时间临时停市，导致基金管理人无法计算当日基金资产净值。</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4、定期支付基准日发生基金合同第六部分约定的暂停赎回或者延缓支付赎回款项的情形且基金管理人决定暂停接受投资人的赎回申请或者延缓支付赎回款项。</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发生上述情形之一且基金管理人决定暂停当月的定期支付时，基金管理人应当根据有关规定在指定媒介上刊登暂停定期支付业务公告并报中国证监会备案。</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b/>
          <w:kern w:val="0"/>
          <w:sz w:val="24"/>
        </w:rPr>
        <w:t>（二）定期支付的支付基准日、权益登记日及款项支付</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基金进行定期支付的，当月的第一个工作日（T日）为本基金的定期支付基准日，该月的现金支付金额以该日的基金资产净值为基础计算得出。当月的第一个工作日（T日）也是该月定期支付的权益登记日，即该日登记在册的基金份额持有人为该月定期支付的对象。对于T日登记在册的基金份额持有人，登记机构在T＋1日确定自动赎回用于现金支付的基金份额数并将上述用于现金支付的基金份额从基金份额持有人账户中进行扣减。基金管理人将通过登记机构及其相关销售机构在T＋7日（包括该日）内将支付款项划往基金份额持有人账户。</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基金管理人可在法律法规允许的范围内，依法对上述定期支付的时间安排进行调整，并必须在调整实施日前按照《信息披露办法》的有关规定在指定媒介上公告并报中国证监会备案。</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b/>
          <w:kern w:val="0"/>
          <w:sz w:val="24"/>
        </w:rPr>
        <w:t>（三）定期支付金额的计算</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本基金每次定期支付按照年化现金支付比率计算现金支付金额并自动赎回对应金额的基金份额数以用于向基金份额持有人进行现金支付，现金支付金额和自动赎回用于现金支付的基金份额按照单个基金交易账户进行计算，具体计算公式如下：</w:t>
      </w:r>
    </w:p>
    <w:p>
      <w:pPr>
        <w:autoSpaceDE w:val="0"/>
        <w:autoSpaceDN w:val="0"/>
        <w:adjustRightInd w:val="0"/>
        <w:snapToGrid w:val="0"/>
        <w:spacing w:after="0" w:line="360" w:lineRule="auto"/>
        <w:jc w:val="left"/>
        <w:rPr>
          <w:rFonts w:ascii="宋体" w:hAnsi="宋体"/>
          <w:szCs w:val="24"/>
        </w:rPr>
      </w:pPr>
      <w:r>
        <w:rPr>
          <w:rFonts w:ascii="宋体" w:hAnsi="宋体"/>
          <w:kern w:val="0"/>
          <w:sz w:val="24"/>
        </w:rPr>
        <w:pict>
          <v:shape id="_x0000_i1025" o:spt="75" type="#_x0000_t75" style="height:39.75pt;width:105pt;" filled="f" o:preferrelative="t" stroked="f" coordsize="21600,21600">
            <v:path/>
            <v:fill on="f" focussize="0,0"/>
            <v:stroke on="f" joinstyle="miter"/>
            <v:imagedata r:id="rId15" o:title=""/>
            <o:lock v:ext="edit" aspectratio="t"/>
            <w10:wrap type="none"/>
            <w10:anchorlock/>
          </v:shape>
        </w:pict>
      </w:r>
    </w:p>
    <w:p>
      <w:pPr>
        <w:autoSpaceDE w:val="0"/>
        <w:autoSpaceDN w:val="0"/>
        <w:adjustRightInd w:val="0"/>
        <w:snapToGrid w:val="0"/>
        <w:spacing w:after="0" w:line="360" w:lineRule="auto"/>
        <w:jc w:val="left"/>
        <w:rPr>
          <w:rFonts w:ascii="宋体" w:hAnsi="宋体"/>
          <w:szCs w:val="24"/>
        </w:rPr>
      </w:pPr>
      <w:r>
        <w:rPr>
          <w:rFonts w:ascii="宋体" w:hAnsi="宋体"/>
          <w:kern w:val="0"/>
          <w:sz w:val="24"/>
        </w:rPr>
        <w:pict>
          <v:shape id="_x0000_i1026" o:spt="75" type="#_x0000_t75" style="height:14.25pt;width:78pt;" filled="f" o:preferrelative="t" stroked="f" coordsize="21600,21600">
            <v:path/>
            <v:fill on="f" focussize="0,0"/>
            <v:stroke on="f" joinstyle="miter"/>
            <v:imagedata r:id="rId16" o:title=""/>
            <o:lock v:ext="edit" aspectratio="t"/>
            <w10:wrap type="none"/>
            <w10:anchorlock/>
          </v:shape>
        </w:pict>
      </w:r>
    </w:p>
    <w:p>
      <w:pPr>
        <w:autoSpaceDE w:val="0"/>
        <w:autoSpaceDN w:val="0"/>
        <w:adjustRightInd w:val="0"/>
        <w:snapToGrid w:val="0"/>
        <w:spacing w:after="0" w:line="360" w:lineRule="auto"/>
        <w:jc w:val="left"/>
        <w:rPr>
          <w:rFonts w:ascii="宋体" w:hAnsi="宋体"/>
          <w:szCs w:val="24"/>
        </w:rPr>
      </w:pPr>
      <w:r>
        <w:rPr>
          <w:rFonts w:ascii="宋体" w:hAnsi="宋体"/>
          <w:kern w:val="0"/>
          <w:sz w:val="24"/>
        </w:rPr>
        <w:pict>
          <v:shape id="_x0000_i1027" o:spt="75" type="#_x0000_t75" style="height:14.25pt;width:57.75pt;" filled="f" o:preferrelative="t" stroked="f" coordsize="21600,21600">
            <v:path/>
            <v:fill on="f" focussize="0,0"/>
            <v:stroke on="f" joinstyle="miter"/>
            <v:imagedata r:id="rId17" o:title=""/>
            <o:lock v:ext="edit" aspectratio="t"/>
            <w10:wrap type="none"/>
            <w10:anchorlock/>
          </v:shape>
        </w:pic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其中：</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Di为第i次定期支付权益登记日登记在册的每份基金份额对应的现金支付金额；</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ni为第i次定期支付该基金交易账户对应的自动赎回用于现金支付的份额数，计算结果四舍五入保留到小数点后两位；</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Ci为第i次定期支付该基金交易账户实际可获得的现金支付金额，计算结果四舍五入保留到小数点后两位；</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Pi为第i次定期支付权益登记日的基金份额净值；</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R为年化现金支付比率；</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ti（i&gt;1）为第i-1次定期支付权益登记日（不含该日）至第i次定期支付权益登记日（含该日）之间的天数，t1为基金合同生效日（含该日）至第1次定期支付权益登记日（含该日）之间的天数；</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T为365天；</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Mi为第i次定期支付权益登记日基金份额持有人在该基金交易账户确认持有的份额数。</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由于计算过程尾差的处理，投资人实际可获得的现金支付金额（即Ci），与按照每份基金份额对应的现金支付金额乘以其权益登记日持有的份额数（即DiMi）计算得到的结果可能存在一定尾差。</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本基金当前的年化现金支付比率为3%，基金管理人可以根据基金实际运作情况和市场环境的变化，在履行适当程序后对上述约定的年化现金支付比率进行调整，并至少在调整前一个月公告，上述调整不须召开份额持有人大会。</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例四：假设本基金合同生效日为2013年1月8日，于2013年3月进行了第一次定期支付，2013年3月1日为当月定期支付基准日和权益登记日，假设该日的基金份额净值为1.010元，2013年1月8日（含）至2013年3月1日（含）之间的天数为53天，则该次定期支付每份基金份额对应的现金支付金额为：</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D1=1.010×(3%×53/365)=0.004399元</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若某基金份额持有人的基金交易账户在2013年3月1日确认持有的份额数为1,000份,则第一次定期支付该基金交易账户对应的自动赎回用于现金支付的份额数为：</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n1=1,000×1.010×(3%×53/365)/1.010=4.36份</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第一次定期支付该基金交易账户实际可获得的现金支付金额为：</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C1=4.36×1.010=4.40元</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例五：延续例四的假设条件，假设本基金于2013年4月进行了第二次定期支付， 2013年5月因为发生了基金合同约定暂停定期支付的情形且基金管理人决定暂停了当月的定期支付，本基金又于2013年6月进行第三次定期支付。2013年4月1日和6月3日分别为第二次和第三次定期支付的基准日和权益登记日，假设2013年4月1日的基金份额净值为0.996元, 2013年6月3日的基金份额净值为1.018元， 2013年3月1日（不含）至2013年4月1日（含）之间的天数为31天，2013年4月1日（不含）至2013年6月3日（含）之间的天数为63天，则第二次和第三次定期支付每份基金份额对应的现金支付金额分别为：</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D2=0.996×(3%×31/365)=0.002538元</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D3=1.018×(3%×63/365)=0.005271元</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若某基金份额持有人的基金交易账户在2013年4月1日和6月3日确认持有的份额数仍为1,000份，则第二次和第三次定期支付该基金交易账户对应的自动赎回用于现金支付的份额数分别为：</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n2=1000×0.996×(3%×31/365)/0.996=2.55份</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n3=1000×1.018×(3%×63/365)/1.018=5.18份</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第二次和第三次定期支付该基金交易账户实际可获得的现金支付金额分别为：</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C2=2.55×0.996=2.54元</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C3=5.18×1.018=5.27元</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b/>
          <w:kern w:val="0"/>
          <w:sz w:val="24"/>
        </w:rPr>
        <w:t>（四）定期支付的确认原则</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1、定期支付每期自动赎回用以现金支付的基金份额时，按“先进先出”的原则进行处理，即先自动赎回登记确认日期在先的基金份额；</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2、登记机构办理登记业务时，基金份额持有人主动发起的份额减少业务（包括赎回、转换出及转托管出）或者登记机构发起的其他非定期支付份额减少业务的确认原则上优先于定期支付业务的确认；每期自动赎回用以定期支付的基金份额时，若因当日该账户同时有其他的份额减少业务被确认而导致基金份额余额不足时，当期的定期支付业务将被确认失败，即该账户当期不进行现金支付。</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基金管理人可在法律法规允许的情况下，对上述原则进行调整。基金管理人必须在新规则开始实施前依照《信息披露办法》的有关规定在指定媒介上公告并报中国证监会备案。</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例六：假设本基金于2013年7月进行了定期支付，2013年7月1日为当月定期支付的基准日和权益登记日。假设某基金份额持有人的基金交易账户在2013年7月1日确认持有的份额数为10,000份，根据计算公式计算当月该基金交易账户对应的自动赎回用于现金支付的份额数为65份。</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若该基金份额持有人于2013年7月1日提交申请赎回份额9,500份，该赎回申请将优先于定期支付自动赎回业务被确认，确认后该基金账户的剩余份额为500份，高于定期支付自动赎回的份额，则该次定期支付业务也被确认成功，即该份额持有人除获得申请赎回份额的赎回款，还将获得该次定期支付的现金支付金额。</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若该基金份额持有人于2013年7月1日提交申请赎回份额9,940份，该赎回申请将优先于定期支付自动赎回业务被确认，确认后该基金账户的剩余份额为60份，低于定期支付自动赎回的份额，则该次定期支付业务将被确认失败，即该账户当月不再进行现金支付，该份额持有人只获得申请赎回份额的赎回款。</w:t>
      </w:r>
    </w:p>
    <w:p>
      <w:pPr>
        <w:pStyle w:val="2"/>
        <w:snapToGrid w:val="0"/>
        <w:spacing w:before="240" w:beforeLines="0" w:after="0"/>
        <w:rPr>
          <w:rFonts w:ascii="宋体" w:hAnsi="宋体"/>
          <w:szCs w:val="30"/>
        </w:rPr>
      </w:pPr>
      <w:r>
        <w:br w:type="page"/>
      </w:r>
      <w:bookmarkStart w:id="24" w:name="_Toc256000038"/>
      <w:bookmarkStart w:id="25" w:name="_Toc256000011"/>
      <w:r>
        <w:rPr>
          <w:rFonts w:ascii="宋体" w:hAnsi="宋体"/>
          <w:sz w:val="30"/>
        </w:rPr>
        <w:t>十一、基金的投资</w:t>
      </w:r>
      <w:bookmarkEnd w:id="24"/>
      <w:bookmarkEnd w:id="25"/>
    </w:p>
    <w:p>
      <w:pPr>
        <w:autoSpaceDE w:val="0"/>
        <w:autoSpaceDN w:val="0"/>
        <w:adjustRightInd w:val="0"/>
        <w:snapToGrid w:val="0"/>
        <w:spacing w:after="0" w:line="360" w:lineRule="auto"/>
        <w:ind w:firstLine="480" w:firstLineChars="200"/>
        <w:jc w:val="left"/>
        <w:rPr>
          <w:rFonts w:ascii="宋体" w:hAnsi="宋体"/>
          <w:szCs w:val="24"/>
        </w:rPr>
      </w:pPr>
      <w:r>
        <w:rPr>
          <w:rFonts w:ascii="宋体" w:hAnsi="宋体"/>
          <w:b/>
          <w:sz w:val="24"/>
        </w:rPr>
        <w:t>（一）投资目标</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本基金精选具有长期增长潜力和较好分红能力的股票，以及具有较高息票率的债券，力争实现基金资产的长期增值。</w:t>
      </w:r>
    </w:p>
    <w:p>
      <w:pPr>
        <w:autoSpaceDE w:val="0"/>
        <w:autoSpaceDN w:val="0"/>
        <w:adjustRightInd w:val="0"/>
        <w:snapToGrid w:val="0"/>
        <w:spacing w:after="0" w:line="360" w:lineRule="auto"/>
        <w:ind w:firstLine="480" w:firstLineChars="200"/>
        <w:jc w:val="left"/>
        <w:rPr>
          <w:rFonts w:ascii="宋体" w:hAnsi="宋体"/>
          <w:szCs w:val="24"/>
        </w:rPr>
      </w:pPr>
      <w:r>
        <w:rPr>
          <w:rFonts w:ascii="宋体" w:hAnsi="宋体"/>
          <w:b/>
          <w:sz w:val="24"/>
        </w:rPr>
        <w:t>（二）投资范围</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本基金的投资范围为具有良好流动性的金融工具，包括国内依法上市的股票（含中小板、创业板及其他中国证监会允许基金投资的股票、存托凭证）、债券、货币市场工具、权证以及法律法规或中国证监会允许基金投资的其它金融工具（但须符合中国证监会的相关规定）。</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本基金的投资组合比例为：股票（含存托凭证）、权证等权益类资产占基金资产净值的30%-70%，其中权证的投资比例不超过基金资产净值的3%；债券、资产支持证券、货币市场工具、银行存款等固定收益类资产和现金不低于基金资产净值的30%，其中现金或到期日在一年以内的政府债券投资比例不低于基金资产净值的5%，现金不包括结算备付金、存出保证金和应收申购款等。</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如法律法规或监管机构以后允许基金投资其他品种，基金管理人在履行适当程序后，可以将其纳入投资范围，并可依据届时有效的法律法规适时合理地调整投资范围。</w:t>
      </w:r>
    </w:p>
    <w:p>
      <w:pPr>
        <w:autoSpaceDE w:val="0"/>
        <w:autoSpaceDN w:val="0"/>
        <w:adjustRightInd w:val="0"/>
        <w:snapToGrid w:val="0"/>
        <w:spacing w:after="0" w:line="360" w:lineRule="auto"/>
        <w:ind w:firstLine="480" w:firstLineChars="200"/>
        <w:jc w:val="left"/>
        <w:rPr>
          <w:rFonts w:ascii="宋体" w:hAnsi="宋体"/>
          <w:szCs w:val="24"/>
        </w:rPr>
      </w:pPr>
      <w:r>
        <w:rPr>
          <w:rFonts w:ascii="宋体" w:hAnsi="宋体"/>
          <w:b/>
          <w:sz w:val="24"/>
        </w:rPr>
        <w:t>（三）投资策略</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本基金精选具有较好现金分红能力、长期增长潜力且估值水平合理的上市公司以及具有较高息票率的债券，通过在股票和债券等不同类别资产中的平衡配置，追求基金资产在风险可控前提下的持续增值，充分享受股票分红和债券利息的双重收益。</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1、资产配置策略</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本基金的大类资产配置采取在股票和债券等不同类别资产进行平衡配置的策略，并在基金合同约定的资产配置范围内以投资时钟理论为指导，通过对经济周期所处的发展阶段及其趋势的分析和判断以及不同资产类别的预期表现，对基金资产配置进行动态调整。</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在资产配置过程中，本基金对于经济周期的判断主要通过分析经济增长与通货膨胀的方向性变化实施。对于中长期的经济波动，本基金重点考察社会需求结构变化进而带动产业或行业结构变迁条件下经济增长与通货膨胀之间的演绎关系。如分析居民收入与财富增长的结构性变化、新兴技术的出现、出口结构的变化、政府政策鼓励等；在中短期内，产业或行业发展相对稳定，经济周期调整更多地体现为实体经济运行中需求与成本的阶段性波动，此时，本基金将重点考察经济领域各宏观经济指标的变动及其趋势。通过经济运行周期以及不同阶段内经济运行特征的分析判断，本基金将结合证券市场投资价值综合评估的结果，确定一定阶段内的类别资产配置比例及其调整方向。</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2、股票投资策略</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本基金的股票资产主要投资于具有较好现金分红能力、长期增长潜力且估值水平合理的上市公司的股票。本基金采取定性和定量相结合的方法，对上市公司分红能力，分红意愿和分红预期等因素进行综合考察和筛选，并辅以投资价值评价，通过深入的调查研究，挖掘上市公司的价值，合理降低投资风险，实现基金资产的长期、稳定增值。</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（1）品质筛选</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筛选出在公司治理、财务及管理品质上符合基本品质要求的上市公司，构建备选股票池，主要筛选指标包括：盈利能力指标、经营效率指标和财务状况指标。</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（2）现金分红能力和估值水平评估</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在上述品质筛选的基础上，本基金采取定性和定量的方法对备选股票进行综合分析，通过综合分析上市公司分红历史和分红预期等因素对上市公司的现金分红能力进行评估，在优选红利股票的同时,本基金将注重考查具有长期增长潜力的公司：</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1）定量分析指标主要包括分红能力指标、分红意愿指标、估值水平指标等。</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分红能力指标包括盈利性指标（如ROE，ROA等）和现金流指标（如经营性现金支出/折旧、自由现金流/销售等）。</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分红意愿指标包括股息支付比例、股利分配率等。</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估值水平指标包括市盈率（P/E）、市净率(P/B)、市价现金流比率（P/CF）等。</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2）定性分析主要集中于对公司基本面因素，本基金将重点考察上市公司的治理结构、盈利持续性和财务稳定性等因素,深入挖掘上市公司的潜在价值。定性分析时重点关注具有以下特征的优质公司：</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①所处行业具有良好的行业发展空间；</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②具有良好公司治理结构，公司注重股东回报，管理层能力较强，内部运作机制顺畅；</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③已建立起市场化经营机制、决策效率高、对市场变化反应灵敏；</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④行业地位突出，具有较强的核心竞争力，并具有与行业竞争结构相适应的、清晰的竞争战略；</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⑤在行业内拥有成本优势、规模优势、品牌优势、技术优势或其它特定优势，公司主要业务或产品市场份额处于行业前列；</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⑥财务稳健，经营效率及盈利能力较强等。</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（3）股票选择及组合优化</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本基金将综合定性分析与定量价值评估的结果，精选估值合理或被低估以及具有上升潜力和投资价值的股票构建股票投资组合，并根据股票的预期收益与风险水平对投资组合进行优化。</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（4）存托凭证的投资策略</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本基金投资存托凭证的策略依照境内上市交易的股票投资策略执行。</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3、债券投资策略</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本基金的债券资产主要投资于信用债，包括金融债（不含政策性金融债）、地方政府债、企业债、公司债、短期融资券、中期票据、可转换债券及分离交易可转债、资产支持证券等除国债和中央银行票据之外的、非国家信用的固定收益类金融工具。</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债券投资方面，本基金充分发挥基金管理人的研究优势，将规范化的基本面研究、严谨的信用分析与积极主动的投资风格相结合，在分析和判断宏观经济运行状况和金融市场运行趋势的基础上，自上而下决定债券组合久期及债券类属配置；在严谨深入的信用分析基础上，综合考量信用债券的信用评级，以及各类债券的流动性、供求关系和收益率水平等，自下而上地精选个券。</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（1）久期管理策略</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在全球经济的框架下，本基金管理人对宏观经济运行趋势及其引致的财政货币政策变化做出判断，密切跟踪CPI、PPI、汇率、M2等利率敏感指标，运用数量化工具，对未来市场利率趋势进行分析与预测，并据此确定合理的债券组合目标久期，通过合理的久期控制实现对利率风险的有效管理。</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（2）债券的类属配置</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本基金定性和定量地分析不同类属债券类资产的信用风险、流动性风险及其经风险调整后的收益率水平或盈利能力，通过比较或合理预期不同类属债券类资产的风险与收益率变化，确定并动态地调整不同类属债券类资产间的配置比例。</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（3）信用债券投资策略</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信用债券同时承载了利率风险与信用风险，而信用风险对信用债券表现的影响胜于利率风险。具体而言，本基金信用债券的投资遵循以下流程：</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①信用债券研究</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信用分析师通过系统的案头研究、走访发行主体、咨询发行中介等各种形式，“自上而下”地分析宏观经济运行趋势、行业（或产业）经济前景，“自下而上”地分析发行主体的发展前景、偿债能力、国家信用支撑等。通过交银施罗德的信用债券信用评级指标体系，对信用债券进行信用评级，并在信用评级的基础上，建立本基金的信用债券池。</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②信用债券投资</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本基金从信用债券池中精选债券构建信用债券投资组合，主要考虑以下因素：</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a.信用债券信用评级的变化。</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b.不同信用等级的信用债券，以及同一信用等级不同标的债券之间的信用利差变化。</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（4）资产支持证券（含资产收益计划）投资策略</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本基金将通过宏观经济、提前偿还率、资产池结构及资产池资产所在行业景气变化等因素的研究，预测资产池未来现金流变化；研究标的证券发行条款，预测提前偿还率变化对标的证券的久期与收益率的影响，同时密切关注流动性对标的证券收益率的影响。综合运用久期管理、收益率曲线、个券选择和把握市场交易机会等积极策略，在严格控制风险的情况下，通过信用研究和流动性管理，选择风险调整后的收益高的品种进行投资，以期获得长期稳定收益。</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（5）可转换债券投资策略</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可转换债券是介于股票和债券之间的投资品种，兼具股性和债性的双重特征。</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本基金对于可转换债券股性的研究将完全依托于公司投研团队对标的股票的研究，在此基础上量化投资部利用可转换债券定价模型，充分考虑转债发行后目标转债标的股票股价波动率可能出现的变化，对目标转债的股性进行合理定价。</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对于本基金可转换债券债性的研究，将引进公司信用债券信用评级指标体系，对可转换债券的发行主体及标的债券进行信用评级，并在信用评级的基础上对其进行合理定价。</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通过对标的转债股性与债性的合理定价，力求寻找出被市场低估的品种，构建本基金可转换债券的投资组合。</w:t>
      </w:r>
    </w:p>
    <w:p>
      <w:pPr>
        <w:autoSpaceDE w:val="0"/>
        <w:autoSpaceDN w:val="0"/>
        <w:adjustRightInd w:val="0"/>
        <w:snapToGrid w:val="0"/>
        <w:spacing w:after="0" w:line="360" w:lineRule="auto"/>
        <w:ind w:firstLine="480" w:firstLineChars="200"/>
        <w:jc w:val="left"/>
        <w:rPr>
          <w:rFonts w:ascii="宋体" w:hAnsi="宋体"/>
          <w:szCs w:val="24"/>
        </w:rPr>
      </w:pPr>
      <w:r>
        <w:rPr>
          <w:rFonts w:ascii="宋体" w:hAnsi="宋体"/>
          <w:b/>
          <w:sz w:val="24"/>
        </w:rPr>
        <w:t>（四）投资限制</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1、组合限制</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基金的投资组合应遵循以下限制：</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（1）本基金股票（含存托凭证）、权证等权益类资产占基金资产净值的30%-70%，债券、资产支持证券、货币市场工具、银行存款等固定收益类资产和现金不低于基金资产净值的30%；</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（2）保持不低于基金资产净值5%的现金或者到期日在一年以内的政府债券，其中现金不包括结算备付金、存出保证金和应收申购款等；</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（3）本基金持有一家上市公司的股票，其市值不超过基金资产净值的10%；</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（4）本基金管理人管理的全部基金持有一家公司发行的证券，不超过该证券的10%；</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（5）本基金持有的全部权证，其市值不得超过基金资产净值的3%；</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（6）本基金管理人管理的全部基金持有的同一权证，不得超过该权证的 10%；</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（7）本基金在任何交易日买入权证的总金额，不得超过上一交易日基金资产净值的0.5%；</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（8）本基金投资于同一原始权益人的各类资产支持证券的比例，不得超过基金资产净值的10%；</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（9）本基金持有的全部资产支持证券，其市值不得超过基金资产净值的20％；</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（10）本基金持有的同一（指同一信用级别）资产支持证券的比例，不得超过该资产支持证券规模的10%；</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（11）本基金管理人管理的全部基金投资于同一原始权益人的各类资产支持证券，不得超过其各类资产支持证券合计规模的10%；</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（12）本基金应投资于信用级别评级为BBB以上(含BBB)的资产支持证券。基金持有资产支持证券期间，如果其信用等级下降、不再符合投资标准，应在评级报告发布之日起3个月内予以全部卖出；</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（13）基金财产参与股票发行申购，本基金所申报的金额不超过本基金的总资产，本基金所申报的股票数量不超过拟发行股票公司本次发行股票的总量；</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（14）本基金进入全国银行间同业市场进行债券回购的资金余额不得超过基金资产净值的40%。债券回购最长期限为1年，债券回购到期后不得展期；</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15）本基金管理人管理的全部开放式基金（包括开放式基金以及处于开放期的定期开放基金）持有一家上市公司发行的可流通股票，不得超过该上市公司可流通股票的15%；本基金管理人管理的全部投资组合持有一家上市公司发行的可流通股票，不得超过该上市公司可流通股票的30%；</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16）本基金主动投资于流动性受限资产的市值合计不得超过基金资产净值的15%；因证券市场波动、上市公司股票停牌、基金规模变动等基金管理人之外的因素致使基金不符合该比例限制的，基金管理人不得主动新增流动性受限资产的投资；</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（17）本基金与私募类证券资管产品及中国证监会认定的其他主体为交易对手开展逆回购交易的，可接受质押品的资质要求应当与本基金合同约定的投资范围保持一致；</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（18）本基金投资存托凭证的比例限制依照境内上市交易的股票执行；</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（19）法律法规及中国证监会规定的和基金合同约定的其他投资限制。</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除上述第（2）、（12）、（16）、（17）项外，因证券市场波动、上市公司合并、基金规模变动、股权分置改革中支付对价等基金管理人之外的因素致使基金投资比例不符合上述规定投资比例的，基金管理人应当在10个交易日内进行调整，法律法规另有规定的从其规定。</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基金管理人应当自基金合同生效之日起6个月内使基金的投资组合比例符合基金合同的有关约定。基金托管人对基金的投资的监督与检查自本基金合同生效之日起开始。</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法律法规或监管部门取消或修改上述限制，如适用于本基金，基金管理人在履行适当程序后，则本基金投资所受限制相应调整。</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2、禁止行为</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为维护基金份额持有人的合法权益，基金财产不得用于下列投资或者活动：</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（1）承销证券；</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（2）向他人贷款或者提供担保；</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（3）从事承担无限责任的投资；</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（4）买卖其他基金份额，但是国务院另有规定的除外；</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（5）向其基金管理人、基金托管人出资或者买卖其基金管理人、基金托管人发行的股票或者债券；</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（6）买卖与其基金管理人、基金托管人有控股关系的股东或者与其基金管理人、基金托管人有其他重大利害关系的公司发行的证券或者承销期内承销的证券；</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（7）从事内幕交易、操纵证券交易价格及其他不正当的证券交易活动；</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（8）依照法律法规有关规定，由中国证监会规定禁止的其他活动。</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如法律法规或监管部门取消上述禁止性规定，本基金管理人在履行适当程序后可不受上述规定的限制。</w:t>
      </w:r>
    </w:p>
    <w:p>
      <w:pPr>
        <w:autoSpaceDE w:val="0"/>
        <w:autoSpaceDN w:val="0"/>
        <w:adjustRightInd w:val="0"/>
        <w:snapToGrid w:val="0"/>
        <w:spacing w:after="0" w:line="360" w:lineRule="auto"/>
        <w:ind w:firstLine="480" w:firstLineChars="200"/>
        <w:jc w:val="left"/>
        <w:rPr>
          <w:rFonts w:ascii="宋体" w:hAnsi="宋体"/>
          <w:szCs w:val="24"/>
        </w:rPr>
      </w:pPr>
      <w:r>
        <w:rPr>
          <w:rFonts w:ascii="宋体" w:hAnsi="宋体"/>
          <w:b/>
          <w:sz w:val="24"/>
        </w:rPr>
        <w:t>（五）业绩比较基准</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本基金的业绩比较基准为50%×中证红利指数收益率+50%×中债综合全价指数收益率</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中证红利指数挑选在上海证券交易所和深圳证券交易所上市的现金股息率高、分红比较稳定、具有一定规模及流动性的100 只股票作为样本，以反映A 股市场红利股票的整体状况和走势。该指数具有较好的权威性、市场代表性，作为衡量本基金股票投资部分业绩的比较基准，较为合适。</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中债综合全价指数综合反映了债券市场整体价格和回报情况，是目前市场上较为权威的反映债券市场整体走势的基准指数之一。该指数合理、透明、公开，具有较好的市场接受度，作为衡量本基金债券投资部分业绩的比较基准，较为合适。</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考虑到本基金的投资比例及各投资对象价格的变动对基金净值的不同影响，本基金对上述两个基准指数按照目标资产配置比例分配权重，作为综合衡量本基金投资业绩的比较基准。</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如果上述基准指数停止计算编制或更改名称，或者今后法律法规发生变化，又或者市场推出更具权威、且更能够表征本基金风险收益特征的指数，则本基金管理人可与基金托管人协商一致，调整或变更本基金的业绩比较基准并及时公告。</w:t>
      </w:r>
    </w:p>
    <w:p>
      <w:pPr>
        <w:autoSpaceDE w:val="0"/>
        <w:autoSpaceDN w:val="0"/>
        <w:adjustRightInd w:val="0"/>
        <w:snapToGrid w:val="0"/>
        <w:spacing w:after="0" w:line="360" w:lineRule="auto"/>
        <w:ind w:firstLine="480" w:firstLineChars="200"/>
        <w:jc w:val="left"/>
        <w:rPr>
          <w:rFonts w:ascii="宋体" w:hAnsi="宋体"/>
          <w:szCs w:val="24"/>
        </w:rPr>
      </w:pPr>
      <w:r>
        <w:rPr>
          <w:rFonts w:ascii="宋体" w:hAnsi="宋体"/>
          <w:b/>
          <w:sz w:val="24"/>
        </w:rPr>
        <w:t>（六）风险收益特征</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本基金是一只混合型基金，在证券投资基金中属于较高风险的品种，其长期平均风险和预期收益高于货币市场基金和债券型基金，低于股票型基金。根据2017年7月1日施行的《证券期货投资者适当性管理办法》，基金管理人和销售机构已对本基金重新进行风险评级。风险评级行为不改变本基金的实质性风险收益特征。但由于风险等级分类标准的变化，本基金的风险等级表述可能有相应变化，具体风险评级结果应以基金管理人和销售机构提供的评级结果为准。</w:t>
      </w:r>
    </w:p>
    <w:p>
      <w:pPr>
        <w:autoSpaceDE w:val="0"/>
        <w:autoSpaceDN w:val="0"/>
        <w:adjustRightInd w:val="0"/>
        <w:snapToGrid w:val="0"/>
        <w:spacing w:after="0" w:line="360" w:lineRule="auto"/>
        <w:ind w:firstLine="480" w:firstLineChars="200"/>
        <w:jc w:val="left"/>
        <w:rPr>
          <w:rFonts w:ascii="宋体" w:hAnsi="宋体"/>
          <w:szCs w:val="24"/>
        </w:rPr>
      </w:pPr>
      <w:r>
        <w:rPr>
          <w:rFonts w:ascii="宋体" w:hAnsi="宋体"/>
          <w:b/>
          <w:sz w:val="24"/>
        </w:rPr>
        <w:t>（七）基金的融资融券</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本基金可以按照届时有效的有关法律法规和政策的规定进行融资融券。</w:t>
      </w:r>
    </w:p>
    <w:p>
      <w:pPr>
        <w:autoSpaceDE w:val="0"/>
        <w:autoSpaceDN w:val="0"/>
        <w:adjustRightInd w:val="0"/>
        <w:snapToGrid w:val="0"/>
        <w:spacing w:after="0" w:line="360" w:lineRule="auto"/>
        <w:ind w:firstLine="480" w:firstLineChars="200"/>
        <w:jc w:val="left"/>
        <w:rPr>
          <w:rFonts w:ascii="宋体" w:hAnsi="宋体"/>
          <w:szCs w:val="24"/>
        </w:rPr>
      </w:pPr>
      <w:r>
        <w:rPr>
          <w:rFonts w:ascii="宋体" w:hAnsi="宋体"/>
          <w:b/>
          <w:sz w:val="24"/>
        </w:rPr>
        <w:t>（八）基金管理人代表基金行使股东及债权人权利的处理原则及方法</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1、基金管理人按照国家有关规定代表基金独立行使股东及债权人权利，保护基金份额持有人的利益；</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2、不谋求对上市公司的控股，不参与所投资上市公司的经营管理；</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3、有利于基金财产的安全与增值；</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4、不通过关联交易为自身、雇员、授权代理人或任何存在利害关系的第三人牟取任何不当利益。</w:t>
      </w:r>
    </w:p>
    <w:p>
      <w:pPr>
        <w:autoSpaceDE w:val="0"/>
        <w:autoSpaceDN w:val="0"/>
        <w:adjustRightInd w:val="0"/>
        <w:snapToGrid w:val="0"/>
        <w:spacing w:after="0" w:line="360" w:lineRule="auto"/>
        <w:ind w:firstLine="480" w:firstLineChars="200"/>
        <w:jc w:val="left"/>
        <w:rPr>
          <w:rFonts w:ascii="宋体" w:hAnsi="宋体"/>
          <w:szCs w:val="24"/>
        </w:rPr>
      </w:pPr>
      <w:r>
        <w:rPr>
          <w:rFonts w:ascii="宋体" w:hAnsi="宋体"/>
          <w:b/>
          <w:sz w:val="24"/>
        </w:rPr>
        <w:t>（九）基金投资组合报告</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基金管理人的董事会及董事保证本报告所载资料不存在虚假记载、误导性陈述或重大遗漏，并对其内容的真实性、准确性和完整性承担个别及连带责任。</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基金托管人中国农业银行股份有限公司根据本基金合同约定，于2026年07月17日复核了本报告中的财务指标、净值表现和投资组合报告等内容，保证复核内容不存在虚假记载、误导性陈述或者重大遗漏。</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本报告期自2026年04月01日起至2026年06月30日止。本报告中财务资料未经审计。</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1、报告期末基金资产组合情况</w:t>
      </w:r>
    </w:p>
    <w:tbl>
      <w:tblPr>
        <w:tblStyle w:val="14"/>
        <w:tblW w:w="5000" w:type="pct"/>
        <w:tblInd w:w="0" w:type="dxa"/>
        <w:tblLayout w:type="fixed"/>
        <w:tblCellMar>
          <w:top w:w="0" w:type="dxa"/>
          <w:left w:w="0" w:type="dxa"/>
          <w:bottom w:w="0" w:type="dxa"/>
          <w:right w:w="0" w:type="dxa"/>
        </w:tblCellMar>
      </w:tblPr>
      <w:tblGrid>
        <w:gridCol w:w="2167"/>
        <w:gridCol w:w="2167"/>
        <w:gridCol w:w="2168"/>
        <w:gridCol w:w="2168"/>
      </w:tblGrid>
      <w:tr>
        <w:tblPrEx>
          <w:tblCellMar>
            <w:top w:w="0" w:type="dxa"/>
            <w:left w:w="0" w:type="dxa"/>
            <w:bottom w:w="0" w:type="dxa"/>
            <w:right w:w="0" w:type="dxa"/>
          </w:tblCellMar>
        </w:tblPrEx>
        <w:trPr>
          <w:cantSplit/>
          <w:trHeight w:val="375" w:hRule="atLeast"/>
        </w:trPr>
        <w:tc>
          <w:tcPr>
            <w:tcW w:w="7" w:type="dxa"/>
            <w:tcBorders>
              <w:top w:val="single" w:color="auto" w:sz="4" w:space="0"/>
              <w:left w:val="single" w:color="auto" w:sz="4" w:space="0"/>
              <w:bottom w:val="single" w:color="auto" w:sz="4" w:space="0"/>
              <w:right w:val="single" w:color="auto" w:sz="4" w:space="0"/>
            </w:tcBorders>
            <w:vAlign w:val="center"/>
          </w:tcPr>
          <w:p>
            <w:pPr>
              <w:widowControl/>
              <w:snapToGrid w:val="0"/>
              <w:spacing w:after="0" w:line="240" w:lineRule="auto"/>
              <w:jc w:val="center"/>
              <w:rPr>
                <w:rFonts w:ascii="宋体" w:hAnsi="宋体"/>
                <w:color w:val="000000"/>
                <w:kern w:val="0"/>
                <w:sz w:val="24"/>
                <w:szCs w:val="24"/>
              </w:rPr>
            </w:pPr>
            <w:r>
              <w:rPr>
                <w:rFonts w:ascii="宋体" w:hAnsi="宋体"/>
                <w:color w:val="000000"/>
                <w:kern w:val="0"/>
                <w:sz w:val="24"/>
                <w:szCs w:val="24"/>
              </w:rPr>
              <w:t>序号</w:t>
            </w:r>
          </w:p>
        </w:tc>
        <w:tc>
          <w:tcPr>
            <w:tcW w:w="7" w:type="dxa"/>
            <w:tcBorders>
              <w:top w:val="single" w:color="auto" w:sz="4" w:space="0"/>
              <w:left w:val="single" w:color="auto" w:sz="4" w:space="0"/>
              <w:bottom w:val="single" w:color="auto" w:sz="4" w:space="0"/>
              <w:right w:val="single" w:color="auto" w:sz="4" w:space="0"/>
            </w:tcBorders>
            <w:vAlign w:val="center"/>
          </w:tcPr>
          <w:p>
            <w:pPr>
              <w:widowControl/>
              <w:snapToGrid w:val="0"/>
              <w:spacing w:after="0" w:line="240" w:lineRule="auto"/>
              <w:jc w:val="center"/>
              <w:rPr>
                <w:rFonts w:ascii="宋体" w:hAnsi="宋体"/>
                <w:color w:val="000000"/>
                <w:kern w:val="0"/>
                <w:sz w:val="24"/>
                <w:szCs w:val="24"/>
              </w:rPr>
            </w:pPr>
            <w:r>
              <w:rPr>
                <w:rFonts w:ascii="宋体" w:hAnsi="宋体"/>
                <w:color w:val="000000"/>
                <w:kern w:val="0"/>
                <w:sz w:val="24"/>
                <w:szCs w:val="24"/>
              </w:rPr>
              <w:t>项目</w:t>
            </w:r>
          </w:p>
        </w:tc>
        <w:tc>
          <w:tcPr>
            <w:tcW w:w="7" w:type="dxa"/>
            <w:tcBorders>
              <w:top w:val="single" w:color="auto" w:sz="4" w:space="0"/>
              <w:left w:val="single" w:color="auto" w:sz="4" w:space="0"/>
              <w:bottom w:val="single" w:color="auto" w:sz="4" w:space="0"/>
              <w:right w:val="single" w:color="auto" w:sz="4" w:space="0"/>
            </w:tcBorders>
            <w:vAlign w:val="center"/>
          </w:tcPr>
          <w:p>
            <w:pPr>
              <w:widowControl/>
              <w:snapToGrid w:val="0"/>
              <w:spacing w:after="0" w:line="240" w:lineRule="auto"/>
              <w:jc w:val="center"/>
              <w:rPr>
                <w:rFonts w:ascii="宋体" w:hAnsi="宋体"/>
                <w:color w:val="000000"/>
                <w:kern w:val="0"/>
                <w:sz w:val="24"/>
                <w:szCs w:val="24"/>
              </w:rPr>
            </w:pPr>
            <w:r>
              <w:rPr>
                <w:rFonts w:ascii="宋体" w:hAnsi="宋体"/>
                <w:color w:val="000000"/>
                <w:kern w:val="0"/>
                <w:sz w:val="24"/>
                <w:szCs w:val="24"/>
              </w:rPr>
              <w:t>金额（元）</w:t>
            </w:r>
          </w:p>
        </w:tc>
        <w:tc>
          <w:tcPr>
            <w:tcW w:w="7" w:type="dxa"/>
            <w:tcBorders>
              <w:top w:val="single" w:color="auto" w:sz="4" w:space="0"/>
              <w:left w:val="single" w:color="auto" w:sz="4" w:space="0"/>
              <w:bottom w:val="single" w:color="auto" w:sz="4" w:space="0"/>
              <w:right w:val="single" w:color="auto" w:sz="4" w:space="0"/>
            </w:tcBorders>
            <w:vAlign w:val="center"/>
          </w:tcPr>
          <w:p>
            <w:pPr>
              <w:widowControl/>
              <w:snapToGrid w:val="0"/>
              <w:spacing w:after="0" w:line="240" w:lineRule="auto"/>
              <w:jc w:val="center"/>
              <w:rPr>
                <w:rFonts w:ascii="宋体" w:hAnsi="宋体"/>
                <w:color w:val="000000"/>
                <w:kern w:val="0"/>
                <w:sz w:val="24"/>
                <w:szCs w:val="24"/>
              </w:rPr>
            </w:pPr>
            <w:r>
              <w:rPr>
                <w:rFonts w:ascii="宋体" w:hAnsi="宋体"/>
                <w:color w:val="000000"/>
                <w:kern w:val="0"/>
                <w:sz w:val="24"/>
                <w:szCs w:val="24"/>
              </w:rPr>
              <w:t>占基金总资产的比例（%）</w:t>
            </w:r>
          </w:p>
        </w:tc>
      </w:tr>
      <w:tr>
        <w:tblPrEx>
          <w:tblCellMar>
            <w:top w:w="0" w:type="dxa"/>
            <w:left w:w="0" w:type="dxa"/>
            <w:bottom w:w="0" w:type="dxa"/>
            <w:right w:w="0" w:type="dxa"/>
          </w:tblCellMar>
        </w:tblPrEx>
        <w:trPr>
          <w:cantSplit/>
          <w:trHeight w:val="375" w:hRule="atLeast"/>
        </w:trPr>
        <w:tc>
          <w:tcPr>
            <w:tcW w:w="7" w:type="dxa"/>
            <w:tcBorders>
              <w:top w:val="single" w:color="auto" w:sz="4" w:space="0"/>
              <w:left w:val="single" w:color="auto" w:sz="4" w:space="0"/>
              <w:bottom w:val="single" w:color="auto" w:sz="4" w:space="0"/>
              <w:right w:val="single" w:color="auto" w:sz="4" w:space="0"/>
            </w:tcBorders>
            <w:vAlign w:val="center"/>
          </w:tcPr>
          <w:p>
            <w:pPr>
              <w:widowControl/>
              <w:snapToGrid w:val="0"/>
              <w:spacing w:after="0" w:line="240" w:lineRule="auto"/>
              <w:jc w:val="center"/>
              <w:rPr>
                <w:rFonts w:ascii="宋体" w:hAnsi="宋体"/>
                <w:color w:val="000000"/>
                <w:kern w:val="0"/>
                <w:sz w:val="24"/>
                <w:szCs w:val="24"/>
              </w:rPr>
            </w:pPr>
            <w:r>
              <w:rPr>
                <w:rFonts w:ascii="宋体" w:hAnsi="宋体"/>
                <w:color w:val="000000"/>
                <w:kern w:val="0"/>
                <w:sz w:val="24"/>
                <w:szCs w:val="24"/>
              </w:rPr>
              <w:t>1</w:t>
            </w:r>
          </w:p>
        </w:tc>
        <w:tc>
          <w:tcPr>
            <w:tcW w:w="7" w:type="dxa"/>
            <w:vMerge w:val="restart"/>
            <w:tcBorders>
              <w:top w:val="single" w:color="auto" w:sz="4" w:space="0"/>
              <w:left w:val="single" w:color="auto" w:sz="4" w:space="0"/>
              <w:bottom w:val="single" w:color="auto" w:sz="4" w:space="0"/>
              <w:right w:val="single" w:color="auto" w:sz="4" w:space="0"/>
            </w:tcBorders>
            <w:vAlign w:val="center"/>
          </w:tcPr>
          <w:p>
            <w:pPr>
              <w:spacing w:after="0" w:line="240" w:lineRule="auto"/>
              <w:jc w:val="left"/>
            </w:pPr>
            <w:r>
              <w:rPr>
                <w:rFonts w:ascii="宋体" w:hAnsi="宋体"/>
                <w:color w:val="000000"/>
                <w:kern w:val="0"/>
                <w:sz w:val="25"/>
                <w:szCs w:val="24"/>
              </w:rPr>
              <w:t>权益投资</w:t>
            </w:r>
          </w:p>
        </w:tc>
        <w:tc>
          <w:tcPr>
            <w:tcW w:w="7" w:type="dxa"/>
            <w:tcBorders>
              <w:top w:val="single" w:color="auto" w:sz="4" w:space="0"/>
              <w:left w:val="single" w:color="auto" w:sz="4" w:space="0"/>
              <w:bottom w:val="single" w:color="auto" w:sz="4" w:space="0"/>
              <w:right w:val="single" w:color="auto" w:sz="4" w:space="0"/>
            </w:tcBorders>
            <w:vAlign w:val="center"/>
          </w:tcPr>
          <w:p>
            <w:pPr>
              <w:widowControl/>
              <w:snapToGrid w:val="0"/>
              <w:spacing w:after="0" w:line="240" w:lineRule="auto"/>
              <w:jc w:val="right"/>
              <w:rPr>
                <w:rFonts w:ascii="宋体" w:hAnsi="宋体"/>
                <w:color w:val="000000"/>
                <w:kern w:val="0"/>
                <w:sz w:val="24"/>
                <w:szCs w:val="24"/>
              </w:rPr>
            </w:pPr>
            <w:r>
              <w:rPr>
                <w:rFonts w:ascii="宋体" w:hAnsi="宋体"/>
                <w:color w:val="000000"/>
                <w:kern w:val="0"/>
                <w:sz w:val="24"/>
                <w:szCs w:val="24"/>
              </w:rPr>
              <w:t>2,833,059,536.76</w:t>
            </w:r>
          </w:p>
        </w:tc>
        <w:tc>
          <w:tcPr>
            <w:tcW w:w="7" w:type="dxa"/>
            <w:tcBorders>
              <w:top w:val="single" w:color="auto" w:sz="4" w:space="0"/>
              <w:left w:val="single" w:color="auto" w:sz="4" w:space="0"/>
              <w:bottom w:val="single" w:color="auto" w:sz="4" w:space="0"/>
              <w:right w:val="single" w:color="auto" w:sz="4" w:space="0"/>
            </w:tcBorders>
            <w:vAlign w:val="center"/>
          </w:tcPr>
          <w:p>
            <w:pPr>
              <w:widowControl/>
              <w:snapToGrid w:val="0"/>
              <w:spacing w:after="0" w:line="240" w:lineRule="auto"/>
              <w:jc w:val="right"/>
              <w:rPr>
                <w:rFonts w:ascii="宋体" w:hAnsi="宋体"/>
                <w:color w:val="000000"/>
                <w:kern w:val="0"/>
                <w:sz w:val="24"/>
                <w:szCs w:val="24"/>
              </w:rPr>
            </w:pPr>
            <w:r>
              <w:rPr>
                <w:rFonts w:ascii="宋体" w:hAnsi="宋体"/>
                <w:color w:val="000000"/>
                <w:kern w:val="0"/>
                <w:sz w:val="24"/>
                <w:szCs w:val="24"/>
              </w:rPr>
              <w:t>68.74</w:t>
            </w:r>
          </w:p>
        </w:tc>
      </w:tr>
      <w:tr>
        <w:tblPrEx>
          <w:tblCellMar>
            <w:top w:w="0" w:type="dxa"/>
            <w:left w:w="0" w:type="dxa"/>
            <w:bottom w:w="0" w:type="dxa"/>
            <w:right w:w="0" w:type="dxa"/>
          </w:tblCellMar>
        </w:tblPrEx>
        <w:trPr>
          <w:cantSplit/>
          <w:trHeight w:val="375" w:hRule="atLeast"/>
        </w:trPr>
        <w:tc>
          <w:tcPr>
            <w:tcW w:w="7" w:type="dxa"/>
            <w:tcBorders>
              <w:top w:val="single" w:color="auto" w:sz="4" w:space="0"/>
              <w:left w:val="single" w:color="auto" w:sz="4" w:space="0"/>
              <w:bottom w:val="single" w:color="auto" w:sz="4" w:space="0"/>
              <w:right w:val="single" w:color="auto" w:sz="4" w:space="0"/>
            </w:tcBorders>
            <w:vAlign w:val="center"/>
          </w:tcPr>
          <w:p>
            <w:pPr>
              <w:widowControl/>
              <w:snapToGrid w:val="0"/>
              <w:spacing w:after="0" w:line="240" w:lineRule="auto"/>
              <w:jc w:val="center"/>
              <w:rPr>
                <w:rFonts w:ascii="宋体" w:hAnsi="宋体"/>
                <w:color w:val="000000"/>
                <w:kern w:val="0"/>
                <w:sz w:val="24"/>
                <w:szCs w:val="24"/>
              </w:rPr>
            </w:pPr>
            <w:r>
              <w:rPr>
                <w:rFonts w:ascii="宋体" w:hAnsi="宋体"/>
                <w:color w:val="000000"/>
                <w:kern w:val="0"/>
                <w:sz w:val="24"/>
                <w:szCs w:val="24"/>
              </w:rPr>
              <w:t>　</w:t>
            </w:r>
          </w:p>
        </w:tc>
        <w:tc>
          <w:tcPr>
            <w:tcW w:w="7" w:type="dxa"/>
            <w:vMerge w:val="restart"/>
            <w:tcBorders>
              <w:top w:val="single" w:color="auto" w:sz="4" w:space="0"/>
              <w:left w:val="single" w:color="auto" w:sz="4" w:space="0"/>
              <w:bottom w:val="single" w:color="auto" w:sz="4" w:space="0"/>
              <w:right w:val="single" w:color="auto" w:sz="4" w:space="0"/>
            </w:tcBorders>
            <w:vAlign w:val="center"/>
          </w:tcPr>
          <w:p>
            <w:pPr>
              <w:spacing w:after="0" w:line="240" w:lineRule="auto"/>
              <w:jc w:val="left"/>
            </w:pPr>
            <w:r>
              <w:rPr>
                <w:rFonts w:ascii="宋体" w:hAnsi="宋体"/>
                <w:color w:val="000000"/>
                <w:kern w:val="0"/>
                <w:sz w:val="25"/>
                <w:szCs w:val="24"/>
              </w:rPr>
              <w:t>其中：股票</w:t>
            </w:r>
          </w:p>
        </w:tc>
        <w:tc>
          <w:tcPr>
            <w:tcW w:w="7" w:type="dxa"/>
            <w:tcBorders>
              <w:top w:val="single" w:color="auto" w:sz="4" w:space="0"/>
              <w:left w:val="single" w:color="auto" w:sz="4" w:space="0"/>
              <w:bottom w:val="single" w:color="auto" w:sz="4" w:space="0"/>
              <w:right w:val="single" w:color="auto" w:sz="4" w:space="0"/>
            </w:tcBorders>
            <w:vAlign w:val="center"/>
          </w:tcPr>
          <w:p>
            <w:pPr>
              <w:widowControl/>
              <w:snapToGrid w:val="0"/>
              <w:spacing w:after="0" w:line="240" w:lineRule="auto"/>
              <w:jc w:val="right"/>
              <w:rPr>
                <w:rFonts w:ascii="宋体" w:hAnsi="宋体"/>
                <w:color w:val="000000"/>
                <w:kern w:val="0"/>
                <w:sz w:val="24"/>
                <w:szCs w:val="24"/>
              </w:rPr>
            </w:pPr>
            <w:r>
              <w:rPr>
                <w:rFonts w:ascii="宋体" w:hAnsi="宋体"/>
                <w:color w:val="000000"/>
                <w:kern w:val="0"/>
                <w:sz w:val="24"/>
                <w:szCs w:val="24"/>
              </w:rPr>
              <w:t>2,833,059,536.76</w:t>
            </w:r>
          </w:p>
        </w:tc>
        <w:tc>
          <w:tcPr>
            <w:tcW w:w="7" w:type="dxa"/>
            <w:tcBorders>
              <w:top w:val="single" w:color="auto" w:sz="4" w:space="0"/>
              <w:left w:val="single" w:color="auto" w:sz="4" w:space="0"/>
              <w:bottom w:val="single" w:color="auto" w:sz="4" w:space="0"/>
              <w:right w:val="single" w:color="auto" w:sz="4" w:space="0"/>
            </w:tcBorders>
            <w:vAlign w:val="center"/>
          </w:tcPr>
          <w:p>
            <w:pPr>
              <w:widowControl/>
              <w:snapToGrid w:val="0"/>
              <w:spacing w:after="0" w:line="240" w:lineRule="auto"/>
              <w:jc w:val="right"/>
              <w:rPr>
                <w:rFonts w:ascii="宋体" w:hAnsi="宋体"/>
                <w:color w:val="000000"/>
                <w:kern w:val="0"/>
                <w:sz w:val="24"/>
                <w:szCs w:val="24"/>
              </w:rPr>
            </w:pPr>
            <w:r>
              <w:rPr>
                <w:rFonts w:ascii="宋体" w:hAnsi="宋体"/>
                <w:color w:val="000000"/>
                <w:kern w:val="0"/>
                <w:sz w:val="24"/>
                <w:szCs w:val="24"/>
              </w:rPr>
              <w:t>68.74</w:t>
            </w:r>
          </w:p>
        </w:tc>
      </w:tr>
      <w:tr>
        <w:tblPrEx>
          <w:tblCellMar>
            <w:top w:w="0" w:type="dxa"/>
            <w:left w:w="0" w:type="dxa"/>
            <w:bottom w:w="0" w:type="dxa"/>
            <w:right w:w="0" w:type="dxa"/>
          </w:tblCellMar>
        </w:tblPrEx>
        <w:trPr>
          <w:cantSplit/>
          <w:trHeight w:val="375" w:hRule="atLeast"/>
        </w:trPr>
        <w:tc>
          <w:tcPr>
            <w:tcW w:w="7" w:type="dxa"/>
            <w:tcBorders>
              <w:top w:val="single" w:color="auto" w:sz="4" w:space="0"/>
              <w:left w:val="single" w:color="auto" w:sz="4" w:space="0"/>
              <w:bottom w:val="single" w:color="auto" w:sz="4" w:space="0"/>
              <w:right w:val="single" w:color="auto" w:sz="4" w:space="0"/>
            </w:tcBorders>
            <w:vAlign w:val="center"/>
          </w:tcPr>
          <w:p>
            <w:pPr>
              <w:widowControl/>
              <w:snapToGrid w:val="0"/>
              <w:spacing w:after="0" w:line="240" w:lineRule="auto"/>
              <w:jc w:val="center"/>
              <w:rPr>
                <w:rFonts w:ascii="宋体" w:hAnsi="宋体"/>
                <w:color w:val="000000"/>
                <w:kern w:val="0"/>
                <w:sz w:val="24"/>
                <w:szCs w:val="24"/>
              </w:rPr>
            </w:pPr>
            <w:r>
              <w:rPr>
                <w:rFonts w:ascii="宋体" w:hAnsi="宋体"/>
                <w:color w:val="000000"/>
                <w:kern w:val="0"/>
                <w:sz w:val="24"/>
                <w:szCs w:val="24"/>
              </w:rPr>
              <w:t>2</w:t>
            </w:r>
          </w:p>
        </w:tc>
        <w:tc>
          <w:tcPr>
            <w:tcW w:w="7" w:type="dxa"/>
            <w:vMerge w:val="restart"/>
            <w:tcBorders>
              <w:top w:val="single" w:color="auto" w:sz="4" w:space="0"/>
              <w:left w:val="single" w:color="auto" w:sz="4" w:space="0"/>
              <w:bottom w:val="single" w:color="auto" w:sz="4" w:space="0"/>
              <w:right w:val="single" w:color="auto" w:sz="4" w:space="0"/>
            </w:tcBorders>
            <w:vAlign w:val="center"/>
          </w:tcPr>
          <w:p>
            <w:pPr>
              <w:spacing w:after="0" w:line="240" w:lineRule="auto"/>
              <w:jc w:val="left"/>
            </w:pPr>
            <w:r>
              <w:rPr>
                <w:rFonts w:ascii="宋体" w:hAnsi="宋体"/>
                <w:color w:val="000000"/>
                <w:kern w:val="0"/>
                <w:sz w:val="25"/>
                <w:szCs w:val="24"/>
              </w:rPr>
              <w:t>基金投资</w:t>
            </w:r>
          </w:p>
        </w:tc>
        <w:tc>
          <w:tcPr>
            <w:tcW w:w="7" w:type="dxa"/>
            <w:tcBorders>
              <w:top w:val="single" w:color="auto" w:sz="4" w:space="0"/>
              <w:left w:val="single" w:color="auto" w:sz="4" w:space="0"/>
              <w:bottom w:val="single" w:color="auto" w:sz="4" w:space="0"/>
              <w:right w:val="single" w:color="auto" w:sz="4" w:space="0"/>
            </w:tcBorders>
            <w:vAlign w:val="center"/>
          </w:tcPr>
          <w:p>
            <w:pPr>
              <w:widowControl/>
              <w:snapToGrid w:val="0"/>
              <w:spacing w:after="0" w:line="240" w:lineRule="auto"/>
              <w:jc w:val="right"/>
              <w:rPr>
                <w:rFonts w:ascii="宋体" w:hAnsi="宋体"/>
                <w:color w:val="000000"/>
                <w:kern w:val="0"/>
                <w:sz w:val="24"/>
                <w:szCs w:val="24"/>
              </w:rPr>
            </w:pPr>
            <w:r>
              <w:rPr>
                <w:rFonts w:ascii="宋体" w:hAnsi="宋体"/>
                <w:color w:val="000000"/>
                <w:kern w:val="0"/>
                <w:sz w:val="24"/>
                <w:szCs w:val="24"/>
              </w:rPr>
              <w:t>-</w:t>
            </w:r>
          </w:p>
        </w:tc>
        <w:tc>
          <w:tcPr>
            <w:tcW w:w="7" w:type="dxa"/>
            <w:tcBorders>
              <w:top w:val="single" w:color="auto" w:sz="4" w:space="0"/>
              <w:left w:val="single" w:color="auto" w:sz="4" w:space="0"/>
              <w:bottom w:val="single" w:color="auto" w:sz="4" w:space="0"/>
              <w:right w:val="single" w:color="auto" w:sz="4" w:space="0"/>
            </w:tcBorders>
            <w:vAlign w:val="center"/>
          </w:tcPr>
          <w:p>
            <w:pPr>
              <w:widowControl/>
              <w:snapToGrid w:val="0"/>
              <w:spacing w:after="0" w:line="240" w:lineRule="auto"/>
              <w:jc w:val="right"/>
              <w:rPr>
                <w:rFonts w:ascii="宋体" w:hAnsi="宋体"/>
                <w:color w:val="000000"/>
                <w:kern w:val="0"/>
                <w:sz w:val="24"/>
                <w:szCs w:val="24"/>
              </w:rPr>
            </w:pPr>
            <w:r>
              <w:rPr>
                <w:rFonts w:ascii="宋体" w:hAnsi="宋体"/>
                <w:color w:val="000000"/>
                <w:kern w:val="0"/>
                <w:sz w:val="24"/>
                <w:szCs w:val="24"/>
              </w:rPr>
              <w:t>-</w:t>
            </w:r>
          </w:p>
        </w:tc>
      </w:tr>
      <w:tr>
        <w:tblPrEx>
          <w:tblCellMar>
            <w:top w:w="0" w:type="dxa"/>
            <w:left w:w="0" w:type="dxa"/>
            <w:bottom w:w="0" w:type="dxa"/>
            <w:right w:w="0" w:type="dxa"/>
          </w:tblCellMar>
        </w:tblPrEx>
        <w:trPr>
          <w:cantSplit/>
          <w:trHeight w:val="375" w:hRule="atLeast"/>
        </w:trPr>
        <w:tc>
          <w:tcPr>
            <w:tcW w:w="7" w:type="dxa"/>
            <w:tcBorders>
              <w:top w:val="single" w:color="auto" w:sz="4" w:space="0"/>
              <w:left w:val="single" w:color="auto" w:sz="4" w:space="0"/>
              <w:bottom w:val="single" w:color="auto" w:sz="4" w:space="0"/>
              <w:right w:val="single" w:color="auto" w:sz="4" w:space="0"/>
            </w:tcBorders>
            <w:vAlign w:val="center"/>
          </w:tcPr>
          <w:p>
            <w:pPr>
              <w:widowControl/>
              <w:snapToGrid w:val="0"/>
              <w:spacing w:after="0" w:line="240" w:lineRule="auto"/>
              <w:jc w:val="center"/>
              <w:rPr>
                <w:rFonts w:ascii="宋体" w:hAnsi="宋体"/>
                <w:color w:val="000000"/>
                <w:kern w:val="0"/>
                <w:sz w:val="24"/>
                <w:szCs w:val="24"/>
              </w:rPr>
            </w:pPr>
            <w:r>
              <w:rPr>
                <w:rFonts w:ascii="宋体" w:hAnsi="宋体"/>
                <w:color w:val="000000"/>
                <w:kern w:val="0"/>
                <w:sz w:val="24"/>
                <w:szCs w:val="24"/>
              </w:rPr>
              <w:t>3</w:t>
            </w:r>
          </w:p>
        </w:tc>
        <w:tc>
          <w:tcPr>
            <w:tcW w:w="7" w:type="dxa"/>
            <w:vMerge w:val="restart"/>
            <w:tcBorders>
              <w:top w:val="single" w:color="auto" w:sz="4" w:space="0"/>
              <w:left w:val="single" w:color="auto" w:sz="4" w:space="0"/>
              <w:bottom w:val="single" w:color="auto" w:sz="4" w:space="0"/>
              <w:right w:val="single" w:color="auto" w:sz="4" w:space="0"/>
            </w:tcBorders>
            <w:vAlign w:val="center"/>
          </w:tcPr>
          <w:p>
            <w:pPr>
              <w:spacing w:after="0" w:line="240" w:lineRule="auto"/>
              <w:jc w:val="left"/>
            </w:pPr>
            <w:r>
              <w:rPr>
                <w:rFonts w:ascii="宋体" w:hAnsi="宋体"/>
                <w:color w:val="000000"/>
                <w:kern w:val="0"/>
                <w:sz w:val="25"/>
                <w:szCs w:val="24"/>
              </w:rPr>
              <w:t>固定收益投资</w:t>
            </w:r>
          </w:p>
        </w:tc>
        <w:tc>
          <w:tcPr>
            <w:tcW w:w="7" w:type="dxa"/>
            <w:tcBorders>
              <w:top w:val="single" w:color="auto" w:sz="4" w:space="0"/>
              <w:left w:val="single" w:color="auto" w:sz="4" w:space="0"/>
              <w:bottom w:val="single" w:color="auto" w:sz="4" w:space="0"/>
              <w:right w:val="single" w:color="auto" w:sz="4" w:space="0"/>
            </w:tcBorders>
            <w:vAlign w:val="center"/>
          </w:tcPr>
          <w:p>
            <w:pPr>
              <w:widowControl/>
              <w:snapToGrid w:val="0"/>
              <w:spacing w:after="0" w:line="240" w:lineRule="auto"/>
              <w:jc w:val="right"/>
              <w:rPr>
                <w:rFonts w:ascii="宋体" w:hAnsi="宋体"/>
                <w:color w:val="000000"/>
                <w:kern w:val="0"/>
                <w:sz w:val="24"/>
                <w:szCs w:val="24"/>
              </w:rPr>
            </w:pPr>
            <w:r>
              <w:rPr>
                <w:rFonts w:ascii="宋体" w:hAnsi="宋体"/>
                <w:color w:val="000000"/>
                <w:kern w:val="0"/>
                <w:sz w:val="24"/>
                <w:szCs w:val="24"/>
              </w:rPr>
              <w:t>137,245,236.57</w:t>
            </w:r>
          </w:p>
        </w:tc>
        <w:tc>
          <w:tcPr>
            <w:tcW w:w="7" w:type="dxa"/>
            <w:tcBorders>
              <w:top w:val="single" w:color="auto" w:sz="4" w:space="0"/>
              <w:left w:val="single" w:color="auto" w:sz="4" w:space="0"/>
              <w:bottom w:val="single" w:color="auto" w:sz="4" w:space="0"/>
              <w:right w:val="single" w:color="auto" w:sz="4" w:space="0"/>
            </w:tcBorders>
            <w:vAlign w:val="center"/>
          </w:tcPr>
          <w:p>
            <w:pPr>
              <w:widowControl/>
              <w:snapToGrid w:val="0"/>
              <w:spacing w:after="0" w:line="240" w:lineRule="auto"/>
              <w:jc w:val="right"/>
              <w:rPr>
                <w:rFonts w:ascii="宋体" w:hAnsi="宋体"/>
                <w:color w:val="000000"/>
                <w:kern w:val="0"/>
                <w:sz w:val="24"/>
                <w:szCs w:val="24"/>
              </w:rPr>
            </w:pPr>
            <w:r>
              <w:rPr>
                <w:rFonts w:ascii="宋体" w:hAnsi="宋体"/>
                <w:color w:val="000000"/>
                <w:kern w:val="0"/>
                <w:sz w:val="24"/>
                <w:szCs w:val="24"/>
              </w:rPr>
              <w:t>3.33</w:t>
            </w:r>
          </w:p>
        </w:tc>
      </w:tr>
      <w:tr>
        <w:tblPrEx>
          <w:tblCellMar>
            <w:top w:w="0" w:type="dxa"/>
            <w:left w:w="0" w:type="dxa"/>
            <w:bottom w:w="0" w:type="dxa"/>
            <w:right w:w="0" w:type="dxa"/>
          </w:tblCellMar>
        </w:tblPrEx>
        <w:trPr>
          <w:cantSplit/>
          <w:trHeight w:val="375" w:hRule="atLeast"/>
        </w:trPr>
        <w:tc>
          <w:tcPr>
            <w:tcW w:w="7" w:type="dxa"/>
            <w:tcBorders>
              <w:top w:val="single" w:color="auto" w:sz="4" w:space="0"/>
              <w:left w:val="single" w:color="auto" w:sz="4" w:space="0"/>
              <w:bottom w:val="single" w:color="auto" w:sz="4" w:space="0"/>
              <w:right w:val="single" w:color="auto" w:sz="4" w:space="0"/>
            </w:tcBorders>
            <w:vAlign w:val="center"/>
          </w:tcPr>
          <w:p>
            <w:pPr>
              <w:widowControl/>
              <w:snapToGrid w:val="0"/>
              <w:spacing w:after="0" w:line="240" w:lineRule="auto"/>
              <w:jc w:val="center"/>
              <w:rPr>
                <w:rFonts w:ascii="宋体" w:hAnsi="宋体"/>
                <w:color w:val="000000"/>
                <w:kern w:val="0"/>
                <w:sz w:val="24"/>
                <w:szCs w:val="24"/>
              </w:rPr>
            </w:pPr>
            <w:r>
              <w:rPr>
                <w:rFonts w:ascii="宋体" w:hAnsi="宋体"/>
                <w:color w:val="000000"/>
                <w:kern w:val="0"/>
                <w:sz w:val="24"/>
                <w:szCs w:val="24"/>
              </w:rPr>
              <w:t>　</w:t>
            </w:r>
          </w:p>
        </w:tc>
        <w:tc>
          <w:tcPr>
            <w:tcW w:w="7" w:type="dxa"/>
            <w:vMerge w:val="restart"/>
            <w:tcBorders>
              <w:top w:val="single" w:color="auto" w:sz="4" w:space="0"/>
              <w:left w:val="single" w:color="auto" w:sz="4" w:space="0"/>
              <w:bottom w:val="single" w:color="auto" w:sz="4" w:space="0"/>
              <w:right w:val="single" w:color="auto" w:sz="4" w:space="0"/>
            </w:tcBorders>
            <w:vAlign w:val="center"/>
          </w:tcPr>
          <w:p>
            <w:pPr>
              <w:spacing w:after="0" w:line="240" w:lineRule="auto"/>
              <w:jc w:val="left"/>
            </w:pPr>
            <w:r>
              <w:rPr>
                <w:rFonts w:ascii="宋体" w:hAnsi="宋体"/>
                <w:color w:val="000000"/>
                <w:kern w:val="0"/>
                <w:sz w:val="25"/>
                <w:szCs w:val="24"/>
              </w:rPr>
              <w:t>其中：债券</w:t>
            </w:r>
          </w:p>
        </w:tc>
        <w:tc>
          <w:tcPr>
            <w:tcW w:w="7" w:type="dxa"/>
            <w:tcBorders>
              <w:top w:val="single" w:color="auto" w:sz="4" w:space="0"/>
              <w:left w:val="single" w:color="auto" w:sz="4" w:space="0"/>
              <w:bottom w:val="single" w:color="auto" w:sz="4" w:space="0"/>
              <w:right w:val="single" w:color="auto" w:sz="4" w:space="0"/>
            </w:tcBorders>
            <w:vAlign w:val="center"/>
          </w:tcPr>
          <w:p>
            <w:pPr>
              <w:widowControl/>
              <w:snapToGrid w:val="0"/>
              <w:spacing w:after="0" w:line="240" w:lineRule="auto"/>
              <w:jc w:val="right"/>
              <w:rPr>
                <w:rFonts w:ascii="宋体" w:hAnsi="宋体"/>
                <w:color w:val="000000"/>
                <w:kern w:val="0"/>
                <w:sz w:val="24"/>
                <w:szCs w:val="24"/>
              </w:rPr>
            </w:pPr>
            <w:r>
              <w:rPr>
                <w:rFonts w:ascii="宋体" w:hAnsi="宋体"/>
                <w:color w:val="000000"/>
                <w:kern w:val="0"/>
                <w:sz w:val="24"/>
                <w:szCs w:val="24"/>
              </w:rPr>
              <w:t>137,245,236.57</w:t>
            </w:r>
          </w:p>
        </w:tc>
        <w:tc>
          <w:tcPr>
            <w:tcW w:w="7" w:type="dxa"/>
            <w:tcBorders>
              <w:top w:val="single" w:color="auto" w:sz="4" w:space="0"/>
              <w:left w:val="single" w:color="auto" w:sz="4" w:space="0"/>
              <w:bottom w:val="single" w:color="auto" w:sz="4" w:space="0"/>
              <w:right w:val="single" w:color="auto" w:sz="4" w:space="0"/>
            </w:tcBorders>
            <w:vAlign w:val="center"/>
          </w:tcPr>
          <w:p>
            <w:pPr>
              <w:widowControl/>
              <w:snapToGrid w:val="0"/>
              <w:spacing w:after="0" w:line="240" w:lineRule="auto"/>
              <w:jc w:val="right"/>
              <w:rPr>
                <w:rFonts w:ascii="宋体" w:hAnsi="宋体"/>
                <w:color w:val="000000"/>
                <w:kern w:val="0"/>
                <w:sz w:val="24"/>
                <w:szCs w:val="24"/>
              </w:rPr>
            </w:pPr>
            <w:r>
              <w:rPr>
                <w:rFonts w:ascii="宋体" w:hAnsi="宋体"/>
                <w:color w:val="000000"/>
                <w:kern w:val="0"/>
                <w:sz w:val="24"/>
                <w:szCs w:val="24"/>
              </w:rPr>
              <w:t>3.33</w:t>
            </w:r>
          </w:p>
        </w:tc>
      </w:tr>
      <w:tr>
        <w:tblPrEx>
          <w:tblCellMar>
            <w:top w:w="0" w:type="dxa"/>
            <w:left w:w="0" w:type="dxa"/>
            <w:bottom w:w="0" w:type="dxa"/>
            <w:right w:w="0" w:type="dxa"/>
          </w:tblCellMar>
        </w:tblPrEx>
        <w:trPr>
          <w:cantSplit/>
          <w:trHeight w:val="375" w:hRule="atLeast"/>
        </w:trPr>
        <w:tc>
          <w:tcPr>
            <w:tcW w:w="7" w:type="dxa"/>
            <w:tcBorders>
              <w:top w:val="single" w:color="auto" w:sz="4" w:space="0"/>
              <w:left w:val="single" w:color="auto" w:sz="4" w:space="0"/>
              <w:bottom w:val="single" w:color="auto" w:sz="4" w:space="0"/>
              <w:right w:val="single" w:color="auto" w:sz="4" w:space="0"/>
            </w:tcBorders>
            <w:vAlign w:val="center"/>
          </w:tcPr>
          <w:p>
            <w:pPr>
              <w:widowControl/>
              <w:snapToGrid w:val="0"/>
              <w:spacing w:after="0" w:line="240" w:lineRule="auto"/>
              <w:jc w:val="center"/>
              <w:rPr>
                <w:rFonts w:ascii="宋体" w:hAnsi="宋体"/>
                <w:color w:val="000000"/>
                <w:kern w:val="0"/>
                <w:sz w:val="24"/>
                <w:szCs w:val="24"/>
              </w:rPr>
            </w:pPr>
            <w:r>
              <w:rPr>
                <w:rFonts w:ascii="宋体" w:hAnsi="宋体"/>
                <w:color w:val="000000"/>
                <w:kern w:val="0"/>
                <w:sz w:val="24"/>
                <w:szCs w:val="24"/>
              </w:rPr>
              <w:t>　</w:t>
            </w:r>
          </w:p>
        </w:tc>
        <w:tc>
          <w:tcPr>
            <w:tcW w:w="7" w:type="dxa"/>
            <w:vMerge w:val="restart"/>
            <w:tcBorders>
              <w:top w:val="single" w:color="auto" w:sz="4" w:space="0"/>
              <w:left w:val="single" w:color="auto" w:sz="4" w:space="0"/>
              <w:bottom w:val="single" w:color="auto" w:sz="4" w:space="0"/>
              <w:right w:val="single" w:color="auto" w:sz="4" w:space="0"/>
            </w:tcBorders>
            <w:vAlign w:val="center"/>
          </w:tcPr>
          <w:p>
            <w:pPr>
              <w:spacing w:after="0" w:line="240" w:lineRule="auto"/>
              <w:jc w:val="left"/>
            </w:pPr>
            <w:r>
              <w:rPr>
                <w:rFonts w:ascii="宋体" w:hAnsi="宋体"/>
                <w:color w:val="000000"/>
                <w:kern w:val="0"/>
                <w:sz w:val="25"/>
                <w:szCs w:val="24"/>
              </w:rPr>
              <w:t>   资产支持证券</w:t>
            </w:r>
          </w:p>
        </w:tc>
        <w:tc>
          <w:tcPr>
            <w:tcW w:w="7" w:type="dxa"/>
            <w:tcBorders>
              <w:top w:val="single" w:color="auto" w:sz="4" w:space="0"/>
              <w:left w:val="single" w:color="auto" w:sz="4" w:space="0"/>
              <w:bottom w:val="single" w:color="auto" w:sz="4" w:space="0"/>
              <w:right w:val="single" w:color="auto" w:sz="4" w:space="0"/>
            </w:tcBorders>
            <w:vAlign w:val="center"/>
          </w:tcPr>
          <w:p>
            <w:pPr>
              <w:widowControl/>
              <w:snapToGrid w:val="0"/>
              <w:spacing w:after="0" w:line="240" w:lineRule="auto"/>
              <w:jc w:val="right"/>
              <w:rPr>
                <w:rFonts w:ascii="宋体" w:hAnsi="宋体"/>
                <w:color w:val="000000"/>
                <w:kern w:val="0"/>
                <w:sz w:val="24"/>
                <w:szCs w:val="24"/>
              </w:rPr>
            </w:pPr>
            <w:r>
              <w:rPr>
                <w:rFonts w:ascii="宋体" w:hAnsi="宋体"/>
                <w:color w:val="000000"/>
                <w:kern w:val="0"/>
                <w:sz w:val="24"/>
                <w:szCs w:val="24"/>
              </w:rPr>
              <w:t>-</w:t>
            </w:r>
          </w:p>
        </w:tc>
        <w:tc>
          <w:tcPr>
            <w:tcW w:w="7" w:type="dxa"/>
            <w:tcBorders>
              <w:top w:val="single" w:color="auto" w:sz="4" w:space="0"/>
              <w:left w:val="single" w:color="auto" w:sz="4" w:space="0"/>
              <w:bottom w:val="single" w:color="auto" w:sz="4" w:space="0"/>
              <w:right w:val="single" w:color="auto" w:sz="4" w:space="0"/>
            </w:tcBorders>
            <w:vAlign w:val="center"/>
          </w:tcPr>
          <w:p>
            <w:pPr>
              <w:widowControl/>
              <w:snapToGrid w:val="0"/>
              <w:spacing w:after="0" w:line="240" w:lineRule="auto"/>
              <w:jc w:val="right"/>
              <w:rPr>
                <w:rFonts w:ascii="宋体" w:hAnsi="宋体"/>
                <w:color w:val="000000"/>
                <w:kern w:val="0"/>
                <w:sz w:val="24"/>
                <w:szCs w:val="24"/>
              </w:rPr>
            </w:pPr>
            <w:r>
              <w:rPr>
                <w:rFonts w:ascii="宋体" w:hAnsi="宋体"/>
                <w:color w:val="000000"/>
                <w:kern w:val="0"/>
                <w:sz w:val="24"/>
                <w:szCs w:val="24"/>
              </w:rPr>
              <w:t>-</w:t>
            </w:r>
          </w:p>
        </w:tc>
      </w:tr>
      <w:tr>
        <w:tblPrEx>
          <w:tblCellMar>
            <w:top w:w="0" w:type="dxa"/>
            <w:left w:w="0" w:type="dxa"/>
            <w:bottom w:w="0" w:type="dxa"/>
            <w:right w:w="0" w:type="dxa"/>
          </w:tblCellMar>
        </w:tblPrEx>
        <w:trPr>
          <w:cantSplit/>
          <w:trHeight w:val="375" w:hRule="atLeast"/>
        </w:trPr>
        <w:tc>
          <w:tcPr>
            <w:tcW w:w="7" w:type="dxa"/>
            <w:tcBorders>
              <w:top w:val="single" w:color="auto" w:sz="4" w:space="0"/>
              <w:left w:val="single" w:color="auto" w:sz="4" w:space="0"/>
              <w:bottom w:val="single" w:color="auto" w:sz="4" w:space="0"/>
              <w:right w:val="single" w:color="auto" w:sz="4" w:space="0"/>
            </w:tcBorders>
            <w:vAlign w:val="center"/>
          </w:tcPr>
          <w:p>
            <w:pPr>
              <w:widowControl/>
              <w:snapToGrid w:val="0"/>
              <w:spacing w:after="0" w:line="240" w:lineRule="auto"/>
              <w:jc w:val="center"/>
              <w:rPr>
                <w:rFonts w:ascii="宋体" w:hAnsi="宋体"/>
                <w:color w:val="000000"/>
                <w:kern w:val="0"/>
                <w:sz w:val="24"/>
                <w:szCs w:val="24"/>
              </w:rPr>
            </w:pPr>
            <w:r>
              <w:rPr>
                <w:rFonts w:ascii="宋体" w:hAnsi="宋体"/>
                <w:color w:val="000000"/>
                <w:kern w:val="0"/>
                <w:sz w:val="24"/>
                <w:szCs w:val="24"/>
              </w:rPr>
              <w:t>4</w:t>
            </w:r>
          </w:p>
        </w:tc>
        <w:tc>
          <w:tcPr>
            <w:tcW w:w="7" w:type="dxa"/>
            <w:vMerge w:val="restart"/>
            <w:tcBorders>
              <w:top w:val="single" w:color="auto" w:sz="4" w:space="0"/>
              <w:left w:val="single" w:color="auto" w:sz="4" w:space="0"/>
              <w:bottom w:val="single" w:color="auto" w:sz="4" w:space="0"/>
              <w:right w:val="single" w:color="auto" w:sz="4" w:space="0"/>
            </w:tcBorders>
            <w:vAlign w:val="center"/>
          </w:tcPr>
          <w:p>
            <w:pPr>
              <w:spacing w:after="0" w:line="240" w:lineRule="auto"/>
              <w:jc w:val="left"/>
            </w:pPr>
            <w:r>
              <w:rPr>
                <w:rFonts w:ascii="宋体" w:hAnsi="宋体"/>
                <w:color w:val="000000"/>
                <w:kern w:val="0"/>
                <w:sz w:val="25"/>
                <w:szCs w:val="24"/>
              </w:rPr>
              <w:t>贵金属投资</w:t>
            </w:r>
          </w:p>
        </w:tc>
        <w:tc>
          <w:tcPr>
            <w:tcW w:w="7" w:type="dxa"/>
            <w:tcBorders>
              <w:top w:val="single" w:color="auto" w:sz="4" w:space="0"/>
              <w:left w:val="single" w:color="auto" w:sz="4" w:space="0"/>
              <w:bottom w:val="single" w:color="auto" w:sz="4" w:space="0"/>
              <w:right w:val="single" w:color="auto" w:sz="4" w:space="0"/>
            </w:tcBorders>
            <w:vAlign w:val="center"/>
          </w:tcPr>
          <w:p>
            <w:pPr>
              <w:widowControl/>
              <w:snapToGrid w:val="0"/>
              <w:spacing w:after="0" w:line="240" w:lineRule="auto"/>
              <w:jc w:val="right"/>
              <w:rPr>
                <w:rFonts w:ascii="宋体" w:hAnsi="宋体"/>
                <w:color w:val="000000"/>
                <w:kern w:val="0"/>
                <w:sz w:val="24"/>
                <w:szCs w:val="24"/>
              </w:rPr>
            </w:pPr>
            <w:r>
              <w:rPr>
                <w:rFonts w:ascii="宋体" w:hAnsi="宋体"/>
                <w:color w:val="000000"/>
                <w:kern w:val="0"/>
                <w:sz w:val="24"/>
                <w:szCs w:val="24"/>
              </w:rPr>
              <w:t>-</w:t>
            </w:r>
          </w:p>
        </w:tc>
        <w:tc>
          <w:tcPr>
            <w:tcW w:w="7" w:type="dxa"/>
            <w:tcBorders>
              <w:top w:val="single" w:color="auto" w:sz="4" w:space="0"/>
              <w:left w:val="single" w:color="auto" w:sz="4" w:space="0"/>
              <w:bottom w:val="single" w:color="auto" w:sz="4" w:space="0"/>
              <w:right w:val="single" w:color="auto" w:sz="4" w:space="0"/>
            </w:tcBorders>
            <w:vAlign w:val="center"/>
          </w:tcPr>
          <w:p>
            <w:pPr>
              <w:widowControl/>
              <w:snapToGrid w:val="0"/>
              <w:spacing w:after="0" w:line="240" w:lineRule="auto"/>
              <w:jc w:val="right"/>
              <w:rPr>
                <w:rFonts w:ascii="宋体" w:hAnsi="宋体"/>
                <w:color w:val="000000"/>
                <w:kern w:val="0"/>
                <w:sz w:val="24"/>
                <w:szCs w:val="24"/>
              </w:rPr>
            </w:pPr>
            <w:r>
              <w:rPr>
                <w:rFonts w:ascii="宋体" w:hAnsi="宋体"/>
                <w:color w:val="000000"/>
                <w:kern w:val="0"/>
                <w:sz w:val="24"/>
                <w:szCs w:val="24"/>
              </w:rPr>
              <w:t>-</w:t>
            </w:r>
          </w:p>
        </w:tc>
      </w:tr>
      <w:tr>
        <w:tblPrEx>
          <w:tblCellMar>
            <w:top w:w="0" w:type="dxa"/>
            <w:left w:w="0" w:type="dxa"/>
            <w:bottom w:w="0" w:type="dxa"/>
            <w:right w:w="0" w:type="dxa"/>
          </w:tblCellMar>
        </w:tblPrEx>
        <w:trPr>
          <w:cantSplit/>
          <w:trHeight w:val="375" w:hRule="atLeast"/>
        </w:trPr>
        <w:tc>
          <w:tcPr>
            <w:tcW w:w="7" w:type="dxa"/>
            <w:tcBorders>
              <w:top w:val="single" w:color="auto" w:sz="4" w:space="0"/>
              <w:left w:val="single" w:color="auto" w:sz="4" w:space="0"/>
              <w:bottom w:val="single" w:color="auto" w:sz="4" w:space="0"/>
              <w:right w:val="single" w:color="auto" w:sz="4" w:space="0"/>
            </w:tcBorders>
            <w:vAlign w:val="center"/>
          </w:tcPr>
          <w:p>
            <w:pPr>
              <w:widowControl/>
              <w:snapToGrid w:val="0"/>
              <w:spacing w:after="0" w:line="240" w:lineRule="auto"/>
              <w:jc w:val="center"/>
              <w:rPr>
                <w:rFonts w:ascii="宋体" w:hAnsi="宋体"/>
                <w:color w:val="000000"/>
                <w:kern w:val="0"/>
                <w:sz w:val="24"/>
                <w:szCs w:val="24"/>
              </w:rPr>
            </w:pPr>
            <w:r>
              <w:rPr>
                <w:rFonts w:ascii="宋体" w:hAnsi="宋体"/>
                <w:color w:val="000000"/>
                <w:kern w:val="0"/>
                <w:sz w:val="24"/>
                <w:szCs w:val="24"/>
              </w:rPr>
              <w:t>5</w:t>
            </w:r>
          </w:p>
        </w:tc>
        <w:tc>
          <w:tcPr>
            <w:tcW w:w="7" w:type="dxa"/>
            <w:vMerge w:val="restart"/>
            <w:tcBorders>
              <w:top w:val="single" w:color="auto" w:sz="4" w:space="0"/>
              <w:left w:val="single" w:color="auto" w:sz="4" w:space="0"/>
              <w:bottom w:val="single" w:color="auto" w:sz="4" w:space="0"/>
              <w:right w:val="single" w:color="auto" w:sz="4" w:space="0"/>
            </w:tcBorders>
            <w:vAlign w:val="center"/>
          </w:tcPr>
          <w:p>
            <w:pPr>
              <w:spacing w:after="0" w:line="240" w:lineRule="auto"/>
              <w:jc w:val="left"/>
            </w:pPr>
            <w:r>
              <w:rPr>
                <w:rFonts w:ascii="宋体" w:hAnsi="宋体"/>
                <w:color w:val="000000"/>
                <w:kern w:val="0"/>
                <w:sz w:val="25"/>
                <w:szCs w:val="24"/>
              </w:rPr>
              <w:t>金融衍生品投资</w:t>
            </w:r>
          </w:p>
        </w:tc>
        <w:tc>
          <w:tcPr>
            <w:tcW w:w="7" w:type="dxa"/>
            <w:tcBorders>
              <w:top w:val="single" w:color="auto" w:sz="4" w:space="0"/>
              <w:left w:val="single" w:color="auto" w:sz="4" w:space="0"/>
              <w:bottom w:val="single" w:color="auto" w:sz="4" w:space="0"/>
              <w:right w:val="single" w:color="auto" w:sz="4" w:space="0"/>
            </w:tcBorders>
            <w:vAlign w:val="center"/>
          </w:tcPr>
          <w:p>
            <w:pPr>
              <w:widowControl/>
              <w:snapToGrid w:val="0"/>
              <w:spacing w:after="0" w:line="240" w:lineRule="auto"/>
              <w:jc w:val="right"/>
              <w:rPr>
                <w:rFonts w:ascii="宋体" w:hAnsi="宋体"/>
                <w:color w:val="000000"/>
                <w:kern w:val="0"/>
                <w:sz w:val="24"/>
                <w:szCs w:val="24"/>
              </w:rPr>
            </w:pPr>
            <w:r>
              <w:rPr>
                <w:rFonts w:ascii="宋体" w:hAnsi="宋体"/>
                <w:color w:val="000000"/>
                <w:kern w:val="0"/>
                <w:sz w:val="24"/>
                <w:szCs w:val="24"/>
              </w:rPr>
              <w:t>-</w:t>
            </w:r>
          </w:p>
        </w:tc>
        <w:tc>
          <w:tcPr>
            <w:tcW w:w="7" w:type="dxa"/>
            <w:tcBorders>
              <w:top w:val="single" w:color="auto" w:sz="4" w:space="0"/>
              <w:left w:val="single" w:color="auto" w:sz="4" w:space="0"/>
              <w:bottom w:val="single" w:color="auto" w:sz="4" w:space="0"/>
              <w:right w:val="single" w:color="auto" w:sz="4" w:space="0"/>
            </w:tcBorders>
            <w:vAlign w:val="center"/>
          </w:tcPr>
          <w:p>
            <w:pPr>
              <w:widowControl/>
              <w:snapToGrid w:val="0"/>
              <w:spacing w:after="0" w:line="240" w:lineRule="auto"/>
              <w:jc w:val="right"/>
              <w:rPr>
                <w:rFonts w:ascii="宋体" w:hAnsi="宋体"/>
                <w:color w:val="000000"/>
                <w:kern w:val="0"/>
                <w:sz w:val="24"/>
                <w:szCs w:val="24"/>
              </w:rPr>
            </w:pPr>
            <w:r>
              <w:rPr>
                <w:rFonts w:ascii="宋体" w:hAnsi="宋体"/>
                <w:color w:val="000000"/>
                <w:kern w:val="0"/>
                <w:sz w:val="24"/>
                <w:szCs w:val="24"/>
              </w:rPr>
              <w:t>-</w:t>
            </w:r>
          </w:p>
        </w:tc>
      </w:tr>
      <w:tr>
        <w:tblPrEx>
          <w:tblCellMar>
            <w:top w:w="0" w:type="dxa"/>
            <w:left w:w="0" w:type="dxa"/>
            <w:bottom w:w="0" w:type="dxa"/>
            <w:right w:w="0" w:type="dxa"/>
          </w:tblCellMar>
        </w:tblPrEx>
        <w:trPr>
          <w:cantSplit/>
          <w:trHeight w:val="375" w:hRule="atLeast"/>
        </w:trPr>
        <w:tc>
          <w:tcPr>
            <w:tcW w:w="7" w:type="dxa"/>
            <w:tcBorders>
              <w:top w:val="single" w:color="auto" w:sz="4" w:space="0"/>
              <w:left w:val="single" w:color="auto" w:sz="4" w:space="0"/>
              <w:bottom w:val="single" w:color="auto" w:sz="4" w:space="0"/>
              <w:right w:val="single" w:color="auto" w:sz="4" w:space="0"/>
            </w:tcBorders>
            <w:vAlign w:val="center"/>
          </w:tcPr>
          <w:p>
            <w:pPr>
              <w:widowControl/>
              <w:snapToGrid w:val="0"/>
              <w:spacing w:after="0" w:line="240" w:lineRule="auto"/>
              <w:jc w:val="center"/>
              <w:rPr>
                <w:rFonts w:ascii="宋体" w:hAnsi="宋体"/>
                <w:color w:val="000000"/>
                <w:kern w:val="0"/>
                <w:sz w:val="24"/>
                <w:szCs w:val="24"/>
              </w:rPr>
            </w:pPr>
            <w:r>
              <w:rPr>
                <w:rFonts w:ascii="宋体" w:hAnsi="宋体"/>
                <w:color w:val="000000"/>
                <w:kern w:val="0"/>
                <w:sz w:val="24"/>
                <w:szCs w:val="24"/>
              </w:rPr>
              <w:t>6</w:t>
            </w:r>
          </w:p>
        </w:tc>
        <w:tc>
          <w:tcPr>
            <w:tcW w:w="7" w:type="dxa"/>
            <w:tcBorders>
              <w:top w:val="single" w:color="auto" w:sz="4" w:space="0"/>
              <w:left w:val="single" w:color="auto" w:sz="4" w:space="0"/>
              <w:bottom w:val="single" w:color="auto" w:sz="4" w:space="0"/>
              <w:right w:val="single" w:color="auto" w:sz="4" w:space="0"/>
            </w:tcBorders>
            <w:vAlign w:val="center"/>
          </w:tcPr>
          <w:p>
            <w:pPr>
              <w:spacing w:after="0" w:line="240" w:lineRule="auto"/>
              <w:jc w:val="left"/>
            </w:pPr>
            <w:r>
              <w:rPr>
                <w:rFonts w:ascii="宋体" w:hAnsi="宋体"/>
                <w:color w:val="000000"/>
                <w:kern w:val="0"/>
                <w:sz w:val="25"/>
                <w:szCs w:val="24"/>
              </w:rPr>
              <w:t>买入返售金融资产</w:t>
            </w:r>
          </w:p>
        </w:tc>
        <w:tc>
          <w:tcPr>
            <w:tcW w:w="7" w:type="dxa"/>
            <w:tcBorders>
              <w:top w:val="single" w:color="auto" w:sz="4" w:space="0"/>
              <w:left w:val="single" w:color="auto" w:sz="4" w:space="0"/>
              <w:bottom w:val="single" w:color="auto" w:sz="4" w:space="0"/>
              <w:right w:val="single" w:color="auto" w:sz="4" w:space="0"/>
            </w:tcBorders>
            <w:vAlign w:val="center"/>
          </w:tcPr>
          <w:p>
            <w:pPr>
              <w:widowControl/>
              <w:snapToGrid w:val="0"/>
              <w:spacing w:after="0" w:line="240" w:lineRule="auto"/>
              <w:jc w:val="right"/>
              <w:rPr>
                <w:rFonts w:ascii="宋体" w:hAnsi="宋体"/>
                <w:color w:val="000000"/>
                <w:kern w:val="0"/>
                <w:sz w:val="24"/>
                <w:szCs w:val="24"/>
              </w:rPr>
            </w:pPr>
            <w:r>
              <w:rPr>
                <w:rFonts w:ascii="宋体" w:hAnsi="宋体"/>
                <w:color w:val="000000"/>
                <w:kern w:val="0"/>
                <w:sz w:val="24"/>
                <w:szCs w:val="24"/>
              </w:rPr>
              <w:t>582,259,406.02</w:t>
            </w:r>
          </w:p>
        </w:tc>
        <w:tc>
          <w:tcPr>
            <w:tcW w:w="7" w:type="dxa"/>
            <w:tcBorders>
              <w:top w:val="single" w:color="auto" w:sz="4" w:space="0"/>
              <w:left w:val="single" w:color="auto" w:sz="4" w:space="0"/>
              <w:bottom w:val="single" w:color="auto" w:sz="4" w:space="0"/>
              <w:right w:val="single" w:color="auto" w:sz="4" w:space="0"/>
            </w:tcBorders>
            <w:vAlign w:val="center"/>
          </w:tcPr>
          <w:p>
            <w:pPr>
              <w:widowControl/>
              <w:snapToGrid w:val="0"/>
              <w:spacing w:after="0" w:line="240" w:lineRule="auto"/>
              <w:jc w:val="right"/>
              <w:rPr>
                <w:rFonts w:ascii="宋体" w:hAnsi="宋体"/>
                <w:color w:val="000000"/>
                <w:kern w:val="0"/>
                <w:sz w:val="24"/>
                <w:szCs w:val="24"/>
              </w:rPr>
            </w:pPr>
            <w:r>
              <w:rPr>
                <w:rFonts w:ascii="宋体" w:hAnsi="宋体"/>
                <w:color w:val="000000"/>
                <w:kern w:val="0"/>
                <w:sz w:val="24"/>
                <w:szCs w:val="24"/>
              </w:rPr>
              <w:t>14.13</w:t>
            </w:r>
          </w:p>
        </w:tc>
      </w:tr>
      <w:tr>
        <w:tblPrEx>
          <w:tblCellMar>
            <w:top w:w="0" w:type="dxa"/>
            <w:left w:w="0" w:type="dxa"/>
            <w:bottom w:w="0" w:type="dxa"/>
            <w:right w:w="0" w:type="dxa"/>
          </w:tblCellMar>
        </w:tblPrEx>
        <w:trPr>
          <w:cantSplit/>
          <w:trHeight w:val="375" w:hRule="atLeast"/>
        </w:trPr>
        <w:tc>
          <w:tcPr>
            <w:tcW w:w="7" w:type="dxa"/>
            <w:tcBorders>
              <w:top w:val="single" w:color="auto" w:sz="4" w:space="0"/>
              <w:left w:val="single" w:color="auto" w:sz="4" w:space="0"/>
              <w:bottom w:val="single" w:color="auto" w:sz="4" w:space="0"/>
              <w:right w:val="single" w:color="auto" w:sz="4" w:space="0"/>
            </w:tcBorders>
            <w:vAlign w:val="center"/>
          </w:tcPr>
          <w:p>
            <w:pPr>
              <w:widowControl/>
              <w:snapToGrid w:val="0"/>
              <w:spacing w:after="0" w:line="240" w:lineRule="auto"/>
              <w:jc w:val="center"/>
              <w:rPr>
                <w:rFonts w:ascii="宋体" w:hAnsi="宋体"/>
                <w:color w:val="000000"/>
                <w:kern w:val="0"/>
                <w:sz w:val="24"/>
                <w:szCs w:val="24"/>
              </w:rPr>
            </w:pPr>
            <w:r>
              <w:rPr>
                <w:rFonts w:ascii="宋体" w:hAnsi="宋体"/>
                <w:color w:val="000000"/>
                <w:kern w:val="0"/>
                <w:sz w:val="24"/>
                <w:szCs w:val="24"/>
              </w:rPr>
              <w:t>　</w:t>
            </w:r>
          </w:p>
        </w:tc>
        <w:tc>
          <w:tcPr>
            <w:tcW w:w="7" w:type="dxa"/>
            <w:tcBorders>
              <w:top w:val="single" w:color="auto" w:sz="4" w:space="0"/>
              <w:left w:val="single" w:color="auto" w:sz="4" w:space="0"/>
              <w:bottom w:val="single" w:color="auto" w:sz="4" w:space="0"/>
              <w:right w:val="single" w:color="auto" w:sz="4" w:space="0"/>
            </w:tcBorders>
            <w:vAlign w:val="center"/>
          </w:tcPr>
          <w:p>
            <w:pPr>
              <w:spacing w:after="0" w:line="240" w:lineRule="auto"/>
              <w:jc w:val="left"/>
            </w:pPr>
            <w:r>
              <w:rPr>
                <w:rFonts w:ascii="宋体" w:hAnsi="宋体"/>
                <w:color w:val="000000"/>
                <w:kern w:val="0"/>
                <w:sz w:val="25"/>
                <w:szCs w:val="24"/>
              </w:rPr>
              <w:t>其中：买断式回购的买入返售金融资产</w:t>
            </w:r>
          </w:p>
        </w:tc>
        <w:tc>
          <w:tcPr>
            <w:tcW w:w="7" w:type="dxa"/>
            <w:tcBorders>
              <w:top w:val="single" w:color="auto" w:sz="4" w:space="0"/>
              <w:left w:val="single" w:color="auto" w:sz="4" w:space="0"/>
              <w:bottom w:val="single" w:color="auto" w:sz="4" w:space="0"/>
              <w:right w:val="single" w:color="auto" w:sz="4" w:space="0"/>
            </w:tcBorders>
            <w:vAlign w:val="center"/>
          </w:tcPr>
          <w:p>
            <w:pPr>
              <w:widowControl/>
              <w:snapToGrid w:val="0"/>
              <w:spacing w:after="0" w:line="240" w:lineRule="auto"/>
              <w:jc w:val="right"/>
              <w:rPr>
                <w:rFonts w:ascii="宋体" w:hAnsi="宋体"/>
                <w:color w:val="000000"/>
                <w:kern w:val="0"/>
                <w:sz w:val="24"/>
                <w:szCs w:val="24"/>
              </w:rPr>
            </w:pPr>
            <w:r>
              <w:rPr>
                <w:rFonts w:ascii="宋体" w:hAnsi="宋体"/>
                <w:color w:val="000000"/>
                <w:kern w:val="0"/>
                <w:sz w:val="24"/>
                <w:szCs w:val="24"/>
              </w:rPr>
              <w:t>-</w:t>
            </w:r>
          </w:p>
        </w:tc>
        <w:tc>
          <w:tcPr>
            <w:tcW w:w="7" w:type="dxa"/>
            <w:tcBorders>
              <w:top w:val="single" w:color="auto" w:sz="4" w:space="0"/>
              <w:left w:val="single" w:color="auto" w:sz="4" w:space="0"/>
              <w:bottom w:val="single" w:color="auto" w:sz="4" w:space="0"/>
              <w:right w:val="single" w:color="auto" w:sz="4" w:space="0"/>
            </w:tcBorders>
            <w:vAlign w:val="center"/>
          </w:tcPr>
          <w:p>
            <w:pPr>
              <w:widowControl/>
              <w:snapToGrid w:val="0"/>
              <w:spacing w:after="0" w:line="240" w:lineRule="auto"/>
              <w:jc w:val="right"/>
              <w:rPr>
                <w:rFonts w:ascii="宋体" w:hAnsi="宋体"/>
                <w:color w:val="000000"/>
                <w:kern w:val="0"/>
                <w:sz w:val="24"/>
                <w:szCs w:val="24"/>
              </w:rPr>
            </w:pPr>
            <w:r>
              <w:rPr>
                <w:rFonts w:ascii="宋体" w:hAnsi="宋体"/>
                <w:color w:val="000000"/>
                <w:kern w:val="0"/>
                <w:sz w:val="24"/>
                <w:szCs w:val="24"/>
              </w:rPr>
              <w:t>-</w:t>
            </w:r>
          </w:p>
        </w:tc>
      </w:tr>
      <w:tr>
        <w:tblPrEx>
          <w:tblCellMar>
            <w:top w:w="0" w:type="dxa"/>
            <w:left w:w="0" w:type="dxa"/>
            <w:bottom w:w="0" w:type="dxa"/>
            <w:right w:w="0" w:type="dxa"/>
          </w:tblCellMar>
        </w:tblPrEx>
        <w:trPr>
          <w:cantSplit/>
          <w:trHeight w:val="375" w:hRule="atLeast"/>
        </w:trPr>
        <w:tc>
          <w:tcPr>
            <w:tcW w:w="7" w:type="dxa"/>
            <w:tcBorders>
              <w:top w:val="single" w:color="auto" w:sz="4" w:space="0"/>
              <w:left w:val="single" w:color="auto" w:sz="4" w:space="0"/>
              <w:bottom w:val="single" w:color="auto" w:sz="4" w:space="0"/>
              <w:right w:val="single" w:color="auto" w:sz="4" w:space="0"/>
            </w:tcBorders>
            <w:vAlign w:val="center"/>
          </w:tcPr>
          <w:p>
            <w:pPr>
              <w:widowControl/>
              <w:snapToGrid w:val="0"/>
              <w:spacing w:after="0" w:line="240" w:lineRule="auto"/>
              <w:jc w:val="center"/>
              <w:rPr>
                <w:rFonts w:ascii="宋体" w:hAnsi="宋体"/>
                <w:color w:val="000000"/>
                <w:kern w:val="0"/>
                <w:sz w:val="24"/>
                <w:szCs w:val="24"/>
              </w:rPr>
            </w:pPr>
            <w:r>
              <w:rPr>
                <w:rFonts w:ascii="宋体" w:hAnsi="宋体"/>
                <w:color w:val="000000"/>
                <w:kern w:val="0"/>
                <w:sz w:val="24"/>
                <w:szCs w:val="24"/>
              </w:rPr>
              <w:t>7</w:t>
            </w:r>
          </w:p>
        </w:tc>
        <w:tc>
          <w:tcPr>
            <w:tcW w:w="7" w:type="dxa"/>
            <w:tcBorders>
              <w:top w:val="single" w:color="auto" w:sz="4" w:space="0"/>
              <w:left w:val="single" w:color="auto" w:sz="4" w:space="0"/>
              <w:bottom w:val="single" w:color="auto" w:sz="4" w:space="0"/>
              <w:right w:val="single" w:color="auto" w:sz="4" w:space="0"/>
            </w:tcBorders>
            <w:vAlign w:val="center"/>
          </w:tcPr>
          <w:p>
            <w:pPr>
              <w:spacing w:after="0" w:line="240" w:lineRule="auto"/>
              <w:jc w:val="left"/>
            </w:pPr>
            <w:r>
              <w:rPr>
                <w:rFonts w:ascii="宋体" w:hAnsi="宋体"/>
                <w:color w:val="000000"/>
                <w:kern w:val="0"/>
                <w:sz w:val="25"/>
                <w:szCs w:val="24"/>
              </w:rPr>
              <w:t>银行存款和结算备付金合计</w:t>
            </w:r>
          </w:p>
        </w:tc>
        <w:tc>
          <w:tcPr>
            <w:tcW w:w="7" w:type="dxa"/>
            <w:tcBorders>
              <w:top w:val="single" w:color="auto" w:sz="4" w:space="0"/>
              <w:left w:val="single" w:color="auto" w:sz="4" w:space="0"/>
              <w:bottom w:val="single" w:color="auto" w:sz="4" w:space="0"/>
              <w:right w:val="single" w:color="auto" w:sz="4" w:space="0"/>
            </w:tcBorders>
            <w:vAlign w:val="center"/>
          </w:tcPr>
          <w:p>
            <w:pPr>
              <w:widowControl/>
              <w:snapToGrid w:val="0"/>
              <w:spacing w:after="0" w:line="240" w:lineRule="auto"/>
              <w:jc w:val="right"/>
              <w:rPr>
                <w:rFonts w:ascii="宋体" w:hAnsi="宋体"/>
                <w:color w:val="000000"/>
                <w:kern w:val="0"/>
                <w:sz w:val="24"/>
                <w:szCs w:val="24"/>
              </w:rPr>
            </w:pPr>
            <w:r>
              <w:rPr>
                <w:rFonts w:ascii="宋体" w:hAnsi="宋体"/>
                <w:color w:val="000000"/>
                <w:kern w:val="0"/>
                <w:sz w:val="24"/>
                <w:szCs w:val="24"/>
              </w:rPr>
              <w:t>515,388,541.30</w:t>
            </w:r>
          </w:p>
        </w:tc>
        <w:tc>
          <w:tcPr>
            <w:tcW w:w="7" w:type="dxa"/>
            <w:tcBorders>
              <w:top w:val="single" w:color="auto" w:sz="4" w:space="0"/>
              <w:left w:val="single" w:color="auto" w:sz="4" w:space="0"/>
              <w:bottom w:val="single" w:color="auto" w:sz="4" w:space="0"/>
              <w:right w:val="single" w:color="auto" w:sz="4" w:space="0"/>
            </w:tcBorders>
            <w:vAlign w:val="center"/>
          </w:tcPr>
          <w:p>
            <w:pPr>
              <w:widowControl/>
              <w:snapToGrid w:val="0"/>
              <w:spacing w:after="0" w:line="240" w:lineRule="auto"/>
              <w:jc w:val="right"/>
              <w:rPr>
                <w:rFonts w:ascii="宋体" w:hAnsi="宋体"/>
                <w:color w:val="000000"/>
                <w:kern w:val="0"/>
                <w:sz w:val="24"/>
                <w:szCs w:val="24"/>
              </w:rPr>
            </w:pPr>
            <w:r>
              <w:rPr>
                <w:rFonts w:ascii="宋体" w:hAnsi="宋体"/>
                <w:color w:val="000000"/>
                <w:kern w:val="0"/>
                <w:sz w:val="24"/>
                <w:szCs w:val="24"/>
              </w:rPr>
              <w:t>12.51</w:t>
            </w:r>
          </w:p>
        </w:tc>
      </w:tr>
      <w:tr>
        <w:tblPrEx>
          <w:tblCellMar>
            <w:top w:w="0" w:type="dxa"/>
            <w:left w:w="0" w:type="dxa"/>
            <w:bottom w:w="0" w:type="dxa"/>
            <w:right w:w="0" w:type="dxa"/>
          </w:tblCellMar>
        </w:tblPrEx>
        <w:trPr>
          <w:cantSplit/>
          <w:trHeight w:val="375" w:hRule="atLeast"/>
        </w:trPr>
        <w:tc>
          <w:tcPr>
            <w:tcW w:w="7" w:type="dxa"/>
            <w:tcBorders>
              <w:top w:val="single" w:color="auto" w:sz="4" w:space="0"/>
              <w:left w:val="single" w:color="auto" w:sz="4" w:space="0"/>
              <w:bottom w:val="single" w:color="auto" w:sz="4" w:space="0"/>
              <w:right w:val="single" w:color="auto" w:sz="4" w:space="0"/>
            </w:tcBorders>
            <w:vAlign w:val="center"/>
          </w:tcPr>
          <w:p>
            <w:pPr>
              <w:widowControl/>
              <w:snapToGrid w:val="0"/>
              <w:spacing w:after="0" w:line="240" w:lineRule="auto"/>
              <w:jc w:val="center"/>
              <w:rPr>
                <w:rFonts w:ascii="宋体" w:hAnsi="宋体"/>
                <w:color w:val="000000"/>
                <w:kern w:val="0"/>
                <w:sz w:val="24"/>
                <w:szCs w:val="24"/>
              </w:rPr>
            </w:pPr>
            <w:r>
              <w:rPr>
                <w:rFonts w:ascii="宋体" w:hAnsi="宋体"/>
                <w:color w:val="000000"/>
                <w:kern w:val="0"/>
                <w:sz w:val="24"/>
                <w:szCs w:val="24"/>
              </w:rPr>
              <w:t>8</w:t>
            </w:r>
          </w:p>
        </w:tc>
        <w:tc>
          <w:tcPr>
            <w:tcW w:w="7" w:type="dxa"/>
            <w:tcBorders>
              <w:top w:val="single" w:color="auto" w:sz="4" w:space="0"/>
              <w:left w:val="single" w:color="auto" w:sz="4" w:space="0"/>
              <w:bottom w:val="single" w:color="auto" w:sz="4" w:space="0"/>
              <w:right w:val="single" w:color="auto" w:sz="4" w:space="0"/>
            </w:tcBorders>
            <w:vAlign w:val="center"/>
          </w:tcPr>
          <w:p>
            <w:pPr>
              <w:spacing w:after="0" w:line="240" w:lineRule="auto"/>
              <w:jc w:val="left"/>
            </w:pPr>
            <w:r>
              <w:rPr>
                <w:rFonts w:ascii="宋体" w:hAnsi="宋体"/>
                <w:color w:val="000000"/>
                <w:kern w:val="0"/>
                <w:sz w:val="25"/>
                <w:szCs w:val="24"/>
              </w:rPr>
              <w:t>其他资产</w:t>
            </w:r>
          </w:p>
        </w:tc>
        <w:tc>
          <w:tcPr>
            <w:tcW w:w="7" w:type="dxa"/>
            <w:tcBorders>
              <w:top w:val="single" w:color="auto" w:sz="4" w:space="0"/>
              <w:left w:val="single" w:color="auto" w:sz="4" w:space="0"/>
              <w:bottom w:val="single" w:color="auto" w:sz="4" w:space="0"/>
              <w:right w:val="single" w:color="auto" w:sz="4" w:space="0"/>
            </w:tcBorders>
            <w:vAlign w:val="center"/>
          </w:tcPr>
          <w:p>
            <w:pPr>
              <w:widowControl/>
              <w:snapToGrid w:val="0"/>
              <w:spacing w:after="0" w:line="240" w:lineRule="auto"/>
              <w:jc w:val="right"/>
              <w:rPr>
                <w:rFonts w:ascii="宋体" w:hAnsi="宋体"/>
                <w:color w:val="000000"/>
                <w:kern w:val="0"/>
                <w:sz w:val="24"/>
                <w:szCs w:val="24"/>
              </w:rPr>
            </w:pPr>
            <w:r>
              <w:rPr>
                <w:rFonts w:ascii="宋体" w:hAnsi="宋体"/>
                <w:color w:val="000000"/>
                <w:kern w:val="0"/>
                <w:sz w:val="24"/>
                <w:szCs w:val="24"/>
              </w:rPr>
              <w:t>53,200,899.04</w:t>
            </w:r>
          </w:p>
        </w:tc>
        <w:tc>
          <w:tcPr>
            <w:tcW w:w="7" w:type="dxa"/>
            <w:tcBorders>
              <w:top w:val="single" w:color="auto" w:sz="4" w:space="0"/>
              <w:left w:val="single" w:color="auto" w:sz="4" w:space="0"/>
              <w:bottom w:val="single" w:color="auto" w:sz="4" w:space="0"/>
              <w:right w:val="single" w:color="auto" w:sz="4" w:space="0"/>
            </w:tcBorders>
            <w:vAlign w:val="center"/>
          </w:tcPr>
          <w:p>
            <w:pPr>
              <w:widowControl/>
              <w:snapToGrid w:val="0"/>
              <w:spacing w:after="0" w:line="240" w:lineRule="auto"/>
              <w:jc w:val="right"/>
              <w:rPr>
                <w:rFonts w:ascii="宋体" w:hAnsi="宋体"/>
                <w:color w:val="000000"/>
                <w:kern w:val="0"/>
                <w:sz w:val="24"/>
                <w:szCs w:val="24"/>
              </w:rPr>
            </w:pPr>
            <w:r>
              <w:rPr>
                <w:rFonts w:ascii="宋体" w:hAnsi="宋体"/>
                <w:color w:val="000000"/>
                <w:kern w:val="0"/>
                <w:sz w:val="24"/>
                <w:szCs w:val="24"/>
              </w:rPr>
              <w:t>1.29</w:t>
            </w:r>
          </w:p>
        </w:tc>
      </w:tr>
      <w:tr>
        <w:tblPrEx>
          <w:tblCellMar>
            <w:top w:w="0" w:type="dxa"/>
            <w:left w:w="0" w:type="dxa"/>
            <w:bottom w:w="0" w:type="dxa"/>
            <w:right w:w="0" w:type="dxa"/>
          </w:tblCellMar>
        </w:tblPrEx>
        <w:trPr>
          <w:cantSplit/>
          <w:trHeight w:val="375" w:hRule="atLeast"/>
        </w:trPr>
        <w:tc>
          <w:tcPr>
            <w:tcW w:w="7" w:type="dxa"/>
            <w:tcBorders>
              <w:top w:val="single" w:color="auto" w:sz="4" w:space="0"/>
              <w:left w:val="single" w:color="auto" w:sz="4" w:space="0"/>
              <w:bottom w:val="single" w:color="auto" w:sz="4" w:space="0"/>
              <w:right w:val="single" w:color="auto" w:sz="4" w:space="0"/>
            </w:tcBorders>
            <w:vAlign w:val="center"/>
          </w:tcPr>
          <w:p>
            <w:pPr>
              <w:widowControl/>
              <w:snapToGrid w:val="0"/>
              <w:spacing w:after="0" w:line="240" w:lineRule="auto"/>
              <w:jc w:val="center"/>
              <w:rPr>
                <w:rFonts w:ascii="宋体" w:hAnsi="宋体"/>
                <w:color w:val="000000"/>
                <w:kern w:val="0"/>
                <w:sz w:val="24"/>
                <w:szCs w:val="24"/>
              </w:rPr>
            </w:pPr>
            <w:r>
              <w:rPr>
                <w:rFonts w:ascii="宋体" w:hAnsi="宋体"/>
                <w:color w:val="000000"/>
                <w:kern w:val="0"/>
                <w:sz w:val="24"/>
                <w:szCs w:val="24"/>
              </w:rPr>
              <w:t>9</w:t>
            </w:r>
          </w:p>
        </w:tc>
        <w:tc>
          <w:tcPr>
            <w:tcW w:w="7" w:type="dxa"/>
            <w:tcBorders>
              <w:top w:val="single" w:color="auto" w:sz="4" w:space="0"/>
              <w:left w:val="single" w:color="auto" w:sz="4" w:space="0"/>
              <w:bottom w:val="single" w:color="auto" w:sz="4" w:space="0"/>
              <w:right w:val="single" w:color="auto" w:sz="4" w:space="0"/>
            </w:tcBorders>
            <w:vAlign w:val="center"/>
          </w:tcPr>
          <w:p>
            <w:pPr>
              <w:spacing w:after="0" w:line="240" w:lineRule="auto"/>
              <w:jc w:val="left"/>
            </w:pPr>
            <w:r>
              <w:rPr>
                <w:rFonts w:ascii="宋体" w:hAnsi="宋体"/>
                <w:color w:val="000000"/>
                <w:kern w:val="0"/>
                <w:sz w:val="25"/>
                <w:szCs w:val="24"/>
              </w:rPr>
              <w:t>合计</w:t>
            </w:r>
          </w:p>
        </w:tc>
        <w:tc>
          <w:tcPr>
            <w:tcW w:w="7" w:type="dxa"/>
            <w:tcBorders>
              <w:top w:val="single" w:color="auto" w:sz="4" w:space="0"/>
              <w:left w:val="single" w:color="auto" w:sz="4" w:space="0"/>
              <w:bottom w:val="single" w:color="auto" w:sz="4" w:space="0"/>
              <w:right w:val="single" w:color="auto" w:sz="4" w:space="0"/>
            </w:tcBorders>
            <w:vAlign w:val="center"/>
          </w:tcPr>
          <w:p>
            <w:pPr>
              <w:widowControl/>
              <w:snapToGrid w:val="0"/>
              <w:spacing w:after="0" w:line="240" w:lineRule="auto"/>
              <w:jc w:val="right"/>
              <w:rPr>
                <w:rFonts w:ascii="宋体" w:hAnsi="宋体"/>
                <w:color w:val="000000"/>
                <w:kern w:val="0"/>
                <w:sz w:val="24"/>
                <w:szCs w:val="24"/>
              </w:rPr>
            </w:pPr>
            <w:r>
              <w:rPr>
                <w:rFonts w:ascii="宋体" w:hAnsi="宋体"/>
                <w:color w:val="000000"/>
                <w:kern w:val="0"/>
                <w:sz w:val="24"/>
                <w:szCs w:val="24"/>
              </w:rPr>
              <w:t>4,121,153,619.69</w:t>
            </w:r>
          </w:p>
        </w:tc>
        <w:tc>
          <w:tcPr>
            <w:tcW w:w="7" w:type="dxa"/>
            <w:tcBorders>
              <w:top w:val="single" w:color="auto" w:sz="4" w:space="0"/>
              <w:left w:val="single" w:color="auto" w:sz="4" w:space="0"/>
              <w:bottom w:val="single" w:color="auto" w:sz="4" w:space="0"/>
              <w:right w:val="single" w:color="auto" w:sz="4" w:space="0"/>
            </w:tcBorders>
            <w:vAlign w:val="center"/>
          </w:tcPr>
          <w:p>
            <w:pPr>
              <w:widowControl/>
              <w:snapToGrid w:val="0"/>
              <w:spacing w:after="0" w:line="240" w:lineRule="auto"/>
              <w:jc w:val="right"/>
              <w:rPr>
                <w:rFonts w:ascii="宋体" w:hAnsi="宋体"/>
                <w:color w:val="000000"/>
                <w:kern w:val="0"/>
                <w:sz w:val="24"/>
                <w:szCs w:val="24"/>
              </w:rPr>
            </w:pPr>
            <w:r>
              <w:rPr>
                <w:rFonts w:ascii="宋体" w:hAnsi="宋体"/>
                <w:color w:val="000000"/>
                <w:kern w:val="0"/>
                <w:sz w:val="24"/>
                <w:szCs w:val="24"/>
              </w:rPr>
              <w:t>100.00</w:t>
            </w:r>
          </w:p>
        </w:tc>
      </w:tr>
    </w:tbl>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 </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2、报告期末按行业分类的股票投资组合</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2.1 报告期末按行业分类的境内股票投资组合</w:t>
      </w:r>
    </w:p>
    <w:tbl>
      <w:tblPr>
        <w:tblStyle w:val="14"/>
        <w:tblW w:w="5000" w:type="pct"/>
        <w:tblInd w:w="0" w:type="dxa"/>
        <w:tblLayout w:type="fixed"/>
        <w:tblCellMar>
          <w:top w:w="0" w:type="dxa"/>
          <w:left w:w="0" w:type="dxa"/>
          <w:bottom w:w="0" w:type="dxa"/>
          <w:right w:w="0" w:type="dxa"/>
        </w:tblCellMar>
      </w:tblPr>
      <w:tblGrid>
        <w:gridCol w:w="2167"/>
        <w:gridCol w:w="2167"/>
        <w:gridCol w:w="2168"/>
        <w:gridCol w:w="2168"/>
      </w:tblGrid>
      <w:tr>
        <w:tblPrEx>
          <w:tblCellMar>
            <w:top w:w="0" w:type="dxa"/>
            <w:left w:w="0" w:type="dxa"/>
            <w:bottom w:w="0" w:type="dxa"/>
            <w:right w:w="0" w:type="dxa"/>
          </w:tblCellMar>
        </w:tblPrEx>
        <w:trPr>
          <w:cantSplit/>
          <w:trHeight w:val="375" w:hRule="atLeast"/>
        </w:trPr>
        <w:tc>
          <w:tcPr>
            <w:tcW w:w="7" w:type="dxa"/>
            <w:tcBorders>
              <w:top w:val="single" w:color="auto" w:sz="4" w:space="0"/>
              <w:left w:val="single" w:color="auto" w:sz="4" w:space="0"/>
              <w:bottom w:val="single" w:color="auto" w:sz="4" w:space="0"/>
              <w:right w:val="single" w:color="auto" w:sz="4" w:space="0"/>
            </w:tcBorders>
            <w:vAlign w:val="center"/>
          </w:tcPr>
          <w:p>
            <w:pPr>
              <w:widowControl/>
              <w:snapToGrid w:val="0"/>
              <w:spacing w:after="0" w:line="240" w:lineRule="auto"/>
              <w:jc w:val="center"/>
              <w:rPr>
                <w:rFonts w:ascii="宋体" w:hAnsi="宋体"/>
                <w:color w:val="000000"/>
                <w:kern w:val="0"/>
                <w:sz w:val="24"/>
                <w:szCs w:val="24"/>
              </w:rPr>
            </w:pPr>
            <w:r>
              <w:rPr>
                <w:rFonts w:ascii="宋体" w:hAnsi="宋体"/>
                <w:color w:val="000000"/>
                <w:kern w:val="0"/>
                <w:sz w:val="24"/>
                <w:szCs w:val="24"/>
              </w:rPr>
              <w:t>代码</w:t>
            </w:r>
          </w:p>
        </w:tc>
        <w:tc>
          <w:tcPr>
            <w:tcW w:w="7" w:type="dxa"/>
            <w:tcBorders>
              <w:top w:val="single" w:color="auto" w:sz="4" w:space="0"/>
              <w:left w:val="single" w:color="auto" w:sz="4" w:space="0"/>
              <w:bottom w:val="single" w:color="auto" w:sz="4" w:space="0"/>
              <w:right w:val="single" w:color="auto" w:sz="4" w:space="0"/>
            </w:tcBorders>
            <w:vAlign w:val="center"/>
          </w:tcPr>
          <w:p>
            <w:pPr>
              <w:widowControl/>
              <w:snapToGrid w:val="0"/>
              <w:spacing w:after="0" w:line="240" w:lineRule="auto"/>
              <w:jc w:val="center"/>
              <w:rPr>
                <w:rFonts w:ascii="宋体" w:hAnsi="宋体"/>
                <w:color w:val="000000"/>
                <w:kern w:val="0"/>
                <w:sz w:val="24"/>
                <w:szCs w:val="24"/>
              </w:rPr>
            </w:pPr>
            <w:r>
              <w:rPr>
                <w:rFonts w:ascii="宋体" w:hAnsi="宋体"/>
                <w:color w:val="000000"/>
                <w:kern w:val="0"/>
                <w:sz w:val="24"/>
                <w:szCs w:val="24"/>
              </w:rPr>
              <w:t>行业类别</w:t>
            </w:r>
          </w:p>
        </w:tc>
        <w:tc>
          <w:tcPr>
            <w:tcW w:w="7" w:type="dxa"/>
            <w:tcBorders>
              <w:top w:val="single" w:color="auto" w:sz="4" w:space="0"/>
              <w:left w:val="single" w:color="auto" w:sz="4" w:space="0"/>
              <w:bottom w:val="single" w:color="auto" w:sz="4" w:space="0"/>
              <w:right w:val="single" w:color="auto" w:sz="4" w:space="0"/>
            </w:tcBorders>
            <w:vAlign w:val="center"/>
          </w:tcPr>
          <w:p>
            <w:pPr>
              <w:widowControl/>
              <w:snapToGrid w:val="0"/>
              <w:spacing w:after="0" w:line="240" w:lineRule="auto"/>
              <w:jc w:val="center"/>
              <w:rPr>
                <w:rFonts w:ascii="宋体" w:hAnsi="宋体"/>
                <w:color w:val="000000"/>
                <w:kern w:val="0"/>
                <w:sz w:val="24"/>
                <w:szCs w:val="24"/>
              </w:rPr>
            </w:pPr>
            <w:r>
              <w:rPr>
                <w:rFonts w:ascii="宋体" w:hAnsi="宋体"/>
                <w:color w:val="000000"/>
                <w:kern w:val="0"/>
                <w:sz w:val="24"/>
                <w:szCs w:val="24"/>
              </w:rPr>
              <w:t>公允价值（元）</w:t>
            </w:r>
          </w:p>
        </w:tc>
        <w:tc>
          <w:tcPr>
            <w:tcW w:w="7" w:type="dxa"/>
            <w:tcBorders>
              <w:top w:val="single" w:color="auto" w:sz="4" w:space="0"/>
              <w:left w:val="single" w:color="auto" w:sz="4" w:space="0"/>
              <w:bottom w:val="single" w:color="auto" w:sz="4" w:space="0"/>
              <w:right w:val="single" w:color="auto" w:sz="4" w:space="0"/>
            </w:tcBorders>
            <w:vAlign w:val="center"/>
          </w:tcPr>
          <w:p>
            <w:pPr>
              <w:widowControl/>
              <w:snapToGrid w:val="0"/>
              <w:spacing w:after="0" w:line="240" w:lineRule="auto"/>
              <w:jc w:val="center"/>
              <w:rPr>
                <w:rFonts w:ascii="宋体" w:hAnsi="宋体"/>
                <w:color w:val="000000"/>
                <w:kern w:val="0"/>
                <w:sz w:val="24"/>
                <w:szCs w:val="24"/>
              </w:rPr>
            </w:pPr>
            <w:r>
              <w:rPr>
                <w:rFonts w:ascii="宋体" w:hAnsi="宋体"/>
                <w:color w:val="000000"/>
                <w:kern w:val="0"/>
                <w:sz w:val="24"/>
                <w:szCs w:val="24"/>
              </w:rPr>
              <w:t>占基金资产净值比例（%）</w:t>
            </w:r>
          </w:p>
        </w:tc>
      </w:tr>
      <w:tr>
        <w:tblPrEx>
          <w:tblCellMar>
            <w:top w:w="0" w:type="dxa"/>
            <w:left w:w="0" w:type="dxa"/>
            <w:bottom w:w="0" w:type="dxa"/>
            <w:right w:w="0" w:type="dxa"/>
          </w:tblCellMar>
        </w:tblPrEx>
        <w:trPr>
          <w:cantSplit/>
          <w:trHeight w:val="375" w:hRule="atLeast"/>
        </w:trPr>
        <w:tc>
          <w:tcPr>
            <w:tcW w:w="7" w:type="dxa"/>
            <w:tcBorders>
              <w:top w:val="single" w:color="auto" w:sz="4" w:space="0"/>
              <w:left w:val="single" w:color="auto" w:sz="4" w:space="0"/>
              <w:bottom w:val="single" w:color="auto" w:sz="4" w:space="0"/>
              <w:right w:val="single" w:color="auto" w:sz="4" w:space="0"/>
            </w:tcBorders>
            <w:vAlign w:val="center"/>
          </w:tcPr>
          <w:p>
            <w:pPr>
              <w:widowControl/>
              <w:snapToGrid w:val="0"/>
              <w:spacing w:after="0" w:line="240" w:lineRule="auto"/>
              <w:jc w:val="center"/>
              <w:rPr>
                <w:rFonts w:ascii="宋体" w:hAnsi="宋体"/>
                <w:color w:val="000000"/>
                <w:kern w:val="0"/>
                <w:sz w:val="24"/>
                <w:szCs w:val="24"/>
              </w:rPr>
            </w:pPr>
            <w:r>
              <w:rPr>
                <w:rFonts w:ascii="宋体" w:hAnsi="宋体"/>
                <w:color w:val="000000"/>
                <w:kern w:val="0"/>
                <w:sz w:val="24"/>
                <w:szCs w:val="24"/>
              </w:rPr>
              <w:t>A</w:t>
            </w:r>
          </w:p>
        </w:tc>
        <w:tc>
          <w:tcPr>
            <w:tcW w:w="7" w:type="dxa"/>
            <w:vMerge w:val="restart"/>
            <w:tcBorders>
              <w:top w:val="single" w:color="auto" w:sz="4" w:space="0"/>
              <w:left w:val="single" w:color="auto" w:sz="4" w:space="0"/>
              <w:bottom w:val="single" w:color="auto" w:sz="4" w:space="0"/>
              <w:right w:val="single" w:color="auto" w:sz="4" w:space="0"/>
            </w:tcBorders>
            <w:vAlign w:val="center"/>
          </w:tcPr>
          <w:p>
            <w:pPr>
              <w:spacing w:after="0" w:line="240" w:lineRule="auto"/>
              <w:jc w:val="left"/>
            </w:pPr>
            <w:r>
              <w:rPr>
                <w:rFonts w:ascii="宋体" w:hAnsi="宋体"/>
                <w:color w:val="000000"/>
                <w:kern w:val="0"/>
                <w:sz w:val="25"/>
                <w:szCs w:val="24"/>
              </w:rPr>
              <w:t>农、林、牧、渔业</w:t>
            </w:r>
          </w:p>
        </w:tc>
        <w:tc>
          <w:tcPr>
            <w:tcW w:w="7" w:type="dxa"/>
            <w:tcBorders>
              <w:top w:val="single" w:color="auto" w:sz="4" w:space="0"/>
              <w:left w:val="single" w:color="auto" w:sz="4" w:space="0"/>
              <w:bottom w:val="single" w:color="auto" w:sz="4" w:space="0"/>
              <w:right w:val="single" w:color="auto" w:sz="4" w:space="0"/>
            </w:tcBorders>
            <w:vAlign w:val="center"/>
          </w:tcPr>
          <w:p>
            <w:pPr>
              <w:widowControl/>
              <w:snapToGrid w:val="0"/>
              <w:spacing w:after="0" w:line="240" w:lineRule="auto"/>
              <w:jc w:val="right"/>
              <w:rPr>
                <w:rFonts w:ascii="宋体" w:hAnsi="宋体"/>
                <w:color w:val="000000"/>
                <w:kern w:val="0"/>
                <w:sz w:val="24"/>
                <w:szCs w:val="24"/>
              </w:rPr>
            </w:pPr>
            <w:r>
              <w:rPr>
                <w:rFonts w:ascii="宋体" w:hAnsi="宋体"/>
                <w:color w:val="000000"/>
                <w:kern w:val="0"/>
                <w:sz w:val="24"/>
                <w:szCs w:val="24"/>
              </w:rPr>
              <w:t>-</w:t>
            </w:r>
          </w:p>
        </w:tc>
        <w:tc>
          <w:tcPr>
            <w:tcW w:w="7" w:type="dxa"/>
            <w:tcBorders>
              <w:top w:val="single" w:color="auto" w:sz="4" w:space="0"/>
              <w:left w:val="single" w:color="auto" w:sz="4" w:space="0"/>
              <w:bottom w:val="single" w:color="auto" w:sz="4" w:space="0"/>
              <w:right w:val="single" w:color="auto" w:sz="4" w:space="0"/>
            </w:tcBorders>
            <w:vAlign w:val="center"/>
          </w:tcPr>
          <w:p>
            <w:pPr>
              <w:widowControl/>
              <w:snapToGrid w:val="0"/>
              <w:spacing w:after="0" w:line="240" w:lineRule="auto"/>
              <w:jc w:val="right"/>
              <w:rPr>
                <w:rFonts w:ascii="宋体" w:hAnsi="宋体"/>
                <w:color w:val="000000"/>
                <w:kern w:val="0"/>
                <w:sz w:val="24"/>
                <w:szCs w:val="24"/>
              </w:rPr>
            </w:pPr>
            <w:r>
              <w:rPr>
                <w:rFonts w:ascii="宋体" w:hAnsi="宋体"/>
                <w:color w:val="000000"/>
                <w:kern w:val="0"/>
                <w:sz w:val="24"/>
                <w:szCs w:val="24"/>
              </w:rPr>
              <w:t>-</w:t>
            </w:r>
          </w:p>
        </w:tc>
      </w:tr>
      <w:tr>
        <w:tblPrEx>
          <w:tblCellMar>
            <w:top w:w="0" w:type="dxa"/>
            <w:left w:w="0" w:type="dxa"/>
            <w:bottom w:w="0" w:type="dxa"/>
            <w:right w:w="0" w:type="dxa"/>
          </w:tblCellMar>
        </w:tblPrEx>
        <w:trPr>
          <w:cantSplit/>
          <w:trHeight w:val="375" w:hRule="atLeast"/>
        </w:trPr>
        <w:tc>
          <w:tcPr>
            <w:tcW w:w="7" w:type="dxa"/>
            <w:tcBorders>
              <w:top w:val="single" w:color="auto" w:sz="4" w:space="0"/>
              <w:left w:val="single" w:color="auto" w:sz="4" w:space="0"/>
              <w:bottom w:val="single" w:color="auto" w:sz="4" w:space="0"/>
              <w:right w:val="single" w:color="auto" w:sz="4" w:space="0"/>
            </w:tcBorders>
            <w:vAlign w:val="center"/>
          </w:tcPr>
          <w:p>
            <w:pPr>
              <w:widowControl/>
              <w:snapToGrid w:val="0"/>
              <w:spacing w:after="0" w:line="240" w:lineRule="auto"/>
              <w:jc w:val="center"/>
              <w:rPr>
                <w:rFonts w:ascii="宋体" w:hAnsi="宋体"/>
                <w:color w:val="000000"/>
                <w:kern w:val="0"/>
                <w:sz w:val="24"/>
                <w:szCs w:val="24"/>
              </w:rPr>
            </w:pPr>
            <w:r>
              <w:rPr>
                <w:rFonts w:ascii="宋体" w:hAnsi="宋体"/>
                <w:color w:val="000000"/>
                <w:kern w:val="0"/>
                <w:sz w:val="24"/>
                <w:szCs w:val="24"/>
              </w:rPr>
              <w:t>B</w:t>
            </w:r>
          </w:p>
        </w:tc>
        <w:tc>
          <w:tcPr>
            <w:tcW w:w="7" w:type="dxa"/>
            <w:vMerge w:val="restart"/>
            <w:tcBorders>
              <w:top w:val="single" w:color="auto" w:sz="4" w:space="0"/>
              <w:left w:val="single" w:color="auto" w:sz="4" w:space="0"/>
              <w:bottom w:val="single" w:color="auto" w:sz="4" w:space="0"/>
              <w:right w:val="single" w:color="auto" w:sz="4" w:space="0"/>
            </w:tcBorders>
            <w:vAlign w:val="center"/>
          </w:tcPr>
          <w:p>
            <w:pPr>
              <w:spacing w:after="0" w:line="240" w:lineRule="auto"/>
              <w:jc w:val="left"/>
            </w:pPr>
            <w:r>
              <w:rPr>
                <w:rFonts w:ascii="宋体" w:hAnsi="宋体"/>
                <w:color w:val="000000"/>
                <w:kern w:val="0"/>
                <w:sz w:val="25"/>
                <w:szCs w:val="24"/>
              </w:rPr>
              <w:t>采矿业</w:t>
            </w:r>
          </w:p>
        </w:tc>
        <w:tc>
          <w:tcPr>
            <w:tcW w:w="7" w:type="dxa"/>
            <w:tcBorders>
              <w:top w:val="single" w:color="auto" w:sz="4" w:space="0"/>
              <w:left w:val="single" w:color="auto" w:sz="4" w:space="0"/>
              <w:bottom w:val="single" w:color="auto" w:sz="4" w:space="0"/>
              <w:right w:val="single" w:color="auto" w:sz="4" w:space="0"/>
            </w:tcBorders>
            <w:vAlign w:val="center"/>
          </w:tcPr>
          <w:p>
            <w:pPr>
              <w:widowControl/>
              <w:snapToGrid w:val="0"/>
              <w:spacing w:after="0" w:line="240" w:lineRule="auto"/>
              <w:jc w:val="right"/>
              <w:rPr>
                <w:rFonts w:ascii="宋体" w:hAnsi="宋体"/>
                <w:color w:val="000000"/>
                <w:kern w:val="0"/>
                <w:sz w:val="24"/>
                <w:szCs w:val="24"/>
              </w:rPr>
            </w:pPr>
            <w:r>
              <w:rPr>
                <w:rFonts w:ascii="宋体" w:hAnsi="宋体"/>
                <w:color w:val="000000"/>
                <w:kern w:val="0"/>
                <w:sz w:val="24"/>
                <w:szCs w:val="24"/>
              </w:rPr>
              <w:t>97,873,229.72</w:t>
            </w:r>
          </w:p>
        </w:tc>
        <w:tc>
          <w:tcPr>
            <w:tcW w:w="7" w:type="dxa"/>
            <w:tcBorders>
              <w:top w:val="single" w:color="auto" w:sz="4" w:space="0"/>
              <w:left w:val="single" w:color="auto" w:sz="4" w:space="0"/>
              <w:bottom w:val="single" w:color="auto" w:sz="4" w:space="0"/>
              <w:right w:val="single" w:color="auto" w:sz="4" w:space="0"/>
            </w:tcBorders>
            <w:vAlign w:val="center"/>
          </w:tcPr>
          <w:p>
            <w:pPr>
              <w:widowControl/>
              <w:snapToGrid w:val="0"/>
              <w:spacing w:after="0" w:line="240" w:lineRule="auto"/>
              <w:jc w:val="right"/>
              <w:rPr>
                <w:rFonts w:ascii="宋体" w:hAnsi="宋体"/>
                <w:color w:val="000000"/>
                <w:kern w:val="0"/>
                <w:sz w:val="24"/>
                <w:szCs w:val="24"/>
              </w:rPr>
            </w:pPr>
            <w:r>
              <w:rPr>
                <w:rFonts w:ascii="宋体" w:hAnsi="宋体"/>
                <w:color w:val="000000"/>
                <w:kern w:val="0"/>
                <w:sz w:val="24"/>
                <w:szCs w:val="24"/>
              </w:rPr>
              <w:t>2.41</w:t>
            </w:r>
          </w:p>
        </w:tc>
      </w:tr>
      <w:tr>
        <w:tblPrEx>
          <w:tblCellMar>
            <w:top w:w="0" w:type="dxa"/>
            <w:left w:w="0" w:type="dxa"/>
            <w:bottom w:w="0" w:type="dxa"/>
            <w:right w:w="0" w:type="dxa"/>
          </w:tblCellMar>
        </w:tblPrEx>
        <w:trPr>
          <w:cantSplit/>
          <w:trHeight w:val="375" w:hRule="atLeast"/>
        </w:trPr>
        <w:tc>
          <w:tcPr>
            <w:tcW w:w="7" w:type="dxa"/>
            <w:tcBorders>
              <w:top w:val="single" w:color="auto" w:sz="4" w:space="0"/>
              <w:left w:val="single" w:color="auto" w:sz="4" w:space="0"/>
              <w:bottom w:val="single" w:color="auto" w:sz="4" w:space="0"/>
              <w:right w:val="single" w:color="auto" w:sz="4" w:space="0"/>
            </w:tcBorders>
            <w:vAlign w:val="center"/>
          </w:tcPr>
          <w:p>
            <w:pPr>
              <w:widowControl/>
              <w:snapToGrid w:val="0"/>
              <w:spacing w:after="0" w:line="240" w:lineRule="auto"/>
              <w:jc w:val="center"/>
              <w:rPr>
                <w:rFonts w:ascii="宋体" w:hAnsi="宋体"/>
                <w:color w:val="000000"/>
                <w:kern w:val="0"/>
                <w:sz w:val="24"/>
                <w:szCs w:val="24"/>
              </w:rPr>
            </w:pPr>
            <w:r>
              <w:rPr>
                <w:rFonts w:ascii="宋体" w:hAnsi="宋体"/>
                <w:color w:val="000000"/>
                <w:kern w:val="0"/>
                <w:sz w:val="24"/>
                <w:szCs w:val="24"/>
              </w:rPr>
              <w:t>C</w:t>
            </w:r>
          </w:p>
        </w:tc>
        <w:tc>
          <w:tcPr>
            <w:tcW w:w="7" w:type="dxa"/>
            <w:vMerge w:val="restart"/>
            <w:tcBorders>
              <w:top w:val="single" w:color="auto" w:sz="4" w:space="0"/>
              <w:left w:val="single" w:color="auto" w:sz="4" w:space="0"/>
              <w:bottom w:val="single" w:color="auto" w:sz="4" w:space="0"/>
              <w:right w:val="single" w:color="auto" w:sz="4" w:space="0"/>
            </w:tcBorders>
            <w:vAlign w:val="center"/>
          </w:tcPr>
          <w:p>
            <w:pPr>
              <w:spacing w:after="0" w:line="240" w:lineRule="auto"/>
              <w:jc w:val="left"/>
            </w:pPr>
            <w:r>
              <w:rPr>
                <w:rFonts w:ascii="宋体" w:hAnsi="宋体"/>
                <w:color w:val="000000"/>
                <w:kern w:val="0"/>
                <w:sz w:val="25"/>
                <w:szCs w:val="24"/>
              </w:rPr>
              <w:t>制造业</w:t>
            </w:r>
          </w:p>
        </w:tc>
        <w:tc>
          <w:tcPr>
            <w:tcW w:w="7" w:type="dxa"/>
            <w:tcBorders>
              <w:top w:val="single" w:color="auto" w:sz="4" w:space="0"/>
              <w:left w:val="single" w:color="auto" w:sz="4" w:space="0"/>
              <w:bottom w:val="single" w:color="auto" w:sz="4" w:space="0"/>
              <w:right w:val="single" w:color="auto" w:sz="4" w:space="0"/>
            </w:tcBorders>
            <w:vAlign w:val="center"/>
          </w:tcPr>
          <w:p>
            <w:pPr>
              <w:widowControl/>
              <w:snapToGrid w:val="0"/>
              <w:spacing w:after="0" w:line="240" w:lineRule="auto"/>
              <w:jc w:val="right"/>
              <w:rPr>
                <w:rFonts w:ascii="宋体" w:hAnsi="宋体"/>
                <w:color w:val="000000"/>
                <w:kern w:val="0"/>
                <w:sz w:val="24"/>
                <w:szCs w:val="24"/>
              </w:rPr>
            </w:pPr>
            <w:r>
              <w:rPr>
                <w:rFonts w:ascii="宋体" w:hAnsi="宋体"/>
                <w:color w:val="000000"/>
                <w:kern w:val="0"/>
                <w:sz w:val="24"/>
                <w:szCs w:val="24"/>
              </w:rPr>
              <w:t>2,616,064,844.63</w:t>
            </w:r>
          </w:p>
        </w:tc>
        <w:tc>
          <w:tcPr>
            <w:tcW w:w="7" w:type="dxa"/>
            <w:tcBorders>
              <w:top w:val="single" w:color="auto" w:sz="4" w:space="0"/>
              <w:left w:val="single" w:color="auto" w:sz="4" w:space="0"/>
              <w:bottom w:val="single" w:color="auto" w:sz="4" w:space="0"/>
              <w:right w:val="single" w:color="auto" w:sz="4" w:space="0"/>
            </w:tcBorders>
            <w:vAlign w:val="center"/>
          </w:tcPr>
          <w:p>
            <w:pPr>
              <w:widowControl/>
              <w:snapToGrid w:val="0"/>
              <w:spacing w:after="0" w:line="240" w:lineRule="auto"/>
              <w:jc w:val="right"/>
              <w:rPr>
                <w:rFonts w:ascii="宋体" w:hAnsi="宋体"/>
                <w:color w:val="000000"/>
                <w:kern w:val="0"/>
                <w:sz w:val="24"/>
                <w:szCs w:val="24"/>
              </w:rPr>
            </w:pPr>
            <w:r>
              <w:rPr>
                <w:rFonts w:ascii="宋体" w:hAnsi="宋体"/>
                <w:color w:val="000000"/>
                <w:kern w:val="0"/>
                <w:sz w:val="24"/>
                <w:szCs w:val="24"/>
              </w:rPr>
              <w:t>64.29</w:t>
            </w:r>
          </w:p>
        </w:tc>
      </w:tr>
      <w:tr>
        <w:tblPrEx>
          <w:tblCellMar>
            <w:top w:w="0" w:type="dxa"/>
            <w:left w:w="0" w:type="dxa"/>
            <w:bottom w:w="0" w:type="dxa"/>
            <w:right w:w="0" w:type="dxa"/>
          </w:tblCellMar>
        </w:tblPrEx>
        <w:trPr>
          <w:cantSplit/>
          <w:trHeight w:val="375" w:hRule="atLeast"/>
        </w:trPr>
        <w:tc>
          <w:tcPr>
            <w:tcW w:w="7" w:type="dxa"/>
            <w:tcBorders>
              <w:top w:val="single" w:color="auto" w:sz="4" w:space="0"/>
              <w:left w:val="single" w:color="auto" w:sz="4" w:space="0"/>
              <w:bottom w:val="single" w:color="auto" w:sz="4" w:space="0"/>
              <w:right w:val="single" w:color="auto" w:sz="4" w:space="0"/>
            </w:tcBorders>
            <w:vAlign w:val="center"/>
          </w:tcPr>
          <w:p>
            <w:pPr>
              <w:widowControl/>
              <w:snapToGrid w:val="0"/>
              <w:spacing w:after="0" w:line="240" w:lineRule="auto"/>
              <w:jc w:val="center"/>
              <w:rPr>
                <w:rFonts w:ascii="宋体" w:hAnsi="宋体"/>
                <w:color w:val="000000"/>
                <w:kern w:val="0"/>
                <w:sz w:val="24"/>
                <w:szCs w:val="24"/>
              </w:rPr>
            </w:pPr>
            <w:r>
              <w:rPr>
                <w:rFonts w:ascii="宋体" w:hAnsi="宋体"/>
                <w:color w:val="000000"/>
                <w:kern w:val="0"/>
                <w:sz w:val="24"/>
                <w:szCs w:val="24"/>
              </w:rPr>
              <w:t>D</w:t>
            </w:r>
          </w:p>
        </w:tc>
        <w:tc>
          <w:tcPr>
            <w:tcW w:w="7" w:type="dxa"/>
            <w:vMerge w:val="restart"/>
            <w:tcBorders>
              <w:top w:val="single" w:color="auto" w:sz="4" w:space="0"/>
              <w:left w:val="single" w:color="auto" w:sz="4" w:space="0"/>
              <w:bottom w:val="single" w:color="auto" w:sz="4" w:space="0"/>
              <w:right w:val="single" w:color="auto" w:sz="4" w:space="0"/>
            </w:tcBorders>
            <w:vAlign w:val="center"/>
          </w:tcPr>
          <w:p>
            <w:pPr>
              <w:spacing w:after="0" w:line="240" w:lineRule="auto"/>
              <w:jc w:val="left"/>
            </w:pPr>
            <w:r>
              <w:rPr>
                <w:rFonts w:ascii="宋体" w:hAnsi="宋体"/>
                <w:color w:val="000000"/>
                <w:kern w:val="0"/>
                <w:sz w:val="25"/>
                <w:szCs w:val="24"/>
              </w:rPr>
              <w:t>电力、热力、燃气及水生产和供应业</w:t>
            </w:r>
          </w:p>
        </w:tc>
        <w:tc>
          <w:tcPr>
            <w:tcW w:w="7" w:type="dxa"/>
            <w:tcBorders>
              <w:top w:val="single" w:color="auto" w:sz="4" w:space="0"/>
              <w:left w:val="single" w:color="auto" w:sz="4" w:space="0"/>
              <w:bottom w:val="single" w:color="auto" w:sz="4" w:space="0"/>
              <w:right w:val="single" w:color="auto" w:sz="4" w:space="0"/>
            </w:tcBorders>
            <w:vAlign w:val="center"/>
          </w:tcPr>
          <w:p>
            <w:pPr>
              <w:widowControl/>
              <w:snapToGrid w:val="0"/>
              <w:spacing w:after="0" w:line="240" w:lineRule="auto"/>
              <w:jc w:val="right"/>
              <w:rPr>
                <w:rFonts w:ascii="宋体" w:hAnsi="宋体"/>
                <w:color w:val="000000"/>
                <w:kern w:val="0"/>
                <w:sz w:val="24"/>
                <w:szCs w:val="24"/>
              </w:rPr>
            </w:pPr>
            <w:r>
              <w:rPr>
                <w:rFonts w:ascii="宋体" w:hAnsi="宋体"/>
                <w:color w:val="000000"/>
                <w:kern w:val="0"/>
                <w:sz w:val="24"/>
                <w:szCs w:val="24"/>
              </w:rPr>
              <w:t>21,082,880.00</w:t>
            </w:r>
          </w:p>
        </w:tc>
        <w:tc>
          <w:tcPr>
            <w:tcW w:w="7" w:type="dxa"/>
            <w:tcBorders>
              <w:top w:val="single" w:color="auto" w:sz="4" w:space="0"/>
              <w:left w:val="single" w:color="auto" w:sz="4" w:space="0"/>
              <w:bottom w:val="single" w:color="auto" w:sz="4" w:space="0"/>
              <w:right w:val="single" w:color="auto" w:sz="4" w:space="0"/>
            </w:tcBorders>
            <w:vAlign w:val="center"/>
          </w:tcPr>
          <w:p>
            <w:pPr>
              <w:widowControl/>
              <w:snapToGrid w:val="0"/>
              <w:spacing w:after="0" w:line="240" w:lineRule="auto"/>
              <w:jc w:val="right"/>
              <w:rPr>
                <w:rFonts w:ascii="宋体" w:hAnsi="宋体"/>
                <w:color w:val="000000"/>
                <w:kern w:val="0"/>
                <w:sz w:val="24"/>
                <w:szCs w:val="24"/>
              </w:rPr>
            </w:pPr>
            <w:r>
              <w:rPr>
                <w:rFonts w:ascii="宋体" w:hAnsi="宋体"/>
                <w:color w:val="000000"/>
                <w:kern w:val="0"/>
                <w:sz w:val="24"/>
                <w:szCs w:val="24"/>
              </w:rPr>
              <w:t>0.52</w:t>
            </w:r>
          </w:p>
        </w:tc>
      </w:tr>
      <w:tr>
        <w:tblPrEx>
          <w:tblCellMar>
            <w:top w:w="0" w:type="dxa"/>
            <w:left w:w="0" w:type="dxa"/>
            <w:bottom w:w="0" w:type="dxa"/>
            <w:right w:w="0" w:type="dxa"/>
          </w:tblCellMar>
        </w:tblPrEx>
        <w:trPr>
          <w:cantSplit/>
          <w:trHeight w:val="375" w:hRule="atLeast"/>
        </w:trPr>
        <w:tc>
          <w:tcPr>
            <w:tcW w:w="7" w:type="dxa"/>
            <w:tcBorders>
              <w:top w:val="single" w:color="auto" w:sz="4" w:space="0"/>
              <w:left w:val="single" w:color="auto" w:sz="4" w:space="0"/>
              <w:bottom w:val="single" w:color="auto" w:sz="4" w:space="0"/>
              <w:right w:val="single" w:color="auto" w:sz="4" w:space="0"/>
            </w:tcBorders>
            <w:vAlign w:val="center"/>
          </w:tcPr>
          <w:p>
            <w:pPr>
              <w:widowControl/>
              <w:snapToGrid w:val="0"/>
              <w:spacing w:after="0" w:line="240" w:lineRule="auto"/>
              <w:jc w:val="center"/>
              <w:rPr>
                <w:rFonts w:ascii="宋体" w:hAnsi="宋体"/>
                <w:color w:val="000000"/>
                <w:kern w:val="0"/>
                <w:sz w:val="24"/>
                <w:szCs w:val="24"/>
              </w:rPr>
            </w:pPr>
            <w:r>
              <w:rPr>
                <w:rFonts w:ascii="宋体" w:hAnsi="宋体"/>
                <w:color w:val="000000"/>
                <w:kern w:val="0"/>
                <w:sz w:val="24"/>
                <w:szCs w:val="24"/>
              </w:rPr>
              <w:t>E</w:t>
            </w:r>
          </w:p>
        </w:tc>
        <w:tc>
          <w:tcPr>
            <w:tcW w:w="7" w:type="dxa"/>
            <w:vMerge w:val="restart"/>
            <w:tcBorders>
              <w:top w:val="single" w:color="auto" w:sz="4" w:space="0"/>
              <w:left w:val="single" w:color="auto" w:sz="4" w:space="0"/>
              <w:bottom w:val="single" w:color="auto" w:sz="4" w:space="0"/>
              <w:right w:val="single" w:color="auto" w:sz="4" w:space="0"/>
            </w:tcBorders>
            <w:vAlign w:val="center"/>
          </w:tcPr>
          <w:p>
            <w:pPr>
              <w:spacing w:after="0" w:line="240" w:lineRule="auto"/>
              <w:jc w:val="left"/>
            </w:pPr>
            <w:r>
              <w:rPr>
                <w:rFonts w:ascii="宋体" w:hAnsi="宋体"/>
                <w:color w:val="000000"/>
                <w:kern w:val="0"/>
                <w:sz w:val="25"/>
                <w:szCs w:val="24"/>
              </w:rPr>
              <w:t>建筑业</w:t>
            </w:r>
          </w:p>
        </w:tc>
        <w:tc>
          <w:tcPr>
            <w:tcW w:w="7" w:type="dxa"/>
            <w:tcBorders>
              <w:top w:val="single" w:color="auto" w:sz="4" w:space="0"/>
              <w:left w:val="single" w:color="auto" w:sz="4" w:space="0"/>
              <w:bottom w:val="single" w:color="auto" w:sz="4" w:space="0"/>
              <w:right w:val="single" w:color="auto" w:sz="4" w:space="0"/>
            </w:tcBorders>
            <w:vAlign w:val="center"/>
          </w:tcPr>
          <w:p>
            <w:pPr>
              <w:widowControl/>
              <w:snapToGrid w:val="0"/>
              <w:spacing w:after="0" w:line="240" w:lineRule="auto"/>
              <w:jc w:val="right"/>
              <w:rPr>
                <w:rFonts w:ascii="宋体" w:hAnsi="宋体"/>
                <w:color w:val="000000"/>
                <w:kern w:val="0"/>
                <w:sz w:val="24"/>
                <w:szCs w:val="24"/>
              </w:rPr>
            </w:pPr>
            <w:r>
              <w:rPr>
                <w:rFonts w:ascii="宋体" w:hAnsi="宋体"/>
                <w:color w:val="000000"/>
                <w:kern w:val="0"/>
                <w:sz w:val="24"/>
                <w:szCs w:val="24"/>
              </w:rPr>
              <w:t>-</w:t>
            </w:r>
          </w:p>
        </w:tc>
        <w:tc>
          <w:tcPr>
            <w:tcW w:w="7" w:type="dxa"/>
            <w:tcBorders>
              <w:top w:val="single" w:color="auto" w:sz="4" w:space="0"/>
              <w:left w:val="single" w:color="auto" w:sz="4" w:space="0"/>
              <w:bottom w:val="single" w:color="auto" w:sz="4" w:space="0"/>
              <w:right w:val="single" w:color="auto" w:sz="4" w:space="0"/>
            </w:tcBorders>
            <w:vAlign w:val="center"/>
          </w:tcPr>
          <w:p>
            <w:pPr>
              <w:widowControl/>
              <w:snapToGrid w:val="0"/>
              <w:spacing w:after="0" w:line="240" w:lineRule="auto"/>
              <w:jc w:val="right"/>
              <w:rPr>
                <w:rFonts w:ascii="宋体" w:hAnsi="宋体"/>
                <w:color w:val="000000"/>
                <w:kern w:val="0"/>
                <w:sz w:val="24"/>
                <w:szCs w:val="24"/>
              </w:rPr>
            </w:pPr>
            <w:r>
              <w:rPr>
                <w:rFonts w:ascii="宋体" w:hAnsi="宋体"/>
                <w:color w:val="000000"/>
                <w:kern w:val="0"/>
                <w:sz w:val="24"/>
                <w:szCs w:val="24"/>
              </w:rPr>
              <w:t>-</w:t>
            </w:r>
          </w:p>
        </w:tc>
      </w:tr>
      <w:tr>
        <w:tblPrEx>
          <w:tblCellMar>
            <w:top w:w="0" w:type="dxa"/>
            <w:left w:w="0" w:type="dxa"/>
            <w:bottom w:w="0" w:type="dxa"/>
            <w:right w:w="0" w:type="dxa"/>
          </w:tblCellMar>
        </w:tblPrEx>
        <w:trPr>
          <w:cantSplit/>
          <w:trHeight w:val="375" w:hRule="atLeast"/>
        </w:trPr>
        <w:tc>
          <w:tcPr>
            <w:tcW w:w="7" w:type="dxa"/>
            <w:tcBorders>
              <w:top w:val="single" w:color="auto" w:sz="4" w:space="0"/>
              <w:left w:val="single" w:color="auto" w:sz="4" w:space="0"/>
              <w:bottom w:val="single" w:color="auto" w:sz="4" w:space="0"/>
              <w:right w:val="single" w:color="auto" w:sz="4" w:space="0"/>
            </w:tcBorders>
            <w:vAlign w:val="center"/>
          </w:tcPr>
          <w:p>
            <w:pPr>
              <w:widowControl/>
              <w:snapToGrid w:val="0"/>
              <w:spacing w:after="0" w:line="240" w:lineRule="auto"/>
              <w:jc w:val="center"/>
              <w:rPr>
                <w:rFonts w:ascii="宋体" w:hAnsi="宋体"/>
                <w:color w:val="000000"/>
                <w:kern w:val="0"/>
                <w:sz w:val="24"/>
                <w:szCs w:val="24"/>
              </w:rPr>
            </w:pPr>
            <w:r>
              <w:rPr>
                <w:rFonts w:ascii="宋体" w:hAnsi="宋体"/>
                <w:color w:val="000000"/>
                <w:kern w:val="0"/>
                <w:sz w:val="24"/>
                <w:szCs w:val="24"/>
              </w:rPr>
              <w:t>F</w:t>
            </w:r>
          </w:p>
        </w:tc>
        <w:tc>
          <w:tcPr>
            <w:tcW w:w="7" w:type="dxa"/>
            <w:vMerge w:val="restart"/>
            <w:tcBorders>
              <w:top w:val="single" w:color="auto" w:sz="4" w:space="0"/>
              <w:left w:val="single" w:color="auto" w:sz="4" w:space="0"/>
              <w:bottom w:val="single" w:color="auto" w:sz="4" w:space="0"/>
              <w:right w:val="single" w:color="auto" w:sz="4" w:space="0"/>
            </w:tcBorders>
            <w:vAlign w:val="center"/>
          </w:tcPr>
          <w:p>
            <w:pPr>
              <w:spacing w:after="0" w:line="240" w:lineRule="auto"/>
              <w:jc w:val="left"/>
            </w:pPr>
            <w:r>
              <w:rPr>
                <w:rFonts w:ascii="宋体" w:hAnsi="宋体"/>
                <w:color w:val="000000"/>
                <w:kern w:val="0"/>
                <w:sz w:val="25"/>
                <w:szCs w:val="24"/>
              </w:rPr>
              <w:t>批发和零售业</w:t>
            </w:r>
          </w:p>
        </w:tc>
        <w:tc>
          <w:tcPr>
            <w:tcW w:w="7" w:type="dxa"/>
            <w:tcBorders>
              <w:top w:val="single" w:color="auto" w:sz="4" w:space="0"/>
              <w:left w:val="single" w:color="auto" w:sz="4" w:space="0"/>
              <w:bottom w:val="single" w:color="auto" w:sz="4" w:space="0"/>
              <w:right w:val="single" w:color="auto" w:sz="4" w:space="0"/>
            </w:tcBorders>
            <w:vAlign w:val="center"/>
          </w:tcPr>
          <w:p>
            <w:pPr>
              <w:widowControl/>
              <w:snapToGrid w:val="0"/>
              <w:spacing w:after="0" w:line="240" w:lineRule="auto"/>
              <w:jc w:val="right"/>
              <w:rPr>
                <w:rFonts w:ascii="宋体" w:hAnsi="宋体"/>
                <w:color w:val="000000"/>
                <w:kern w:val="0"/>
                <w:sz w:val="24"/>
                <w:szCs w:val="24"/>
              </w:rPr>
            </w:pPr>
            <w:r>
              <w:rPr>
                <w:rFonts w:ascii="宋体" w:hAnsi="宋体"/>
                <w:color w:val="000000"/>
                <w:kern w:val="0"/>
                <w:sz w:val="24"/>
                <w:szCs w:val="24"/>
              </w:rPr>
              <w:t>24,937.77</w:t>
            </w:r>
          </w:p>
        </w:tc>
        <w:tc>
          <w:tcPr>
            <w:tcW w:w="7" w:type="dxa"/>
            <w:tcBorders>
              <w:top w:val="single" w:color="auto" w:sz="4" w:space="0"/>
              <w:left w:val="single" w:color="auto" w:sz="4" w:space="0"/>
              <w:bottom w:val="single" w:color="auto" w:sz="4" w:space="0"/>
              <w:right w:val="single" w:color="auto" w:sz="4" w:space="0"/>
            </w:tcBorders>
            <w:vAlign w:val="center"/>
          </w:tcPr>
          <w:p>
            <w:pPr>
              <w:widowControl/>
              <w:snapToGrid w:val="0"/>
              <w:spacing w:after="0" w:line="240" w:lineRule="auto"/>
              <w:jc w:val="right"/>
              <w:rPr>
                <w:rFonts w:ascii="宋体" w:hAnsi="宋体"/>
                <w:color w:val="000000"/>
                <w:kern w:val="0"/>
                <w:sz w:val="24"/>
                <w:szCs w:val="24"/>
              </w:rPr>
            </w:pPr>
            <w:r>
              <w:rPr>
                <w:rFonts w:ascii="宋体" w:hAnsi="宋体"/>
                <w:color w:val="000000"/>
                <w:kern w:val="0"/>
                <w:sz w:val="24"/>
                <w:szCs w:val="24"/>
              </w:rPr>
              <w:t>0.00</w:t>
            </w:r>
          </w:p>
        </w:tc>
      </w:tr>
      <w:tr>
        <w:tblPrEx>
          <w:tblCellMar>
            <w:top w:w="0" w:type="dxa"/>
            <w:left w:w="0" w:type="dxa"/>
            <w:bottom w:w="0" w:type="dxa"/>
            <w:right w:w="0" w:type="dxa"/>
          </w:tblCellMar>
        </w:tblPrEx>
        <w:trPr>
          <w:cantSplit/>
          <w:trHeight w:val="375" w:hRule="atLeast"/>
        </w:trPr>
        <w:tc>
          <w:tcPr>
            <w:tcW w:w="7" w:type="dxa"/>
            <w:tcBorders>
              <w:top w:val="single" w:color="auto" w:sz="4" w:space="0"/>
              <w:left w:val="single" w:color="auto" w:sz="4" w:space="0"/>
              <w:bottom w:val="single" w:color="auto" w:sz="4" w:space="0"/>
              <w:right w:val="single" w:color="auto" w:sz="4" w:space="0"/>
            </w:tcBorders>
            <w:vAlign w:val="center"/>
          </w:tcPr>
          <w:p>
            <w:pPr>
              <w:widowControl/>
              <w:snapToGrid w:val="0"/>
              <w:spacing w:after="0" w:line="240" w:lineRule="auto"/>
              <w:jc w:val="center"/>
              <w:rPr>
                <w:rFonts w:ascii="宋体" w:hAnsi="宋体"/>
                <w:color w:val="000000"/>
                <w:kern w:val="0"/>
                <w:sz w:val="24"/>
                <w:szCs w:val="24"/>
              </w:rPr>
            </w:pPr>
            <w:r>
              <w:rPr>
                <w:rFonts w:ascii="宋体" w:hAnsi="宋体"/>
                <w:color w:val="000000"/>
                <w:kern w:val="0"/>
                <w:sz w:val="24"/>
                <w:szCs w:val="24"/>
              </w:rPr>
              <w:t>G</w:t>
            </w:r>
          </w:p>
        </w:tc>
        <w:tc>
          <w:tcPr>
            <w:tcW w:w="7" w:type="dxa"/>
            <w:vMerge w:val="restart"/>
            <w:tcBorders>
              <w:top w:val="single" w:color="auto" w:sz="4" w:space="0"/>
              <w:left w:val="single" w:color="auto" w:sz="4" w:space="0"/>
              <w:bottom w:val="single" w:color="auto" w:sz="4" w:space="0"/>
              <w:right w:val="single" w:color="auto" w:sz="4" w:space="0"/>
            </w:tcBorders>
            <w:vAlign w:val="center"/>
          </w:tcPr>
          <w:p>
            <w:pPr>
              <w:spacing w:after="0" w:line="240" w:lineRule="auto"/>
              <w:jc w:val="left"/>
            </w:pPr>
            <w:r>
              <w:rPr>
                <w:rFonts w:ascii="宋体" w:hAnsi="宋体"/>
                <w:color w:val="000000"/>
                <w:kern w:val="0"/>
                <w:sz w:val="25"/>
                <w:szCs w:val="24"/>
              </w:rPr>
              <w:t>交通运输、仓储和邮政业</w:t>
            </w:r>
          </w:p>
        </w:tc>
        <w:tc>
          <w:tcPr>
            <w:tcW w:w="7" w:type="dxa"/>
            <w:tcBorders>
              <w:top w:val="single" w:color="auto" w:sz="4" w:space="0"/>
              <w:left w:val="single" w:color="auto" w:sz="4" w:space="0"/>
              <w:bottom w:val="single" w:color="auto" w:sz="4" w:space="0"/>
              <w:right w:val="single" w:color="auto" w:sz="4" w:space="0"/>
            </w:tcBorders>
            <w:vAlign w:val="center"/>
          </w:tcPr>
          <w:p>
            <w:pPr>
              <w:widowControl/>
              <w:snapToGrid w:val="0"/>
              <w:spacing w:after="0" w:line="240" w:lineRule="auto"/>
              <w:jc w:val="right"/>
              <w:rPr>
                <w:rFonts w:ascii="宋体" w:hAnsi="宋体"/>
                <w:color w:val="000000"/>
                <w:kern w:val="0"/>
                <w:sz w:val="24"/>
                <w:szCs w:val="24"/>
              </w:rPr>
            </w:pPr>
            <w:r>
              <w:rPr>
                <w:rFonts w:ascii="宋体" w:hAnsi="宋体"/>
                <w:color w:val="000000"/>
                <w:kern w:val="0"/>
                <w:sz w:val="24"/>
                <w:szCs w:val="24"/>
              </w:rPr>
              <w:t>1,583.46</w:t>
            </w:r>
          </w:p>
        </w:tc>
        <w:tc>
          <w:tcPr>
            <w:tcW w:w="7" w:type="dxa"/>
            <w:tcBorders>
              <w:top w:val="single" w:color="auto" w:sz="4" w:space="0"/>
              <w:left w:val="single" w:color="auto" w:sz="4" w:space="0"/>
              <w:bottom w:val="single" w:color="auto" w:sz="4" w:space="0"/>
              <w:right w:val="single" w:color="auto" w:sz="4" w:space="0"/>
            </w:tcBorders>
            <w:vAlign w:val="center"/>
          </w:tcPr>
          <w:p>
            <w:pPr>
              <w:widowControl/>
              <w:snapToGrid w:val="0"/>
              <w:spacing w:after="0" w:line="240" w:lineRule="auto"/>
              <w:jc w:val="right"/>
              <w:rPr>
                <w:rFonts w:ascii="宋体" w:hAnsi="宋体"/>
                <w:color w:val="000000"/>
                <w:kern w:val="0"/>
                <w:sz w:val="24"/>
                <w:szCs w:val="24"/>
              </w:rPr>
            </w:pPr>
            <w:r>
              <w:rPr>
                <w:rFonts w:ascii="宋体" w:hAnsi="宋体"/>
                <w:color w:val="000000"/>
                <w:kern w:val="0"/>
                <w:sz w:val="24"/>
                <w:szCs w:val="24"/>
              </w:rPr>
              <w:t>0.00</w:t>
            </w:r>
          </w:p>
        </w:tc>
      </w:tr>
      <w:tr>
        <w:tblPrEx>
          <w:tblCellMar>
            <w:top w:w="0" w:type="dxa"/>
            <w:left w:w="0" w:type="dxa"/>
            <w:bottom w:w="0" w:type="dxa"/>
            <w:right w:w="0" w:type="dxa"/>
          </w:tblCellMar>
        </w:tblPrEx>
        <w:trPr>
          <w:cantSplit/>
          <w:trHeight w:val="375" w:hRule="atLeast"/>
        </w:trPr>
        <w:tc>
          <w:tcPr>
            <w:tcW w:w="7" w:type="dxa"/>
            <w:tcBorders>
              <w:top w:val="single" w:color="auto" w:sz="4" w:space="0"/>
              <w:left w:val="single" w:color="auto" w:sz="4" w:space="0"/>
              <w:bottom w:val="single" w:color="auto" w:sz="4" w:space="0"/>
              <w:right w:val="single" w:color="auto" w:sz="4" w:space="0"/>
            </w:tcBorders>
            <w:vAlign w:val="center"/>
          </w:tcPr>
          <w:p>
            <w:pPr>
              <w:widowControl/>
              <w:snapToGrid w:val="0"/>
              <w:spacing w:after="0" w:line="240" w:lineRule="auto"/>
              <w:jc w:val="center"/>
              <w:rPr>
                <w:rFonts w:ascii="宋体" w:hAnsi="宋体"/>
                <w:color w:val="000000"/>
                <w:kern w:val="0"/>
                <w:sz w:val="24"/>
                <w:szCs w:val="24"/>
              </w:rPr>
            </w:pPr>
            <w:r>
              <w:rPr>
                <w:rFonts w:ascii="宋体" w:hAnsi="宋体"/>
                <w:color w:val="000000"/>
                <w:kern w:val="0"/>
                <w:sz w:val="24"/>
                <w:szCs w:val="24"/>
              </w:rPr>
              <w:t>H</w:t>
            </w:r>
          </w:p>
        </w:tc>
        <w:tc>
          <w:tcPr>
            <w:tcW w:w="7" w:type="dxa"/>
            <w:vMerge w:val="restart"/>
            <w:tcBorders>
              <w:top w:val="single" w:color="auto" w:sz="4" w:space="0"/>
              <w:left w:val="single" w:color="auto" w:sz="4" w:space="0"/>
              <w:bottom w:val="single" w:color="auto" w:sz="4" w:space="0"/>
              <w:right w:val="single" w:color="auto" w:sz="4" w:space="0"/>
            </w:tcBorders>
            <w:vAlign w:val="center"/>
          </w:tcPr>
          <w:p>
            <w:pPr>
              <w:spacing w:after="0" w:line="240" w:lineRule="auto"/>
              <w:jc w:val="left"/>
            </w:pPr>
            <w:r>
              <w:rPr>
                <w:rFonts w:ascii="宋体" w:hAnsi="宋体"/>
                <w:color w:val="000000"/>
                <w:kern w:val="0"/>
                <w:sz w:val="25"/>
                <w:szCs w:val="24"/>
              </w:rPr>
              <w:t>住宿和餐饮业</w:t>
            </w:r>
          </w:p>
        </w:tc>
        <w:tc>
          <w:tcPr>
            <w:tcW w:w="7" w:type="dxa"/>
            <w:tcBorders>
              <w:top w:val="single" w:color="auto" w:sz="4" w:space="0"/>
              <w:left w:val="single" w:color="auto" w:sz="4" w:space="0"/>
              <w:bottom w:val="single" w:color="auto" w:sz="4" w:space="0"/>
              <w:right w:val="single" w:color="auto" w:sz="4" w:space="0"/>
            </w:tcBorders>
            <w:vAlign w:val="center"/>
          </w:tcPr>
          <w:p>
            <w:pPr>
              <w:widowControl/>
              <w:snapToGrid w:val="0"/>
              <w:spacing w:after="0" w:line="240" w:lineRule="auto"/>
              <w:jc w:val="right"/>
              <w:rPr>
                <w:rFonts w:ascii="宋体" w:hAnsi="宋体"/>
                <w:color w:val="000000"/>
                <w:kern w:val="0"/>
                <w:sz w:val="24"/>
                <w:szCs w:val="24"/>
              </w:rPr>
            </w:pPr>
            <w:r>
              <w:rPr>
                <w:rFonts w:ascii="宋体" w:hAnsi="宋体"/>
                <w:color w:val="000000"/>
                <w:kern w:val="0"/>
                <w:sz w:val="24"/>
                <w:szCs w:val="24"/>
              </w:rPr>
              <w:t>-</w:t>
            </w:r>
          </w:p>
        </w:tc>
        <w:tc>
          <w:tcPr>
            <w:tcW w:w="7" w:type="dxa"/>
            <w:tcBorders>
              <w:top w:val="single" w:color="auto" w:sz="4" w:space="0"/>
              <w:left w:val="single" w:color="auto" w:sz="4" w:space="0"/>
              <w:bottom w:val="single" w:color="auto" w:sz="4" w:space="0"/>
              <w:right w:val="single" w:color="auto" w:sz="4" w:space="0"/>
            </w:tcBorders>
            <w:vAlign w:val="center"/>
          </w:tcPr>
          <w:p>
            <w:pPr>
              <w:widowControl/>
              <w:snapToGrid w:val="0"/>
              <w:spacing w:after="0" w:line="240" w:lineRule="auto"/>
              <w:jc w:val="right"/>
              <w:rPr>
                <w:rFonts w:ascii="宋体" w:hAnsi="宋体"/>
                <w:color w:val="000000"/>
                <w:kern w:val="0"/>
                <w:sz w:val="24"/>
                <w:szCs w:val="24"/>
              </w:rPr>
            </w:pPr>
            <w:r>
              <w:rPr>
                <w:rFonts w:ascii="宋体" w:hAnsi="宋体"/>
                <w:color w:val="000000"/>
                <w:kern w:val="0"/>
                <w:sz w:val="24"/>
                <w:szCs w:val="24"/>
              </w:rPr>
              <w:t>-</w:t>
            </w:r>
          </w:p>
        </w:tc>
      </w:tr>
      <w:tr>
        <w:tblPrEx>
          <w:tblCellMar>
            <w:top w:w="0" w:type="dxa"/>
            <w:left w:w="0" w:type="dxa"/>
            <w:bottom w:w="0" w:type="dxa"/>
            <w:right w:w="0" w:type="dxa"/>
          </w:tblCellMar>
        </w:tblPrEx>
        <w:trPr>
          <w:cantSplit/>
          <w:trHeight w:val="375" w:hRule="atLeast"/>
        </w:trPr>
        <w:tc>
          <w:tcPr>
            <w:tcW w:w="7" w:type="dxa"/>
            <w:tcBorders>
              <w:top w:val="single" w:color="auto" w:sz="4" w:space="0"/>
              <w:left w:val="single" w:color="auto" w:sz="4" w:space="0"/>
              <w:bottom w:val="single" w:color="auto" w:sz="4" w:space="0"/>
              <w:right w:val="single" w:color="auto" w:sz="4" w:space="0"/>
            </w:tcBorders>
            <w:vAlign w:val="center"/>
          </w:tcPr>
          <w:p>
            <w:pPr>
              <w:widowControl/>
              <w:snapToGrid w:val="0"/>
              <w:spacing w:after="0" w:line="240" w:lineRule="auto"/>
              <w:jc w:val="center"/>
              <w:rPr>
                <w:rFonts w:ascii="宋体" w:hAnsi="宋体"/>
                <w:color w:val="000000"/>
                <w:kern w:val="0"/>
                <w:sz w:val="24"/>
                <w:szCs w:val="24"/>
              </w:rPr>
            </w:pPr>
            <w:r>
              <w:rPr>
                <w:rFonts w:ascii="宋体" w:hAnsi="宋体"/>
                <w:color w:val="000000"/>
                <w:kern w:val="0"/>
                <w:sz w:val="24"/>
                <w:szCs w:val="24"/>
              </w:rPr>
              <w:t>I</w:t>
            </w:r>
          </w:p>
        </w:tc>
        <w:tc>
          <w:tcPr>
            <w:tcW w:w="7" w:type="dxa"/>
            <w:vMerge w:val="restart"/>
            <w:tcBorders>
              <w:top w:val="single" w:color="auto" w:sz="4" w:space="0"/>
              <w:left w:val="single" w:color="auto" w:sz="4" w:space="0"/>
              <w:bottom w:val="single" w:color="auto" w:sz="4" w:space="0"/>
              <w:right w:val="single" w:color="auto" w:sz="4" w:space="0"/>
            </w:tcBorders>
            <w:vAlign w:val="center"/>
          </w:tcPr>
          <w:p>
            <w:pPr>
              <w:spacing w:after="0" w:line="240" w:lineRule="auto"/>
              <w:jc w:val="left"/>
            </w:pPr>
            <w:r>
              <w:rPr>
                <w:rFonts w:ascii="宋体" w:hAnsi="宋体"/>
                <w:color w:val="000000"/>
                <w:kern w:val="0"/>
                <w:sz w:val="25"/>
                <w:szCs w:val="24"/>
              </w:rPr>
              <w:t>信息传输、软件和信息技术服务业</w:t>
            </w:r>
          </w:p>
        </w:tc>
        <w:tc>
          <w:tcPr>
            <w:tcW w:w="7" w:type="dxa"/>
            <w:tcBorders>
              <w:top w:val="single" w:color="auto" w:sz="4" w:space="0"/>
              <w:left w:val="single" w:color="auto" w:sz="4" w:space="0"/>
              <w:bottom w:val="single" w:color="auto" w:sz="4" w:space="0"/>
              <w:right w:val="single" w:color="auto" w:sz="4" w:space="0"/>
            </w:tcBorders>
            <w:vAlign w:val="center"/>
          </w:tcPr>
          <w:p>
            <w:pPr>
              <w:widowControl/>
              <w:snapToGrid w:val="0"/>
              <w:spacing w:after="0" w:line="240" w:lineRule="auto"/>
              <w:jc w:val="right"/>
              <w:rPr>
                <w:rFonts w:ascii="宋体" w:hAnsi="宋体"/>
                <w:color w:val="000000"/>
                <w:kern w:val="0"/>
                <w:sz w:val="24"/>
                <w:szCs w:val="24"/>
              </w:rPr>
            </w:pPr>
            <w:r>
              <w:rPr>
                <w:rFonts w:ascii="宋体" w:hAnsi="宋体"/>
                <w:color w:val="000000"/>
                <w:kern w:val="0"/>
                <w:sz w:val="24"/>
                <w:szCs w:val="24"/>
              </w:rPr>
              <w:t>97,957,265.10</w:t>
            </w:r>
          </w:p>
        </w:tc>
        <w:tc>
          <w:tcPr>
            <w:tcW w:w="7" w:type="dxa"/>
            <w:tcBorders>
              <w:top w:val="single" w:color="auto" w:sz="4" w:space="0"/>
              <w:left w:val="single" w:color="auto" w:sz="4" w:space="0"/>
              <w:bottom w:val="single" w:color="auto" w:sz="4" w:space="0"/>
              <w:right w:val="single" w:color="auto" w:sz="4" w:space="0"/>
            </w:tcBorders>
            <w:vAlign w:val="center"/>
          </w:tcPr>
          <w:p>
            <w:pPr>
              <w:widowControl/>
              <w:snapToGrid w:val="0"/>
              <w:spacing w:after="0" w:line="240" w:lineRule="auto"/>
              <w:jc w:val="right"/>
              <w:rPr>
                <w:rFonts w:ascii="宋体" w:hAnsi="宋体"/>
                <w:color w:val="000000"/>
                <w:kern w:val="0"/>
                <w:sz w:val="24"/>
                <w:szCs w:val="24"/>
              </w:rPr>
            </w:pPr>
            <w:r>
              <w:rPr>
                <w:rFonts w:ascii="宋体" w:hAnsi="宋体"/>
                <w:color w:val="000000"/>
                <w:kern w:val="0"/>
                <w:sz w:val="24"/>
                <w:szCs w:val="24"/>
              </w:rPr>
              <w:t>2.41</w:t>
            </w:r>
          </w:p>
        </w:tc>
      </w:tr>
      <w:tr>
        <w:tblPrEx>
          <w:tblCellMar>
            <w:top w:w="0" w:type="dxa"/>
            <w:left w:w="0" w:type="dxa"/>
            <w:bottom w:w="0" w:type="dxa"/>
            <w:right w:w="0" w:type="dxa"/>
          </w:tblCellMar>
        </w:tblPrEx>
        <w:trPr>
          <w:cantSplit/>
          <w:trHeight w:val="375" w:hRule="atLeast"/>
        </w:trPr>
        <w:tc>
          <w:tcPr>
            <w:tcW w:w="7" w:type="dxa"/>
            <w:tcBorders>
              <w:top w:val="single" w:color="auto" w:sz="4" w:space="0"/>
              <w:left w:val="single" w:color="auto" w:sz="4" w:space="0"/>
              <w:bottom w:val="single" w:color="auto" w:sz="4" w:space="0"/>
              <w:right w:val="single" w:color="auto" w:sz="4" w:space="0"/>
            </w:tcBorders>
            <w:vAlign w:val="center"/>
          </w:tcPr>
          <w:p>
            <w:pPr>
              <w:widowControl/>
              <w:snapToGrid w:val="0"/>
              <w:spacing w:after="0" w:line="240" w:lineRule="auto"/>
              <w:jc w:val="center"/>
              <w:rPr>
                <w:rFonts w:ascii="宋体" w:hAnsi="宋体"/>
                <w:color w:val="000000"/>
                <w:kern w:val="0"/>
                <w:sz w:val="24"/>
                <w:szCs w:val="24"/>
              </w:rPr>
            </w:pPr>
            <w:r>
              <w:rPr>
                <w:rFonts w:ascii="宋体" w:hAnsi="宋体"/>
                <w:color w:val="000000"/>
                <w:kern w:val="0"/>
                <w:sz w:val="24"/>
                <w:szCs w:val="24"/>
              </w:rPr>
              <w:t>J</w:t>
            </w:r>
          </w:p>
        </w:tc>
        <w:tc>
          <w:tcPr>
            <w:tcW w:w="7" w:type="dxa"/>
            <w:vMerge w:val="restart"/>
            <w:tcBorders>
              <w:top w:val="single" w:color="auto" w:sz="4" w:space="0"/>
              <w:left w:val="single" w:color="auto" w:sz="4" w:space="0"/>
              <w:bottom w:val="single" w:color="auto" w:sz="4" w:space="0"/>
              <w:right w:val="single" w:color="auto" w:sz="4" w:space="0"/>
            </w:tcBorders>
            <w:vAlign w:val="center"/>
          </w:tcPr>
          <w:p>
            <w:pPr>
              <w:spacing w:after="0" w:line="240" w:lineRule="auto"/>
              <w:jc w:val="left"/>
            </w:pPr>
            <w:r>
              <w:rPr>
                <w:rFonts w:ascii="宋体" w:hAnsi="宋体"/>
                <w:color w:val="000000"/>
                <w:kern w:val="0"/>
                <w:sz w:val="25"/>
                <w:szCs w:val="24"/>
              </w:rPr>
              <w:t>金融业</w:t>
            </w:r>
          </w:p>
        </w:tc>
        <w:tc>
          <w:tcPr>
            <w:tcW w:w="7" w:type="dxa"/>
            <w:tcBorders>
              <w:top w:val="single" w:color="auto" w:sz="4" w:space="0"/>
              <w:left w:val="single" w:color="auto" w:sz="4" w:space="0"/>
              <w:bottom w:val="single" w:color="auto" w:sz="4" w:space="0"/>
              <w:right w:val="single" w:color="auto" w:sz="4" w:space="0"/>
            </w:tcBorders>
            <w:vAlign w:val="center"/>
          </w:tcPr>
          <w:p>
            <w:pPr>
              <w:widowControl/>
              <w:snapToGrid w:val="0"/>
              <w:spacing w:after="0" w:line="240" w:lineRule="auto"/>
              <w:jc w:val="right"/>
              <w:rPr>
                <w:rFonts w:ascii="宋体" w:hAnsi="宋体"/>
                <w:color w:val="000000"/>
                <w:kern w:val="0"/>
                <w:sz w:val="24"/>
                <w:szCs w:val="24"/>
              </w:rPr>
            </w:pPr>
            <w:r>
              <w:rPr>
                <w:rFonts w:ascii="宋体" w:hAnsi="宋体"/>
                <w:color w:val="000000"/>
                <w:kern w:val="0"/>
                <w:sz w:val="24"/>
                <w:szCs w:val="24"/>
              </w:rPr>
              <w:t>-</w:t>
            </w:r>
          </w:p>
        </w:tc>
        <w:tc>
          <w:tcPr>
            <w:tcW w:w="7" w:type="dxa"/>
            <w:tcBorders>
              <w:top w:val="single" w:color="auto" w:sz="4" w:space="0"/>
              <w:left w:val="single" w:color="auto" w:sz="4" w:space="0"/>
              <w:bottom w:val="single" w:color="auto" w:sz="4" w:space="0"/>
              <w:right w:val="single" w:color="auto" w:sz="4" w:space="0"/>
            </w:tcBorders>
            <w:vAlign w:val="center"/>
          </w:tcPr>
          <w:p>
            <w:pPr>
              <w:widowControl/>
              <w:snapToGrid w:val="0"/>
              <w:spacing w:after="0" w:line="240" w:lineRule="auto"/>
              <w:jc w:val="right"/>
              <w:rPr>
                <w:rFonts w:ascii="宋体" w:hAnsi="宋体"/>
                <w:color w:val="000000"/>
                <w:kern w:val="0"/>
                <w:sz w:val="24"/>
                <w:szCs w:val="24"/>
              </w:rPr>
            </w:pPr>
            <w:r>
              <w:rPr>
                <w:rFonts w:ascii="宋体" w:hAnsi="宋体"/>
                <w:color w:val="000000"/>
                <w:kern w:val="0"/>
                <w:sz w:val="24"/>
                <w:szCs w:val="24"/>
              </w:rPr>
              <w:t>-</w:t>
            </w:r>
          </w:p>
        </w:tc>
      </w:tr>
      <w:tr>
        <w:tblPrEx>
          <w:tblCellMar>
            <w:top w:w="0" w:type="dxa"/>
            <w:left w:w="0" w:type="dxa"/>
            <w:bottom w:w="0" w:type="dxa"/>
            <w:right w:w="0" w:type="dxa"/>
          </w:tblCellMar>
        </w:tblPrEx>
        <w:trPr>
          <w:cantSplit/>
          <w:trHeight w:val="375" w:hRule="atLeast"/>
        </w:trPr>
        <w:tc>
          <w:tcPr>
            <w:tcW w:w="7" w:type="dxa"/>
            <w:tcBorders>
              <w:top w:val="single" w:color="auto" w:sz="4" w:space="0"/>
              <w:left w:val="single" w:color="auto" w:sz="4" w:space="0"/>
              <w:bottom w:val="single" w:color="auto" w:sz="4" w:space="0"/>
              <w:right w:val="single" w:color="auto" w:sz="4" w:space="0"/>
            </w:tcBorders>
            <w:vAlign w:val="center"/>
          </w:tcPr>
          <w:p>
            <w:pPr>
              <w:widowControl/>
              <w:snapToGrid w:val="0"/>
              <w:spacing w:after="0" w:line="240" w:lineRule="auto"/>
              <w:jc w:val="center"/>
              <w:rPr>
                <w:rFonts w:ascii="宋体" w:hAnsi="宋体"/>
                <w:color w:val="000000"/>
                <w:kern w:val="0"/>
                <w:sz w:val="24"/>
                <w:szCs w:val="24"/>
              </w:rPr>
            </w:pPr>
            <w:r>
              <w:rPr>
                <w:rFonts w:ascii="宋体" w:hAnsi="宋体"/>
                <w:color w:val="000000"/>
                <w:kern w:val="0"/>
                <w:sz w:val="24"/>
                <w:szCs w:val="24"/>
              </w:rPr>
              <w:t>K</w:t>
            </w:r>
          </w:p>
        </w:tc>
        <w:tc>
          <w:tcPr>
            <w:tcW w:w="7" w:type="dxa"/>
            <w:vMerge w:val="restart"/>
            <w:tcBorders>
              <w:top w:val="single" w:color="auto" w:sz="4" w:space="0"/>
              <w:left w:val="single" w:color="auto" w:sz="4" w:space="0"/>
              <w:bottom w:val="single" w:color="auto" w:sz="4" w:space="0"/>
              <w:right w:val="single" w:color="auto" w:sz="4" w:space="0"/>
            </w:tcBorders>
            <w:vAlign w:val="center"/>
          </w:tcPr>
          <w:p>
            <w:pPr>
              <w:spacing w:after="0" w:line="240" w:lineRule="auto"/>
              <w:jc w:val="left"/>
            </w:pPr>
            <w:r>
              <w:rPr>
                <w:rFonts w:ascii="宋体" w:hAnsi="宋体"/>
                <w:color w:val="000000"/>
                <w:kern w:val="0"/>
                <w:sz w:val="25"/>
                <w:szCs w:val="24"/>
              </w:rPr>
              <w:t>房地产业</w:t>
            </w:r>
          </w:p>
        </w:tc>
        <w:tc>
          <w:tcPr>
            <w:tcW w:w="7" w:type="dxa"/>
            <w:tcBorders>
              <w:top w:val="single" w:color="auto" w:sz="4" w:space="0"/>
              <w:left w:val="single" w:color="auto" w:sz="4" w:space="0"/>
              <w:bottom w:val="single" w:color="auto" w:sz="4" w:space="0"/>
              <w:right w:val="single" w:color="auto" w:sz="4" w:space="0"/>
            </w:tcBorders>
            <w:vAlign w:val="center"/>
          </w:tcPr>
          <w:p>
            <w:pPr>
              <w:widowControl/>
              <w:snapToGrid w:val="0"/>
              <w:spacing w:after="0" w:line="240" w:lineRule="auto"/>
              <w:jc w:val="right"/>
              <w:rPr>
                <w:rFonts w:ascii="宋体" w:hAnsi="宋体"/>
                <w:color w:val="000000"/>
                <w:kern w:val="0"/>
                <w:sz w:val="24"/>
                <w:szCs w:val="24"/>
              </w:rPr>
            </w:pPr>
            <w:r>
              <w:rPr>
                <w:rFonts w:ascii="宋体" w:hAnsi="宋体"/>
                <w:color w:val="000000"/>
                <w:kern w:val="0"/>
                <w:sz w:val="24"/>
                <w:szCs w:val="24"/>
              </w:rPr>
              <w:t>-</w:t>
            </w:r>
          </w:p>
        </w:tc>
        <w:tc>
          <w:tcPr>
            <w:tcW w:w="7" w:type="dxa"/>
            <w:tcBorders>
              <w:top w:val="single" w:color="auto" w:sz="4" w:space="0"/>
              <w:left w:val="single" w:color="auto" w:sz="4" w:space="0"/>
              <w:bottom w:val="single" w:color="auto" w:sz="4" w:space="0"/>
              <w:right w:val="single" w:color="auto" w:sz="4" w:space="0"/>
            </w:tcBorders>
            <w:vAlign w:val="center"/>
          </w:tcPr>
          <w:p>
            <w:pPr>
              <w:widowControl/>
              <w:snapToGrid w:val="0"/>
              <w:spacing w:after="0" w:line="240" w:lineRule="auto"/>
              <w:jc w:val="right"/>
              <w:rPr>
                <w:rFonts w:ascii="宋体" w:hAnsi="宋体"/>
                <w:color w:val="000000"/>
                <w:kern w:val="0"/>
                <w:sz w:val="24"/>
                <w:szCs w:val="24"/>
              </w:rPr>
            </w:pPr>
            <w:r>
              <w:rPr>
                <w:rFonts w:ascii="宋体" w:hAnsi="宋体"/>
                <w:color w:val="000000"/>
                <w:kern w:val="0"/>
                <w:sz w:val="24"/>
                <w:szCs w:val="24"/>
              </w:rPr>
              <w:t>-</w:t>
            </w:r>
          </w:p>
        </w:tc>
      </w:tr>
      <w:tr>
        <w:tblPrEx>
          <w:tblCellMar>
            <w:top w:w="0" w:type="dxa"/>
            <w:left w:w="0" w:type="dxa"/>
            <w:bottom w:w="0" w:type="dxa"/>
            <w:right w:w="0" w:type="dxa"/>
          </w:tblCellMar>
        </w:tblPrEx>
        <w:trPr>
          <w:cantSplit/>
          <w:trHeight w:val="375" w:hRule="atLeast"/>
        </w:trPr>
        <w:tc>
          <w:tcPr>
            <w:tcW w:w="7" w:type="dxa"/>
            <w:tcBorders>
              <w:top w:val="single" w:color="auto" w:sz="4" w:space="0"/>
              <w:left w:val="single" w:color="auto" w:sz="4" w:space="0"/>
              <w:bottom w:val="single" w:color="auto" w:sz="4" w:space="0"/>
              <w:right w:val="single" w:color="auto" w:sz="4" w:space="0"/>
            </w:tcBorders>
            <w:vAlign w:val="center"/>
          </w:tcPr>
          <w:p>
            <w:pPr>
              <w:widowControl/>
              <w:snapToGrid w:val="0"/>
              <w:spacing w:after="0" w:line="240" w:lineRule="auto"/>
              <w:jc w:val="center"/>
              <w:rPr>
                <w:rFonts w:ascii="宋体" w:hAnsi="宋体"/>
                <w:color w:val="000000"/>
                <w:kern w:val="0"/>
                <w:sz w:val="24"/>
                <w:szCs w:val="24"/>
              </w:rPr>
            </w:pPr>
            <w:r>
              <w:rPr>
                <w:rFonts w:ascii="宋体" w:hAnsi="宋体"/>
                <w:color w:val="000000"/>
                <w:kern w:val="0"/>
                <w:sz w:val="24"/>
                <w:szCs w:val="24"/>
              </w:rPr>
              <w:t>L</w:t>
            </w:r>
          </w:p>
        </w:tc>
        <w:tc>
          <w:tcPr>
            <w:tcW w:w="7" w:type="dxa"/>
            <w:vMerge w:val="restart"/>
            <w:tcBorders>
              <w:top w:val="single" w:color="auto" w:sz="4" w:space="0"/>
              <w:left w:val="single" w:color="auto" w:sz="4" w:space="0"/>
              <w:bottom w:val="single" w:color="auto" w:sz="4" w:space="0"/>
              <w:right w:val="single" w:color="auto" w:sz="4" w:space="0"/>
            </w:tcBorders>
            <w:vAlign w:val="center"/>
          </w:tcPr>
          <w:p>
            <w:pPr>
              <w:spacing w:after="0" w:line="240" w:lineRule="auto"/>
              <w:jc w:val="left"/>
            </w:pPr>
            <w:r>
              <w:rPr>
                <w:rFonts w:ascii="宋体" w:hAnsi="宋体"/>
                <w:color w:val="000000"/>
                <w:kern w:val="0"/>
                <w:sz w:val="25"/>
                <w:szCs w:val="24"/>
              </w:rPr>
              <w:t>租赁和商务服务业</w:t>
            </w:r>
          </w:p>
        </w:tc>
        <w:tc>
          <w:tcPr>
            <w:tcW w:w="7" w:type="dxa"/>
            <w:tcBorders>
              <w:top w:val="single" w:color="auto" w:sz="4" w:space="0"/>
              <w:left w:val="single" w:color="auto" w:sz="4" w:space="0"/>
              <w:bottom w:val="single" w:color="auto" w:sz="4" w:space="0"/>
              <w:right w:val="single" w:color="auto" w:sz="4" w:space="0"/>
            </w:tcBorders>
            <w:vAlign w:val="center"/>
          </w:tcPr>
          <w:p>
            <w:pPr>
              <w:widowControl/>
              <w:snapToGrid w:val="0"/>
              <w:spacing w:after="0" w:line="240" w:lineRule="auto"/>
              <w:jc w:val="right"/>
              <w:rPr>
                <w:rFonts w:ascii="宋体" w:hAnsi="宋体"/>
                <w:color w:val="000000"/>
                <w:kern w:val="0"/>
                <w:sz w:val="24"/>
                <w:szCs w:val="24"/>
              </w:rPr>
            </w:pPr>
            <w:r>
              <w:rPr>
                <w:rFonts w:ascii="宋体" w:hAnsi="宋体"/>
                <w:color w:val="000000"/>
                <w:kern w:val="0"/>
                <w:sz w:val="24"/>
                <w:szCs w:val="24"/>
              </w:rPr>
              <w:t>-</w:t>
            </w:r>
          </w:p>
        </w:tc>
        <w:tc>
          <w:tcPr>
            <w:tcW w:w="7" w:type="dxa"/>
            <w:tcBorders>
              <w:top w:val="single" w:color="auto" w:sz="4" w:space="0"/>
              <w:left w:val="single" w:color="auto" w:sz="4" w:space="0"/>
              <w:bottom w:val="single" w:color="auto" w:sz="4" w:space="0"/>
              <w:right w:val="single" w:color="auto" w:sz="4" w:space="0"/>
            </w:tcBorders>
            <w:vAlign w:val="center"/>
          </w:tcPr>
          <w:p>
            <w:pPr>
              <w:widowControl/>
              <w:snapToGrid w:val="0"/>
              <w:spacing w:after="0" w:line="240" w:lineRule="auto"/>
              <w:jc w:val="right"/>
              <w:rPr>
                <w:rFonts w:ascii="宋体" w:hAnsi="宋体"/>
                <w:color w:val="000000"/>
                <w:kern w:val="0"/>
                <w:sz w:val="24"/>
                <w:szCs w:val="24"/>
              </w:rPr>
            </w:pPr>
            <w:r>
              <w:rPr>
                <w:rFonts w:ascii="宋体" w:hAnsi="宋体"/>
                <w:color w:val="000000"/>
                <w:kern w:val="0"/>
                <w:sz w:val="24"/>
                <w:szCs w:val="24"/>
              </w:rPr>
              <w:t>-</w:t>
            </w:r>
          </w:p>
        </w:tc>
      </w:tr>
      <w:tr>
        <w:tblPrEx>
          <w:tblCellMar>
            <w:top w:w="0" w:type="dxa"/>
            <w:left w:w="0" w:type="dxa"/>
            <w:bottom w:w="0" w:type="dxa"/>
            <w:right w:w="0" w:type="dxa"/>
          </w:tblCellMar>
        </w:tblPrEx>
        <w:trPr>
          <w:cantSplit/>
          <w:trHeight w:val="375" w:hRule="atLeast"/>
        </w:trPr>
        <w:tc>
          <w:tcPr>
            <w:tcW w:w="7" w:type="dxa"/>
            <w:tcBorders>
              <w:top w:val="single" w:color="auto" w:sz="4" w:space="0"/>
              <w:left w:val="single" w:color="auto" w:sz="4" w:space="0"/>
              <w:bottom w:val="single" w:color="auto" w:sz="4" w:space="0"/>
              <w:right w:val="single" w:color="auto" w:sz="4" w:space="0"/>
            </w:tcBorders>
            <w:vAlign w:val="center"/>
          </w:tcPr>
          <w:p>
            <w:pPr>
              <w:widowControl/>
              <w:snapToGrid w:val="0"/>
              <w:spacing w:after="0" w:line="240" w:lineRule="auto"/>
              <w:jc w:val="center"/>
              <w:rPr>
                <w:rFonts w:ascii="宋体" w:hAnsi="宋体"/>
                <w:color w:val="000000"/>
                <w:kern w:val="0"/>
                <w:sz w:val="24"/>
                <w:szCs w:val="24"/>
              </w:rPr>
            </w:pPr>
            <w:r>
              <w:rPr>
                <w:rFonts w:ascii="宋体" w:hAnsi="宋体"/>
                <w:color w:val="000000"/>
                <w:kern w:val="0"/>
                <w:sz w:val="24"/>
                <w:szCs w:val="24"/>
              </w:rPr>
              <w:t>M</w:t>
            </w:r>
          </w:p>
        </w:tc>
        <w:tc>
          <w:tcPr>
            <w:tcW w:w="7" w:type="dxa"/>
            <w:vMerge w:val="restart"/>
            <w:tcBorders>
              <w:top w:val="single" w:color="auto" w:sz="4" w:space="0"/>
              <w:left w:val="single" w:color="auto" w:sz="4" w:space="0"/>
              <w:bottom w:val="single" w:color="auto" w:sz="4" w:space="0"/>
              <w:right w:val="single" w:color="auto" w:sz="4" w:space="0"/>
            </w:tcBorders>
            <w:vAlign w:val="center"/>
          </w:tcPr>
          <w:p>
            <w:pPr>
              <w:spacing w:after="0" w:line="240" w:lineRule="auto"/>
              <w:jc w:val="left"/>
            </w:pPr>
            <w:r>
              <w:rPr>
                <w:rFonts w:ascii="宋体" w:hAnsi="宋体"/>
                <w:color w:val="000000"/>
                <w:kern w:val="0"/>
                <w:sz w:val="25"/>
                <w:szCs w:val="24"/>
              </w:rPr>
              <w:t>科学研究和技术服务业</w:t>
            </w:r>
          </w:p>
        </w:tc>
        <w:tc>
          <w:tcPr>
            <w:tcW w:w="7" w:type="dxa"/>
            <w:tcBorders>
              <w:top w:val="single" w:color="auto" w:sz="4" w:space="0"/>
              <w:left w:val="single" w:color="auto" w:sz="4" w:space="0"/>
              <w:bottom w:val="single" w:color="auto" w:sz="4" w:space="0"/>
              <w:right w:val="single" w:color="auto" w:sz="4" w:space="0"/>
            </w:tcBorders>
            <w:vAlign w:val="center"/>
          </w:tcPr>
          <w:p>
            <w:pPr>
              <w:widowControl/>
              <w:snapToGrid w:val="0"/>
              <w:spacing w:after="0" w:line="240" w:lineRule="auto"/>
              <w:jc w:val="right"/>
              <w:rPr>
                <w:rFonts w:ascii="宋体" w:hAnsi="宋体"/>
                <w:color w:val="000000"/>
                <w:kern w:val="0"/>
                <w:sz w:val="24"/>
                <w:szCs w:val="24"/>
              </w:rPr>
            </w:pPr>
            <w:r>
              <w:rPr>
                <w:rFonts w:ascii="宋体" w:hAnsi="宋体"/>
                <w:color w:val="000000"/>
                <w:kern w:val="0"/>
                <w:sz w:val="24"/>
                <w:szCs w:val="24"/>
              </w:rPr>
              <w:t>54,796.08</w:t>
            </w:r>
          </w:p>
        </w:tc>
        <w:tc>
          <w:tcPr>
            <w:tcW w:w="7" w:type="dxa"/>
            <w:tcBorders>
              <w:top w:val="single" w:color="auto" w:sz="4" w:space="0"/>
              <w:left w:val="single" w:color="auto" w:sz="4" w:space="0"/>
              <w:bottom w:val="single" w:color="auto" w:sz="4" w:space="0"/>
              <w:right w:val="single" w:color="auto" w:sz="4" w:space="0"/>
            </w:tcBorders>
            <w:vAlign w:val="center"/>
          </w:tcPr>
          <w:p>
            <w:pPr>
              <w:widowControl/>
              <w:snapToGrid w:val="0"/>
              <w:spacing w:after="0" w:line="240" w:lineRule="auto"/>
              <w:jc w:val="right"/>
              <w:rPr>
                <w:rFonts w:ascii="宋体" w:hAnsi="宋体"/>
                <w:color w:val="000000"/>
                <w:kern w:val="0"/>
                <w:sz w:val="24"/>
                <w:szCs w:val="24"/>
              </w:rPr>
            </w:pPr>
            <w:r>
              <w:rPr>
                <w:rFonts w:ascii="宋体" w:hAnsi="宋体"/>
                <w:color w:val="000000"/>
                <w:kern w:val="0"/>
                <w:sz w:val="24"/>
                <w:szCs w:val="24"/>
              </w:rPr>
              <w:t>0.00</w:t>
            </w:r>
          </w:p>
        </w:tc>
      </w:tr>
      <w:tr>
        <w:tblPrEx>
          <w:tblCellMar>
            <w:top w:w="0" w:type="dxa"/>
            <w:left w:w="0" w:type="dxa"/>
            <w:bottom w:w="0" w:type="dxa"/>
            <w:right w:w="0" w:type="dxa"/>
          </w:tblCellMar>
        </w:tblPrEx>
        <w:trPr>
          <w:cantSplit/>
          <w:trHeight w:val="375" w:hRule="atLeast"/>
        </w:trPr>
        <w:tc>
          <w:tcPr>
            <w:tcW w:w="7" w:type="dxa"/>
            <w:tcBorders>
              <w:top w:val="single" w:color="auto" w:sz="4" w:space="0"/>
              <w:left w:val="single" w:color="auto" w:sz="4" w:space="0"/>
              <w:bottom w:val="single" w:color="auto" w:sz="4" w:space="0"/>
              <w:right w:val="single" w:color="auto" w:sz="4" w:space="0"/>
            </w:tcBorders>
            <w:vAlign w:val="center"/>
          </w:tcPr>
          <w:p>
            <w:pPr>
              <w:widowControl/>
              <w:snapToGrid w:val="0"/>
              <w:spacing w:after="0" w:line="240" w:lineRule="auto"/>
              <w:jc w:val="center"/>
              <w:rPr>
                <w:rFonts w:ascii="宋体" w:hAnsi="宋体"/>
                <w:color w:val="000000"/>
                <w:kern w:val="0"/>
                <w:sz w:val="24"/>
                <w:szCs w:val="24"/>
              </w:rPr>
            </w:pPr>
            <w:r>
              <w:rPr>
                <w:rFonts w:ascii="宋体" w:hAnsi="宋体"/>
                <w:color w:val="000000"/>
                <w:kern w:val="0"/>
                <w:sz w:val="24"/>
                <w:szCs w:val="24"/>
              </w:rPr>
              <w:t>N</w:t>
            </w:r>
          </w:p>
        </w:tc>
        <w:tc>
          <w:tcPr>
            <w:tcW w:w="7" w:type="dxa"/>
            <w:vMerge w:val="restart"/>
            <w:tcBorders>
              <w:top w:val="single" w:color="auto" w:sz="4" w:space="0"/>
              <w:left w:val="single" w:color="auto" w:sz="4" w:space="0"/>
              <w:bottom w:val="single" w:color="auto" w:sz="4" w:space="0"/>
              <w:right w:val="single" w:color="auto" w:sz="4" w:space="0"/>
            </w:tcBorders>
            <w:vAlign w:val="center"/>
          </w:tcPr>
          <w:p>
            <w:pPr>
              <w:spacing w:after="0" w:line="240" w:lineRule="auto"/>
              <w:jc w:val="left"/>
            </w:pPr>
            <w:r>
              <w:rPr>
                <w:rFonts w:ascii="宋体" w:hAnsi="宋体"/>
                <w:color w:val="000000"/>
                <w:kern w:val="0"/>
                <w:sz w:val="25"/>
                <w:szCs w:val="24"/>
              </w:rPr>
              <w:t>水利、环境和公共设施管理业</w:t>
            </w:r>
          </w:p>
        </w:tc>
        <w:tc>
          <w:tcPr>
            <w:tcW w:w="7" w:type="dxa"/>
            <w:tcBorders>
              <w:top w:val="single" w:color="auto" w:sz="4" w:space="0"/>
              <w:left w:val="single" w:color="auto" w:sz="4" w:space="0"/>
              <w:bottom w:val="single" w:color="auto" w:sz="4" w:space="0"/>
              <w:right w:val="single" w:color="auto" w:sz="4" w:space="0"/>
            </w:tcBorders>
            <w:vAlign w:val="center"/>
          </w:tcPr>
          <w:p>
            <w:pPr>
              <w:widowControl/>
              <w:snapToGrid w:val="0"/>
              <w:spacing w:after="0" w:line="240" w:lineRule="auto"/>
              <w:jc w:val="right"/>
              <w:rPr>
                <w:rFonts w:ascii="宋体" w:hAnsi="宋体"/>
                <w:color w:val="000000"/>
                <w:kern w:val="0"/>
                <w:sz w:val="24"/>
                <w:szCs w:val="24"/>
              </w:rPr>
            </w:pPr>
            <w:r>
              <w:rPr>
                <w:rFonts w:ascii="宋体" w:hAnsi="宋体"/>
                <w:color w:val="000000"/>
                <w:kern w:val="0"/>
                <w:sz w:val="24"/>
                <w:szCs w:val="24"/>
              </w:rPr>
              <w:t>-</w:t>
            </w:r>
          </w:p>
        </w:tc>
        <w:tc>
          <w:tcPr>
            <w:tcW w:w="7" w:type="dxa"/>
            <w:tcBorders>
              <w:top w:val="single" w:color="auto" w:sz="4" w:space="0"/>
              <w:left w:val="single" w:color="auto" w:sz="4" w:space="0"/>
              <w:bottom w:val="single" w:color="auto" w:sz="4" w:space="0"/>
              <w:right w:val="single" w:color="auto" w:sz="4" w:space="0"/>
            </w:tcBorders>
            <w:vAlign w:val="center"/>
          </w:tcPr>
          <w:p>
            <w:pPr>
              <w:widowControl/>
              <w:snapToGrid w:val="0"/>
              <w:spacing w:after="0" w:line="240" w:lineRule="auto"/>
              <w:jc w:val="right"/>
              <w:rPr>
                <w:rFonts w:ascii="宋体" w:hAnsi="宋体"/>
                <w:color w:val="000000"/>
                <w:kern w:val="0"/>
                <w:sz w:val="24"/>
                <w:szCs w:val="24"/>
              </w:rPr>
            </w:pPr>
            <w:r>
              <w:rPr>
                <w:rFonts w:ascii="宋体" w:hAnsi="宋体"/>
                <w:color w:val="000000"/>
                <w:kern w:val="0"/>
                <w:sz w:val="24"/>
                <w:szCs w:val="24"/>
              </w:rPr>
              <w:t>-</w:t>
            </w:r>
          </w:p>
        </w:tc>
      </w:tr>
      <w:tr>
        <w:tblPrEx>
          <w:tblCellMar>
            <w:top w:w="0" w:type="dxa"/>
            <w:left w:w="0" w:type="dxa"/>
            <w:bottom w:w="0" w:type="dxa"/>
            <w:right w:w="0" w:type="dxa"/>
          </w:tblCellMar>
        </w:tblPrEx>
        <w:trPr>
          <w:cantSplit/>
          <w:trHeight w:val="375" w:hRule="atLeast"/>
        </w:trPr>
        <w:tc>
          <w:tcPr>
            <w:tcW w:w="7" w:type="dxa"/>
            <w:tcBorders>
              <w:top w:val="single" w:color="auto" w:sz="4" w:space="0"/>
              <w:left w:val="single" w:color="auto" w:sz="4" w:space="0"/>
              <w:bottom w:val="single" w:color="auto" w:sz="4" w:space="0"/>
              <w:right w:val="single" w:color="auto" w:sz="4" w:space="0"/>
            </w:tcBorders>
            <w:vAlign w:val="center"/>
          </w:tcPr>
          <w:p>
            <w:pPr>
              <w:widowControl/>
              <w:snapToGrid w:val="0"/>
              <w:spacing w:after="0" w:line="240" w:lineRule="auto"/>
              <w:jc w:val="center"/>
              <w:rPr>
                <w:rFonts w:ascii="宋体" w:hAnsi="宋体"/>
                <w:color w:val="000000"/>
                <w:kern w:val="0"/>
                <w:sz w:val="24"/>
                <w:szCs w:val="24"/>
              </w:rPr>
            </w:pPr>
            <w:r>
              <w:rPr>
                <w:rFonts w:ascii="宋体" w:hAnsi="宋体"/>
                <w:color w:val="000000"/>
                <w:kern w:val="0"/>
                <w:sz w:val="24"/>
                <w:szCs w:val="24"/>
              </w:rPr>
              <w:t>O</w:t>
            </w:r>
          </w:p>
        </w:tc>
        <w:tc>
          <w:tcPr>
            <w:tcW w:w="7" w:type="dxa"/>
            <w:vMerge w:val="restart"/>
            <w:tcBorders>
              <w:top w:val="single" w:color="auto" w:sz="4" w:space="0"/>
              <w:left w:val="single" w:color="auto" w:sz="4" w:space="0"/>
              <w:bottom w:val="single" w:color="auto" w:sz="4" w:space="0"/>
              <w:right w:val="single" w:color="auto" w:sz="4" w:space="0"/>
            </w:tcBorders>
            <w:vAlign w:val="center"/>
          </w:tcPr>
          <w:p>
            <w:pPr>
              <w:spacing w:after="0" w:line="240" w:lineRule="auto"/>
              <w:jc w:val="left"/>
            </w:pPr>
            <w:r>
              <w:rPr>
                <w:rFonts w:ascii="宋体" w:hAnsi="宋体"/>
                <w:color w:val="000000"/>
                <w:kern w:val="0"/>
                <w:sz w:val="25"/>
                <w:szCs w:val="24"/>
              </w:rPr>
              <w:t>居民服务、修理和其他服务业</w:t>
            </w:r>
          </w:p>
        </w:tc>
        <w:tc>
          <w:tcPr>
            <w:tcW w:w="7" w:type="dxa"/>
            <w:tcBorders>
              <w:top w:val="single" w:color="auto" w:sz="4" w:space="0"/>
              <w:left w:val="single" w:color="auto" w:sz="4" w:space="0"/>
              <w:bottom w:val="single" w:color="auto" w:sz="4" w:space="0"/>
              <w:right w:val="single" w:color="auto" w:sz="4" w:space="0"/>
            </w:tcBorders>
            <w:vAlign w:val="center"/>
          </w:tcPr>
          <w:p>
            <w:pPr>
              <w:widowControl/>
              <w:snapToGrid w:val="0"/>
              <w:spacing w:after="0" w:line="240" w:lineRule="auto"/>
              <w:jc w:val="right"/>
              <w:rPr>
                <w:rFonts w:ascii="宋体" w:hAnsi="宋体"/>
                <w:color w:val="000000"/>
                <w:kern w:val="0"/>
                <w:sz w:val="24"/>
                <w:szCs w:val="24"/>
              </w:rPr>
            </w:pPr>
            <w:r>
              <w:rPr>
                <w:rFonts w:ascii="宋体" w:hAnsi="宋体"/>
                <w:color w:val="000000"/>
                <w:kern w:val="0"/>
                <w:sz w:val="24"/>
                <w:szCs w:val="24"/>
              </w:rPr>
              <w:t>-</w:t>
            </w:r>
          </w:p>
        </w:tc>
        <w:tc>
          <w:tcPr>
            <w:tcW w:w="7" w:type="dxa"/>
            <w:tcBorders>
              <w:top w:val="single" w:color="auto" w:sz="4" w:space="0"/>
              <w:left w:val="single" w:color="auto" w:sz="4" w:space="0"/>
              <w:bottom w:val="single" w:color="auto" w:sz="4" w:space="0"/>
              <w:right w:val="single" w:color="auto" w:sz="4" w:space="0"/>
            </w:tcBorders>
            <w:vAlign w:val="center"/>
          </w:tcPr>
          <w:p>
            <w:pPr>
              <w:widowControl/>
              <w:snapToGrid w:val="0"/>
              <w:spacing w:after="0" w:line="240" w:lineRule="auto"/>
              <w:jc w:val="right"/>
              <w:rPr>
                <w:rFonts w:ascii="宋体" w:hAnsi="宋体"/>
                <w:color w:val="000000"/>
                <w:kern w:val="0"/>
                <w:sz w:val="24"/>
                <w:szCs w:val="24"/>
              </w:rPr>
            </w:pPr>
            <w:r>
              <w:rPr>
                <w:rFonts w:ascii="宋体" w:hAnsi="宋体"/>
                <w:color w:val="000000"/>
                <w:kern w:val="0"/>
                <w:sz w:val="24"/>
                <w:szCs w:val="24"/>
              </w:rPr>
              <w:t>-</w:t>
            </w:r>
          </w:p>
        </w:tc>
      </w:tr>
      <w:tr>
        <w:tblPrEx>
          <w:tblCellMar>
            <w:top w:w="0" w:type="dxa"/>
            <w:left w:w="0" w:type="dxa"/>
            <w:bottom w:w="0" w:type="dxa"/>
            <w:right w:w="0" w:type="dxa"/>
          </w:tblCellMar>
        </w:tblPrEx>
        <w:trPr>
          <w:cantSplit/>
          <w:trHeight w:val="375" w:hRule="atLeast"/>
        </w:trPr>
        <w:tc>
          <w:tcPr>
            <w:tcW w:w="7" w:type="dxa"/>
            <w:tcBorders>
              <w:top w:val="single" w:color="auto" w:sz="4" w:space="0"/>
              <w:left w:val="single" w:color="auto" w:sz="4" w:space="0"/>
              <w:bottom w:val="single" w:color="auto" w:sz="4" w:space="0"/>
              <w:right w:val="single" w:color="auto" w:sz="4" w:space="0"/>
            </w:tcBorders>
            <w:vAlign w:val="center"/>
          </w:tcPr>
          <w:p>
            <w:pPr>
              <w:widowControl/>
              <w:snapToGrid w:val="0"/>
              <w:spacing w:after="0" w:line="240" w:lineRule="auto"/>
              <w:jc w:val="center"/>
              <w:rPr>
                <w:rFonts w:ascii="宋体" w:hAnsi="宋体"/>
                <w:color w:val="000000"/>
                <w:kern w:val="0"/>
                <w:sz w:val="24"/>
                <w:szCs w:val="24"/>
              </w:rPr>
            </w:pPr>
            <w:r>
              <w:rPr>
                <w:rFonts w:ascii="宋体" w:hAnsi="宋体"/>
                <w:color w:val="000000"/>
                <w:kern w:val="0"/>
                <w:sz w:val="24"/>
                <w:szCs w:val="24"/>
              </w:rPr>
              <w:t>P</w:t>
            </w:r>
          </w:p>
        </w:tc>
        <w:tc>
          <w:tcPr>
            <w:tcW w:w="7" w:type="dxa"/>
            <w:tcBorders>
              <w:top w:val="single" w:color="auto" w:sz="4" w:space="0"/>
              <w:left w:val="single" w:color="auto" w:sz="4" w:space="0"/>
              <w:bottom w:val="single" w:color="auto" w:sz="4" w:space="0"/>
              <w:right w:val="single" w:color="auto" w:sz="4" w:space="0"/>
            </w:tcBorders>
            <w:vAlign w:val="center"/>
          </w:tcPr>
          <w:p>
            <w:pPr>
              <w:spacing w:after="0" w:line="240" w:lineRule="auto"/>
              <w:jc w:val="left"/>
            </w:pPr>
            <w:r>
              <w:rPr>
                <w:rFonts w:ascii="宋体" w:hAnsi="宋体"/>
                <w:color w:val="000000"/>
                <w:kern w:val="0"/>
                <w:sz w:val="25"/>
                <w:szCs w:val="24"/>
              </w:rPr>
              <w:t>教育</w:t>
            </w:r>
          </w:p>
        </w:tc>
        <w:tc>
          <w:tcPr>
            <w:tcW w:w="7" w:type="dxa"/>
            <w:tcBorders>
              <w:top w:val="single" w:color="auto" w:sz="4" w:space="0"/>
              <w:left w:val="single" w:color="auto" w:sz="4" w:space="0"/>
              <w:bottom w:val="single" w:color="auto" w:sz="4" w:space="0"/>
              <w:right w:val="single" w:color="auto" w:sz="4" w:space="0"/>
            </w:tcBorders>
            <w:vAlign w:val="center"/>
          </w:tcPr>
          <w:p>
            <w:pPr>
              <w:widowControl/>
              <w:snapToGrid w:val="0"/>
              <w:spacing w:after="0" w:line="240" w:lineRule="auto"/>
              <w:jc w:val="right"/>
              <w:rPr>
                <w:rFonts w:ascii="宋体" w:hAnsi="宋体"/>
                <w:color w:val="000000"/>
                <w:kern w:val="0"/>
                <w:sz w:val="24"/>
                <w:szCs w:val="24"/>
              </w:rPr>
            </w:pPr>
            <w:r>
              <w:rPr>
                <w:rFonts w:ascii="宋体" w:hAnsi="宋体"/>
                <w:color w:val="000000"/>
                <w:kern w:val="0"/>
                <w:sz w:val="24"/>
                <w:szCs w:val="24"/>
              </w:rPr>
              <w:t>-</w:t>
            </w:r>
          </w:p>
        </w:tc>
        <w:tc>
          <w:tcPr>
            <w:tcW w:w="7" w:type="dxa"/>
            <w:tcBorders>
              <w:top w:val="single" w:color="auto" w:sz="4" w:space="0"/>
              <w:left w:val="single" w:color="auto" w:sz="4" w:space="0"/>
              <w:bottom w:val="single" w:color="auto" w:sz="4" w:space="0"/>
              <w:right w:val="single" w:color="auto" w:sz="4" w:space="0"/>
            </w:tcBorders>
            <w:vAlign w:val="center"/>
          </w:tcPr>
          <w:p>
            <w:pPr>
              <w:widowControl/>
              <w:snapToGrid w:val="0"/>
              <w:spacing w:after="0" w:line="240" w:lineRule="auto"/>
              <w:jc w:val="right"/>
              <w:rPr>
                <w:rFonts w:ascii="宋体" w:hAnsi="宋体"/>
                <w:color w:val="000000"/>
                <w:kern w:val="0"/>
                <w:sz w:val="24"/>
                <w:szCs w:val="24"/>
              </w:rPr>
            </w:pPr>
            <w:r>
              <w:rPr>
                <w:rFonts w:ascii="宋体" w:hAnsi="宋体"/>
                <w:color w:val="000000"/>
                <w:kern w:val="0"/>
                <w:sz w:val="24"/>
                <w:szCs w:val="24"/>
              </w:rPr>
              <w:t>-</w:t>
            </w:r>
          </w:p>
        </w:tc>
      </w:tr>
      <w:tr>
        <w:tblPrEx>
          <w:tblCellMar>
            <w:top w:w="0" w:type="dxa"/>
            <w:left w:w="0" w:type="dxa"/>
            <w:bottom w:w="0" w:type="dxa"/>
            <w:right w:w="0" w:type="dxa"/>
          </w:tblCellMar>
        </w:tblPrEx>
        <w:trPr>
          <w:cantSplit/>
          <w:trHeight w:val="375" w:hRule="atLeast"/>
        </w:trPr>
        <w:tc>
          <w:tcPr>
            <w:tcW w:w="7" w:type="dxa"/>
            <w:tcBorders>
              <w:top w:val="single" w:color="auto" w:sz="4" w:space="0"/>
              <w:left w:val="single" w:color="auto" w:sz="4" w:space="0"/>
              <w:bottom w:val="single" w:color="auto" w:sz="4" w:space="0"/>
              <w:right w:val="single" w:color="auto" w:sz="4" w:space="0"/>
            </w:tcBorders>
            <w:vAlign w:val="center"/>
          </w:tcPr>
          <w:p>
            <w:pPr>
              <w:widowControl/>
              <w:snapToGrid w:val="0"/>
              <w:spacing w:after="0" w:line="240" w:lineRule="auto"/>
              <w:jc w:val="center"/>
              <w:rPr>
                <w:rFonts w:ascii="宋体" w:hAnsi="宋体"/>
                <w:color w:val="000000"/>
                <w:kern w:val="0"/>
                <w:sz w:val="24"/>
                <w:szCs w:val="24"/>
              </w:rPr>
            </w:pPr>
            <w:r>
              <w:rPr>
                <w:rFonts w:ascii="宋体" w:hAnsi="宋体"/>
                <w:color w:val="000000"/>
                <w:kern w:val="0"/>
                <w:sz w:val="24"/>
                <w:szCs w:val="24"/>
              </w:rPr>
              <w:t>Q</w:t>
            </w:r>
          </w:p>
        </w:tc>
        <w:tc>
          <w:tcPr>
            <w:tcW w:w="7" w:type="dxa"/>
            <w:tcBorders>
              <w:top w:val="single" w:color="auto" w:sz="4" w:space="0"/>
              <w:left w:val="single" w:color="auto" w:sz="4" w:space="0"/>
              <w:bottom w:val="single" w:color="auto" w:sz="4" w:space="0"/>
              <w:right w:val="single" w:color="auto" w:sz="4" w:space="0"/>
            </w:tcBorders>
            <w:vAlign w:val="center"/>
          </w:tcPr>
          <w:p>
            <w:pPr>
              <w:spacing w:after="0" w:line="240" w:lineRule="auto"/>
              <w:jc w:val="left"/>
            </w:pPr>
            <w:r>
              <w:rPr>
                <w:rFonts w:ascii="宋体" w:hAnsi="宋体"/>
                <w:color w:val="000000"/>
                <w:kern w:val="0"/>
                <w:sz w:val="25"/>
                <w:szCs w:val="24"/>
              </w:rPr>
              <w:t>卫生和社会工作</w:t>
            </w:r>
          </w:p>
        </w:tc>
        <w:tc>
          <w:tcPr>
            <w:tcW w:w="7" w:type="dxa"/>
            <w:tcBorders>
              <w:top w:val="single" w:color="auto" w:sz="4" w:space="0"/>
              <w:left w:val="single" w:color="auto" w:sz="4" w:space="0"/>
              <w:bottom w:val="single" w:color="auto" w:sz="4" w:space="0"/>
              <w:right w:val="single" w:color="auto" w:sz="4" w:space="0"/>
            </w:tcBorders>
            <w:vAlign w:val="center"/>
          </w:tcPr>
          <w:p>
            <w:pPr>
              <w:widowControl/>
              <w:snapToGrid w:val="0"/>
              <w:spacing w:after="0" w:line="240" w:lineRule="auto"/>
              <w:jc w:val="right"/>
              <w:rPr>
                <w:rFonts w:ascii="宋体" w:hAnsi="宋体"/>
                <w:color w:val="000000"/>
                <w:kern w:val="0"/>
                <w:sz w:val="24"/>
                <w:szCs w:val="24"/>
              </w:rPr>
            </w:pPr>
            <w:r>
              <w:rPr>
                <w:rFonts w:ascii="宋体" w:hAnsi="宋体"/>
                <w:color w:val="000000"/>
                <w:kern w:val="0"/>
                <w:sz w:val="24"/>
                <w:szCs w:val="24"/>
              </w:rPr>
              <w:t>-</w:t>
            </w:r>
          </w:p>
        </w:tc>
        <w:tc>
          <w:tcPr>
            <w:tcW w:w="7" w:type="dxa"/>
            <w:tcBorders>
              <w:top w:val="single" w:color="auto" w:sz="4" w:space="0"/>
              <w:left w:val="single" w:color="auto" w:sz="4" w:space="0"/>
              <w:bottom w:val="single" w:color="auto" w:sz="4" w:space="0"/>
              <w:right w:val="single" w:color="auto" w:sz="4" w:space="0"/>
            </w:tcBorders>
            <w:vAlign w:val="center"/>
          </w:tcPr>
          <w:p>
            <w:pPr>
              <w:widowControl/>
              <w:snapToGrid w:val="0"/>
              <w:spacing w:after="0" w:line="240" w:lineRule="auto"/>
              <w:jc w:val="right"/>
              <w:rPr>
                <w:rFonts w:ascii="宋体" w:hAnsi="宋体"/>
                <w:color w:val="000000"/>
                <w:kern w:val="0"/>
                <w:sz w:val="24"/>
                <w:szCs w:val="24"/>
              </w:rPr>
            </w:pPr>
            <w:r>
              <w:rPr>
                <w:rFonts w:ascii="宋体" w:hAnsi="宋体"/>
                <w:color w:val="000000"/>
                <w:kern w:val="0"/>
                <w:sz w:val="24"/>
                <w:szCs w:val="24"/>
              </w:rPr>
              <w:t>-</w:t>
            </w:r>
          </w:p>
        </w:tc>
      </w:tr>
      <w:tr>
        <w:tblPrEx>
          <w:tblCellMar>
            <w:top w:w="0" w:type="dxa"/>
            <w:left w:w="0" w:type="dxa"/>
            <w:bottom w:w="0" w:type="dxa"/>
            <w:right w:w="0" w:type="dxa"/>
          </w:tblCellMar>
        </w:tblPrEx>
        <w:trPr>
          <w:cantSplit/>
          <w:trHeight w:val="375" w:hRule="atLeast"/>
        </w:trPr>
        <w:tc>
          <w:tcPr>
            <w:tcW w:w="7" w:type="dxa"/>
            <w:tcBorders>
              <w:top w:val="single" w:color="auto" w:sz="4" w:space="0"/>
              <w:left w:val="single" w:color="auto" w:sz="4" w:space="0"/>
              <w:bottom w:val="single" w:color="auto" w:sz="4" w:space="0"/>
              <w:right w:val="single" w:color="auto" w:sz="4" w:space="0"/>
            </w:tcBorders>
            <w:vAlign w:val="center"/>
          </w:tcPr>
          <w:p>
            <w:pPr>
              <w:widowControl/>
              <w:snapToGrid w:val="0"/>
              <w:spacing w:after="0" w:line="240" w:lineRule="auto"/>
              <w:jc w:val="center"/>
              <w:rPr>
                <w:rFonts w:ascii="宋体" w:hAnsi="宋体"/>
                <w:color w:val="000000"/>
                <w:kern w:val="0"/>
                <w:sz w:val="24"/>
                <w:szCs w:val="24"/>
              </w:rPr>
            </w:pPr>
            <w:r>
              <w:rPr>
                <w:rFonts w:ascii="宋体" w:hAnsi="宋体"/>
                <w:color w:val="000000"/>
                <w:kern w:val="0"/>
                <w:sz w:val="24"/>
                <w:szCs w:val="24"/>
              </w:rPr>
              <w:t>R</w:t>
            </w:r>
          </w:p>
        </w:tc>
        <w:tc>
          <w:tcPr>
            <w:tcW w:w="7" w:type="dxa"/>
            <w:tcBorders>
              <w:top w:val="single" w:color="auto" w:sz="4" w:space="0"/>
              <w:left w:val="single" w:color="auto" w:sz="4" w:space="0"/>
              <w:bottom w:val="single" w:color="auto" w:sz="4" w:space="0"/>
              <w:right w:val="single" w:color="auto" w:sz="4" w:space="0"/>
            </w:tcBorders>
            <w:vAlign w:val="center"/>
          </w:tcPr>
          <w:p>
            <w:pPr>
              <w:spacing w:after="0" w:line="240" w:lineRule="auto"/>
              <w:jc w:val="left"/>
            </w:pPr>
            <w:r>
              <w:rPr>
                <w:rFonts w:ascii="宋体" w:hAnsi="宋体"/>
                <w:color w:val="000000"/>
                <w:kern w:val="0"/>
                <w:sz w:val="25"/>
                <w:szCs w:val="24"/>
              </w:rPr>
              <w:t>文化、体育和娱乐业</w:t>
            </w:r>
          </w:p>
        </w:tc>
        <w:tc>
          <w:tcPr>
            <w:tcW w:w="7" w:type="dxa"/>
            <w:tcBorders>
              <w:top w:val="single" w:color="auto" w:sz="4" w:space="0"/>
              <w:left w:val="single" w:color="auto" w:sz="4" w:space="0"/>
              <w:bottom w:val="single" w:color="auto" w:sz="4" w:space="0"/>
              <w:right w:val="single" w:color="auto" w:sz="4" w:space="0"/>
            </w:tcBorders>
            <w:vAlign w:val="center"/>
          </w:tcPr>
          <w:p>
            <w:pPr>
              <w:widowControl/>
              <w:snapToGrid w:val="0"/>
              <w:spacing w:after="0" w:line="240" w:lineRule="auto"/>
              <w:jc w:val="right"/>
              <w:rPr>
                <w:rFonts w:ascii="宋体" w:hAnsi="宋体"/>
                <w:color w:val="000000"/>
                <w:kern w:val="0"/>
                <w:sz w:val="24"/>
                <w:szCs w:val="24"/>
              </w:rPr>
            </w:pPr>
            <w:r>
              <w:rPr>
                <w:rFonts w:ascii="宋体" w:hAnsi="宋体"/>
                <w:color w:val="000000"/>
                <w:kern w:val="0"/>
                <w:sz w:val="24"/>
                <w:szCs w:val="24"/>
              </w:rPr>
              <w:t>-</w:t>
            </w:r>
          </w:p>
        </w:tc>
        <w:tc>
          <w:tcPr>
            <w:tcW w:w="7" w:type="dxa"/>
            <w:tcBorders>
              <w:top w:val="single" w:color="auto" w:sz="4" w:space="0"/>
              <w:left w:val="single" w:color="auto" w:sz="4" w:space="0"/>
              <w:bottom w:val="single" w:color="auto" w:sz="4" w:space="0"/>
              <w:right w:val="single" w:color="auto" w:sz="4" w:space="0"/>
            </w:tcBorders>
            <w:vAlign w:val="center"/>
          </w:tcPr>
          <w:p>
            <w:pPr>
              <w:widowControl/>
              <w:snapToGrid w:val="0"/>
              <w:spacing w:after="0" w:line="240" w:lineRule="auto"/>
              <w:jc w:val="right"/>
              <w:rPr>
                <w:rFonts w:ascii="宋体" w:hAnsi="宋体"/>
                <w:color w:val="000000"/>
                <w:kern w:val="0"/>
                <w:sz w:val="24"/>
                <w:szCs w:val="24"/>
              </w:rPr>
            </w:pPr>
            <w:r>
              <w:rPr>
                <w:rFonts w:ascii="宋体" w:hAnsi="宋体"/>
                <w:color w:val="000000"/>
                <w:kern w:val="0"/>
                <w:sz w:val="24"/>
                <w:szCs w:val="24"/>
              </w:rPr>
              <w:t>-</w:t>
            </w:r>
          </w:p>
        </w:tc>
      </w:tr>
      <w:tr>
        <w:tblPrEx>
          <w:tblCellMar>
            <w:top w:w="0" w:type="dxa"/>
            <w:left w:w="0" w:type="dxa"/>
            <w:bottom w:w="0" w:type="dxa"/>
            <w:right w:w="0" w:type="dxa"/>
          </w:tblCellMar>
        </w:tblPrEx>
        <w:trPr>
          <w:cantSplit/>
          <w:trHeight w:val="375" w:hRule="atLeast"/>
        </w:trPr>
        <w:tc>
          <w:tcPr>
            <w:tcW w:w="7" w:type="dxa"/>
            <w:tcBorders>
              <w:top w:val="single" w:color="auto" w:sz="4" w:space="0"/>
              <w:left w:val="single" w:color="auto" w:sz="4" w:space="0"/>
              <w:bottom w:val="single" w:color="auto" w:sz="4" w:space="0"/>
              <w:right w:val="single" w:color="auto" w:sz="4" w:space="0"/>
            </w:tcBorders>
            <w:vAlign w:val="center"/>
          </w:tcPr>
          <w:p>
            <w:pPr>
              <w:widowControl/>
              <w:snapToGrid w:val="0"/>
              <w:spacing w:after="0" w:line="240" w:lineRule="auto"/>
              <w:jc w:val="center"/>
              <w:rPr>
                <w:rFonts w:ascii="宋体" w:hAnsi="宋体"/>
                <w:color w:val="000000"/>
                <w:kern w:val="0"/>
                <w:sz w:val="24"/>
                <w:szCs w:val="24"/>
              </w:rPr>
            </w:pPr>
            <w:r>
              <w:rPr>
                <w:rFonts w:ascii="宋体" w:hAnsi="宋体"/>
                <w:color w:val="000000"/>
                <w:kern w:val="0"/>
                <w:sz w:val="24"/>
                <w:szCs w:val="24"/>
              </w:rPr>
              <w:t>S</w:t>
            </w:r>
          </w:p>
        </w:tc>
        <w:tc>
          <w:tcPr>
            <w:tcW w:w="7" w:type="dxa"/>
            <w:tcBorders>
              <w:top w:val="single" w:color="auto" w:sz="4" w:space="0"/>
              <w:left w:val="single" w:color="auto" w:sz="4" w:space="0"/>
              <w:bottom w:val="single" w:color="auto" w:sz="4" w:space="0"/>
              <w:right w:val="single" w:color="auto" w:sz="4" w:space="0"/>
            </w:tcBorders>
            <w:vAlign w:val="center"/>
          </w:tcPr>
          <w:p>
            <w:pPr>
              <w:spacing w:after="0" w:line="240" w:lineRule="auto"/>
              <w:jc w:val="left"/>
            </w:pPr>
            <w:r>
              <w:rPr>
                <w:rFonts w:ascii="宋体" w:hAnsi="宋体"/>
                <w:color w:val="000000"/>
                <w:kern w:val="0"/>
                <w:sz w:val="25"/>
                <w:szCs w:val="24"/>
              </w:rPr>
              <w:t>综合</w:t>
            </w:r>
          </w:p>
        </w:tc>
        <w:tc>
          <w:tcPr>
            <w:tcW w:w="7" w:type="dxa"/>
            <w:tcBorders>
              <w:top w:val="single" w:color="auto" w:sz="4" w:space="0"/>
              <w:left w:val="single" w:color="auto" w:sz="4" w:space="0"/>
              <w:bottom w:val="single" w:color="auto" w:sz="4" w:space="0"/>
              <w:right w:val="single" w:color="auto" w:sz="4" w:space="0"/>
            </w:tcBorders>
            <w:vAlign w:val="center"/>
          </w:tcPr>
          <w:p>
            <w:pPr>
              <w:widowControl/>
              <w:snapToGrid w:val="0"/>
              <w:spacing w:after="0" w:line="240" w:lineRule="auto"/>
              <w:jc w:val="right"/>
              <w:rPr>
                <w:rFonts w:ascii="宋体" w:hAnsi="宋体"/>
                <w:color w:val="000000"/>
                <w:kern w:val="0"/>
                <w:sz w:val="24"/>
                <w:szCs w:val="24"/>
              </w:rPr>
            </w:pPr>
            <w:r>
              <w:rPr>
                <w:rFonts w:ascii="宋体" w:hAnsi="宋体"/>
                <w:color w:val="000000"/>
                <w:kern w:val="0"/>
                <w:sz w:val="24"/>
                <w:szCs w:val="24"/>
              </w:rPr>
              <w:t>-</w:t>
            </w:r>
          </w:p>
        </w:tc>
        <w:tc>
          <w:tcPr>
            <w:tcW w:w="7" w:type="dxa"/>
            <w:tcBorders>
              <w:top w:val="single" w:color="auto" w:sz="4" w:space="0"/>
              <w:left w:val="single" w:color="auto" w:sz="4" w:space="0"/>
              <w:bottom w:val="single" w:color="auto" w:sz="4" w:space="0"/>
              <w:right w:val="single" w:color="auto" w:sz="4" w:space="0"/>
            </w:tcBorders>
            <w:vAlign w:val="center"/>
          </w:tcPr>
          <w:p>
            <w:pPr>
              <w:widowControl/>
              <w:snapToGrid w:val="0"/>
              <w:spacing w:after="0" w:line="240" w:lineRule="auto"/>
              <w:jc w:val="right"/>
              <w:rPr>
                <w:rFonts w:ascii="宋体" w:hAnsi="宋体"/>
                <w:color w:val="000000"/>
                <w:kern w:val="0"/>
                <w:sz w:val="24"/>
                <w:szCs w:val="24"/>
              </w:rPr>
            </w:pPr>
            <w:r>
              <w:rPr>
                <w:rFonts w:ascii="宋体" w:hAnsi="宋体"/>
                <w:color w:val="000000"/>
                <w:kern w:val="0"/>
                <w:sz w:val="24"/>
                <w:szCs w:val="24"/>
              </w:rPr>
              <w:t>-</w:t>
            </w:r>
          </w:p>
        </w:tc>
      </w:tr>
      <w:tr>
        <w:tblPrEx>
          <w:tblCellMar>
            <w:top w:w="0" w:type="dxa"/>
            <w:left w:w="0" w:type="dxa"/>
            <w:bottom w:w="0" w:type="dxa"/>
            <w:right w:w="0" w:type="dxa"/>
          </w:tblCellMar>
        </w:tblPrEx>
        <w:trPr>
          <w:cantSplit/>
          <w:trHeight w:val="375" w:hRule="atLeast"/>
        </w:trPr>
        <w:tc>
          <w:tcPr>
            <w:tcW w:w="7" w:type="dxa"/>
            <w:tcBorders>
              <w:top w:val="single" w:color="auto" w:sz="4" w:space="0"/>
              <w:left w:val="single" w:color="auto" w:sz="4" w:space="0"/>
              <w:bottom w:val="single" w:color="auto" w:sz="4" w:space="0"/>
              <w:right w:val="single" w:color="auto" w:sz="4" w:space="0"/>
            </w:tcBorders>
            <w:vAlign w:val="center"/>
          </w:tcPr>
          <w:p>
            <w:pPr>
              <w:widowControl/>
              <w:snapToGrid w:val="0"/>
              <w:spacing w:after="0" w:line="240" w:lineRule="auto"/>
              <w:jc w:val="center"/>
              <w:rPr>
                <w:rFonts w:ascii="宋体" w:hAnsi="宋体"/>
                <w:color w:val="000000"/>
                <w:kern w:val="0"/>
                <w:sz w:val="24"/>
                <w:szCs w:val="24"/>
              </w:rPr>
            </w:pPr>
            <w:r>
              <w:rPr>
                <w:rFonts w:ascii="宋体" w:hAnsi="宋体"/>
                <w:color w:val="000000"/>
                <w:kern w:val="0"/>
                <w:sz w:val="24"/>
                <w:szCs w:val="24"/>
              </w:rPr>
              <w:t> </w:t>
            </w:r>
          </w:p>
        </w:tc>
        <w:tc>
          <w:tcPr>
            <w:tcW w:w="7" w:type="dxa"/>
            <w:tcBorders>
              <w:top w:val="single" w:color="auto" w:sz="4" w:space="0"/>
              <w:left w:val="single" w:color="auto" w:sz="4" w:space="0"/>
              <w:bottom w:val="single" w:color="auto" w:sz="4" w:space="0"/>
              <w:right w:val="single" w:color="auto" w:sz="4" w:space="0"/>
            </w:tcBorders>
            <w:vAlign w:val="center"/>
          </w:tcPr>
          <w:p>
            <w:pPr>
              <w:spacing w:after="0" w:line="240" w:lineRule="auto"/>
              <w:jc w:val="left"/>
            </w:pPr>
            <w:r>
              <w:rPr>
                <w:rFonts w:ascii="宋体" w:hAnsi="宋体"/>
                <w:color w:val="000000"/>
                <w:kern w:val="0"/>
                <w:sz w:val="25"/>
                <w:szCs w:val="24"/>
              </w:rPr>
              <w:t>合计</w:t>
            </w:r>
          </w:p>
        </w:tc>
        <w:tc>
          <w:tcPr>
            <w:tcW w:w="7" w:type="dxa"/>
            <w:tcBorders>
              <w:top w:val="single" w:color="auto" w:sz="4" w:space="0"/>
              <w:left w:val="single" w:color="auto" w:sz="4" w:space="0"/>
              <w:bottom w:val="single" w:color="auto" w:sz="4" w:space="0"/>
              <w:right w:val="single" w:color="auto" w:sz="4" w:space="0"/>
            </w:tcBorders>
            <w:vAlign w:val="center"/>
          </w:tcPr>
          <w:p>
            <w:pPr>
              <w:widowControl/>
              <w:snapToGrid w:val="0"/>
              <w:spacing w:after="0" w:line="240" w:lineRule="auto"/>
              <w:jc w:val="right"/>
              <w:rPr>
                <w:rFonts w:ascii="宋体" w:hAnsi="宋体"/>
                <w:color w:val="000000"/>
                <w:kern w:val="0"/>
                <w:sz w:val="24"/>
                <w:szCs w:val="24"/>
              </w:rPr>
            </w:pPr>
            <w:r>
              <w:rPr>
                <w:rFonts w:ascii="宋体" w:hAnsi="宋体"/>
                <w:color w:val="000000"/>
                <w:kern w:val="0"/>
                <w:sz w:val="24"/>
                <w:szCs w:val="24"/>
              </w:rPr>
              <w:t>2,833,059,536.76</w:t>
            </w:r>
          </w:p>
        </w:tc>
        <w:tc>
          <w:tcPr>
            <w:tcW w:w="7" w:type="dxa"/>
            <w:tcBorders>
              <w:top w:val="single" w:color="auto" w:sz="4" w:space="0"/>
              <w:left w:val="single" w:color="auto" w:sz="4" w:space="0"/>
              <w:bottom w:val="single" w:color="auto" w:sz="4" w:space="0"/>
              <w:right w:val="single" w:color="auto" w:sz="4" w:space="0"/>
            </w:tcBorders>
            <w:vAlign w:val="center"/>
          </w:tcPr>
          <w:p>
            <w:pPr>
              <w:widowControl/>
              <w:snapToGrid w:val="0"/>
              <w:spacing w:after="0" w:line="240" w:lineRule="auto"/>
              <w:jc w:val="right"/>
              <w:rPr>
                <w:rFonts w:ascii="宋体" w:hAnsi="宋体"/>
                <w:color w:val="000000"/>
                <w:kern w:val="0"/>
                <w:sz w:val="24"/>
                <w:szCs w:val="24"/>
              </w:rPr>
            </w:pPr>
            <w:r>
              <w:rPr>
                <w:rFonts w:ascii="宋体" w:hAnsi="宋体"/>
                <w:color w:val="000000"/>
                <w:kern w:val="0"/>
                <w:sz w:val="24"/>
                <w:szCs w:val="24"/>
              </w:rPr>
              <w:t>69.62</w:t>
            </w:r>
          </w:p>
        </w:tc>
      </w:tr>
    </w:tbl>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2.2 报告期末按行业分类的港股通投资股票投资组合</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无。</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3、期末按公允价值占基金资产净值比例大小排序的股票投资明细</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3.1 报告期末按公允价值占基金资产净值比例大小排序的前十名股票投资明细</w:t>
      </w:r>
    </w:p>
    <w:tbl>
      <w:tblPr>
        <w:tblStyle w:val="14"/>
        <w:tblW w:w="5000" w:type="pct"/>
        <w:tblInd w:w="0" w:type="dxa"/>
        <w:tblLayout w:type="fixed"/>
        <w:tblCellMar>
          <w:top w:w="0" w:type="dxa"/>
          <w:left w:w="0" w:type="dxa"/>
          <w:bottom w:w="0" w:type="dxa"/>
          <w:right w:w="0" w:type="dxa"/>
        </w:tblCellMar>
      </w:tblPr>
      <w:tblGrid>
        <w:gridCol w:w="1445"/>
        <w:gridCol w:w="1445"/>
        <w:gridCol w:w="1445"/>
        <w:gridCol w:w="1445"/>
        <w:gridCol w:w="1445"/>
        <w:gridCol w:w="1445"/>
      </w:tblGrid>
      <w:tr>
        <w:tblPrEx>
          <w:tblCellMar>
            <w:top w:w="0" w:type="dxa"/>
            <w:left w:w="0" w:type="dxa"/>
            <w:bottom w:w="0" w:type="dxa"/>
            <w:right w:w="0" w:type="dxa"/>
          </w:tblCellMar>
        </w:tblPrEx>
        <w:trPr>
          <w:cantSplit/>
          <w:trHeight w:val="375" w:hRule="atLeast"/>
        </w:trPr>
        <w:tc>
          <w:tcPr>
            <w:tcW w:w="7" w:type="dxa"/>
            <w:tcBorders>
              <w:top w:val="single" w:color="auto" w:sz="4" w:space="0"/>
              <w:left w:val="single" w:color="auto" w:sz="4" w:space="0"/>
              <w:bottom w:val="single" w:color="auto" w:sz="4" w:space="0"/>
              <w:right w:val="single" w:color="auto" w:sz="4" w:space="0"/>
            </w:tcBorders>
            <w:vAlign w:val="center"/>
          </w:tcPr>
          <w:p>
            <w:pPr>
              <w:widowControl/>
              <w:snapToGrid w:val="0"/>
              <w:spacing w:after="0" w:line="240" w:lineRule="auto"/>
              <w:jc w:val="center"/>
              <w:rPr>
                <w:rFonts w:ascii="宋体" w:hAnsi="宋体"/>
                <w:color w:val="000000"/>
                <w:kern w:val="0"/>
                <w:sz w:val="24"/>
                <w:szCs w:val="24"/>
              </w:rPr>
            </w:pPr>
            <w:r>
              <w:rPr>
                <w:rFonts w:ascii="宋体" w:hAnsi="宋体"/>
                <w:color w:val="000000"/>
                <w:kern w:val="0"/>
                <w:sz w:val="24"/>
                <w:szCs w:val="24"/>
              </w:rPr>
              <w:t>序号</w:t>
            </w:r>
          </w:p>
        </w:tc>
        <w:tc>
          <w:tcPr>
            <w:tcW w:w="7" w:type="dxa"/>
            <w:tcBorders>
              <w:top w:val="single" w:color="auto" w:sz="4" w:space="0"/>
              <w:left w:val="single" w:color="auto" w:sz="4" w:space="0"/>
              <w:bottom w:val="single" w:color="auto" w:sz="4" w:space="0"/>
              <w:right w:val="single" w:color="auto" w:sz="4" w:space="0"/>
            </w:tcBorders>
            <w:vAlign w:val="center"/>
          </w:tcPr>
          <w:p>
            <w:pPr>
              <w:widowControl/>
              <w:snapToGrid w:val="0"/>
              <w:spacing w:after="0" w:line="240" w:lineRule="auto"/>
              <w:jc w:val="center"/>
              <w:rPr>
                <w:rFonts w:ascii="宋体" w:hAnsi="宋体"/>
                <w:color w:val="000000"/>
                <w:kern w:val="0"/>
                <w:sz w:val="24"/>
                <w:szCs w:val="24"/>
              </w:rPr>
            </w:pPr>
            <w:r>
              <w:rPr>
                <w:rFonts w:ascii="宋体" w:hAnsi="宋体"/>
                <w:color w:val="000000"/>
                <w:kern w:val="0"/>
                <w:sz w:val="24"/>
                <w:szCs w:val="24"/>
              </w:rPr>
              <w:t>股票代码</w:t>
            </w:r>
          </w:p>
        </w:tc>
        <w:tc>
          <w:tcPr>
            <w:tcW w:w="7" w:type="dxa"/>
            <w:tcBorders>
              <w:top w:val="single" w:color="auto" w:sz="4" w:space="0"/>
              <w:left w:val="single" w:color="auto" w:sz="4" w:space="0"/>
              <w:bottom w:val="single" w:color="auto" w:sz="4" w:space="0"/>
              <w:right w:val="single" w:color="auto" w:sz="4" w:space="0"/>
            </w:tcBorders>
            <w:vAlign w:val="center"/>
          </w:tcPr>
          <w:p>
            <w:pPr>
              <w:widowControl/>
              <w:snapToGrid w:val="0"/>
              <w:spacing w:after="0" w:line="240" w:lineRule="auto"/>
              <w:jc w:val="center"/>
              <w:rPr>
                <w:rFonts w:ascii="宋体" w:hAnsi="宋体"/>
                <w:color w:val="000000"/>
                <w:kern w:val="0"/>
                <w:sz w:val="24"/>
                <w:szCs w:val="24"/>
              </w:rPr>
            </w:pPr>
            <w:r>
              <w:rPr>
                <w:rFonts w:ascii="宋体" w:hAnsi="宋体"/>
                <w:color w:val="000000"/>
                <w:kern w:val="0"/>
                <w:sz w:val="24"/>
                <w:szCs w:val="24"/>
              </w:rPr>
              <w:t>股票名称</w:t>
            </w:r>
          </w:p>
        </w:tc>
        <w:tc>
          <w:tcPr>
            <w:tcW w:w="7" w:type="dxa"/>
            <w:tcBorders>
              <w:top w:val="single" w:color="auto" w:sz="4" w:space="0"/>
              <w:left w:val="single" w:color="auto" w:sz="4" w:space="0"/>
              <w:bottom w:val="single" w:color="auto" w:sz="4" w:space="0"/>
              <w:right w:val="single" w:color="auto" w:sz="4" w:space="0"/>
            </w:tcBorders>
            <w:vAlign w:val="center"/>
          </w:tcPr>
          <w:p>
            <w:pPr>
              <w:widowControl/>
              <w:snapToGrid w:val="0"/>
              <w:spacing w:after="0" w:line="240" w:lineRule="auto"/>
              <w:jc w:val="center"/>
              <w:rPr>
                <w:rFonts w:ascii="宋体" w:hAnsi="宋体"/>
                <w:color w:val="000000"/>
                <w:kern w:val="0"/>
                <w:sz w:val="24"/>
                <w:szCs w:val="24"/>
              </w:rPr>
            </w:pPr>
            <w:r>
              <w:rPr>
                <w:rFonts w:ascii="宋体" w:hAnsi="宋体"/>
                <w:color w:val="000000"/>
                <w:kern w:val="0"/>
                <w:sz w:val="24"/>
                <w:szCs w:val="24"/>
              </w:rPr>
              <w:t>数量（股）</w:t>
            </w:r>
          </w:p>
        </w:tc>
        <w:tc>
          <w:tcPr>
            <w:tcW w:w="7" w:type="dxa"/>
            <w:tcBorders>
              <w:top w:val="single" w:color="auto" w:sz="4" w:space="0"/>
              <w:left w:val="single" w:color="auto" w:sz="4" w:space="0"/>
              <w:bottom w:val="single" w:color="auto" w:sz="4" w:space="0"/>
              <w:right w:val="single" w:color="auto" w:sz="4" w:space="0"/>
            </w:tcBorders>
            <w:vAlign w:val="center"/>
          </w:tcPr>
          <w:p>
            <w:pPr>
              <w:widowControl/>
              <w:snapToGrid w:val="0"/>
              <w:spacing w:after="0" w:line="240" w:lineRule="auto"/>
              <w:jc w:val="center"/>
              <w:rPr>
                <w:rFonts w:ascii="宋体" w:hAnsi="宋体"/>
                <w:color w:val="000000"/>
                <w:kern w:val="0"/>
                <w:sz w:val="24"/>
                <w:szCs w:val="24"/>
              </w:rPr>
            </w:pPr>
            <w:r>
              <w:rPr>
                <w:rFonts w:ascii="宋体" w:hAnsi="宋体"/>
                <w:color w:val="000000"/>
                <w:kern w:val="0"/>
                <w:sz w:val="24"/>
                <w:szCs w:val="24"/>
              </w:rPr>
              <w:t>公允价值（元）</w:t>
            </w:r>
          </w:p>
        </w:tc>
        <w:tc>
          <w:tcPr>
            <w:tcW w:w="7" w:type="dxa"/>
            <w:tcBorders>
              <w:top w:val="single" w:color="auto" w:sz="4" w:space="0"/>
              <w:left w:val="single" w:color="auto" w:sz="4" w:space="0"/>
              <w:bottom w:val="single" w:color="auto" w:sz="4" w:space="0"/>
              <w:right w:val="single" w:color="auto" w:sz="4" w:space="0"/>
            </w:tcBorders>
            <w:vAlign w:val="center"/>
          </w:tcPr>
          <w:p>
            <w:pPr>
              <w:widowControl/>
              <w:snapToGrid w:val="0"/>
              <w:spacing w:after="0" w:line="240" w:lineRule="auto"/>
              <w:jc w:val="center"/>
              <w:rPr>
                <w:rFonts w:ascii="宋体" w:hAnsi="宋体"/>
                <w:color w:val="000000"/>
                <w:kern w:val="0"/>
                <w:sz w:val="24"/>
                <w:szCs w:val="24"/>
              </w:rPr>
            </w:pPr>
            <w:r>
              <w:rPr>
                <w:rFonts w:ascii="宋体" w:hAnsi="宋体"/>
                <w:color w:val="000000"/>
                <w:kern w:val="0"/>
                <w:sz w:val="24"/>
                <w:szCs w:val="24"/>
              </w:rPr>
              <w:t>占基金资产净值比例（%）</w:t>
            </w:r>
          </w:p>
        </w:tc>
      </w:tr>
      <w:tr>
        <w:tblPrEx>
          <w:tblCellMar>
            <w:top w:w="0" w:type="dxa"/>
            <w:left w:w="0" w:type="dxa"/>
            <w:bottom w:w="0" w:type="dxa"/>
            <w:right w:w="0" w:type="dxa"/>
          </w:tblCellMar>
        </w:tblPrEx>
        <w:trPr>
          <w:cantSplit/>
          <w:trHeight w:val="375" w:hRule="atLeast"/>
        </w:trPr>
        <w:tc>
          <w:tcPr>
            <w:tcW w:w="7" w:type="dxa"/>
            <w:tcBorders>
              <w:top w:val="single" w:color="auto" w:sz="4" w:space="0"/>
              <w:left w:val="single" w:color="auto" w:sz="4" w:space="0"/>
              <w:bottom w:val="single" w:color="auto" w:sz="4" w:space="0"/>
              <w:right w:val="single" w:color="auto" w:sz="4" w:space="0"/>
            </w:tcBorders>
            <w:vAlign w:val="center"/>
          </w:tcPr>
          <w:p>
            <w:pPr>
              <w:widowControl/>
              <w:snapToGrid w:val="0"/>
              <w:spacing w:after="0" w:line="240" w:lineRule="auto"/>
              <w:jc w:val="center"/>
              <w:rPr>
                <w:rFonts w:ascii="宋体" w:hAnsi="宋体"/>
                <w:color w:val="000000"/>
                <w:kern w:val="0"/>
                <w:sz w:val="24"/>
                <w:szCs w:val="24"/>
              </w:rPr>
            </w:pPr>
            <w:r>
              <w:rPr>
                <w:rFonts w:ascii="宋体" w:hAnsi="宋体"/>
                <w:color w:val="000000"/>
                <w:kern w:val="0"/>
                <w:sz w:val="24"/>
                <w:szCs w:val="24"/>
              </w:rPr>
              <w:t>1</w:t>
            </w:r>
          </w:p>
        </w:tc>
        <w:tc>
          <w:tcPr>
            <w:tcW w:w="7" w:type="dxa"/>
            <w:tcBorders>
              <w:top w:val="single" w:color="auto" w:sz="4" w:space="0"/>
              <w:left w:val="single" w:color="auto" w:sz="4" w:space="0"/>
              <w:bottom w:val="single" w:color="auto" w:sz="4" w:space="0"/>
              <w:right w:val="single" w:color="auto" w:sz="4" w:space="0"/>
            </w:tcBorders>
            <w:vAlign w:val="center"/>
          </w:tcPr>
          <w:p>
            <w:pPr>
              <w:widowControl/>
              <w:snapToGrid w:val="0"/>
              <w:spacing w:after="0" w:line="240" w:lineRule="auto"/>
              <w:jc w:val="center"/>
              <w:rPr>
                <w:rFonts w:ascii="宋体" w:hAnsi="宋体"/>
                <w:color w:val="000000"/>
                <w:kern w:val="0"/>
                <w:sz w:val="24"/>
                <w:szCs w:val="24"/>
              </w:rPr>
            </w:pPr>
            <w:r>
              <w:rPr>
                <w:rFonts w:ascii="宋体" w:hAnsi="宋体"/>
                <w:color w:val="000000"/>
                <w:kern w:val="0"/>
                <w:sz w:val="24"/>
                <w:szCs w:val="24"/>
              </w:rPr>
              <w:t>300502</w:t>
            </w:r>
          </w:p>
        </w:tc>
        <w:tc>
          <w:tcPr>
            <w:tcW w:w="7" w:type="dxa"/>
            <w:tcBorders>
              <w:top w:val="single" w:color="auto" w:sz="4" w:space="0"/>
              <w:left w:val="single" w:color="auto" w:sz="4" w:space="0"/>
              <w:bottom w:val="single" w:color="auto" w:sz="4" w:space="0"/>
              <w:right w:val="single" w:color="auto" w:sz="4" w:space="0"/>
            </w:tcBorders>
            <w:vAlign w:val="center"/>
          </w:tcPr>
          <w:p>
            <w:pPr>
              <w:widowControl/>
              <w:snapToGrid w:val="0"/>
              <w:spacing w:after="0" w:line="240" w:lineRule="auto"/>
              <w:jc w:val="center"/>
              <w:rPr>
                <w:rFonts w:ascii="宋体" w:hAnsi="宋体"/>
                <w:color w:val="000000"/>
                <w:kern w:val="0"/>
                <w:sz w:val="24"/>
                <w:szCs w:val="24"/>
              </w:rPr>
            </w:pPr>
            <w:r>
              <w:rPr>
                <w:rFonts w:ascii="宋体" w:hAnsi="宋体"/>
                <w:color w:val="000000"/>
                <w:kern w:val="0"/>
                <w:sz w:val="24"/>
                <w:szCs w:val="24"/>
              </w:rPr>
              <w:t>新易盛</w:t>
            </w:r>
          </w:p>
        </w:tc>
        <w:tc>
          <w:tcPr>
            <w:tcW w:w="7" w:type="dxa"/>
            <w:tcBorders>
              <w:top w:val="single" w:color="auto" w:sz="4" w:space="0"/>
              <w:left w:val="single" w:color="auto" w:sz="4" w:space="0"/>
              <w:bottom w:val="single" w:color="auto" w:sz="4" w:space="0"/>
              <w:right w:val="single" w:color="auto" w:sz="4" w:space="0"/>
            </w:tcBorders>
            <w:vAlign w:val="center"/>
          </w:tcPr>
          <w:p>
            <w:pPr>
              <w:widowControl/>
              <w:snapToGrid w:val="0"/>
              <w:spacing w:after="0" w:line="240" w:lineRule="auto"/>
              <w:jc w:val="right"/>
              <w:rPr>
                <w:rFonts w:ascii="宋体" w:hAnsi="宋体"/>
                <w:color w:val="000000"/>
                <w:kern w:val="0"/>
                <w:sz w:val="24"/>
                <w:szCs w:val="24"/>
              </w:rPr>
            </w:pPr>
            <w:r>
              <w:rPr>
                <w:rFonts w:ascii="宋体" w:hAnsi="宋体"/>
                <w:color w:val="000000"/>
                <w:kern w:val="0"/>
                <w:sz w:val="24"/>
                <w:szCs w:val="24"/>
              </w:rPr>
              <w:t>459,987</w:t>
            </w:r>
          </w:p>
        </w:tc>
        <w:tc>
          <w:tcPr>
            <w:tcW w:w="7" w:type="dxa"/>
            <w:tcBorders>
              <w:top w:val="single" w:color="auto" w:sz="4" w:space="0"/>
              <w:left w:val="single" w:color="auto" w:sz="4" w:space="0"/>
              <w:bottom w:val="single" w:color="auto" w:sz="4" w:space="0"/>
              <w:right w:val="single" w:color="auto" w:sz="4" w:space="0"/>
            </w:tcBorders>
            <w:vAlign w:val="center"/>
          </w:tcPr>
          <w:p>
            <w:pPr>
              <w:widowControl/>
              <w:snapToGrid w:val="0"/>
              <w:spacing w:after="0" w:line="240" w:lineRule="auto"/>
              <w:jc w:val="right"/>
              <w:rPr>
                <w:rFonts w:ascii="宋体" w:hAnsi="宋体"/>
                <w:color w:val="000000"/>
                <w:kern w:val="0"/>
                <w:sz w:val="24"/>
                <w:szCs w:val="24"/>
              </w:rPr>
            </w:pPr>
            <w:r>
              <w:rPr>
                <w:rFonts w:ascii="宋体" w:hAnsi="宋体"/>
                <w:color w:val="000000"/>
                <w:kern w:val="0"/>
                <w:sz w:val="24"/>
                <w:szCs w:val="24"/>
              </w:rPr>
              <w:t>279,212,109.00</w:t>
            </w:r>
          </w:p>
        </w:tc>
        <w:tc>
          <w:tcPr>
            <w:tcW w:w="7" w:type="dxa"/>
            <w:tcBorders>
              <w:top w:val="single" w:color="auto" w:sz="4" w:space="0"/>
              <w:left w:val="single" w:color="auto" w:sz="4" w:space="0"/>
              <w:bottom w:val="single" w:color="auto" w:sz="4" w:space="0"/>
              <w:right w:val="single" w:color="auto" w:sz="4" w:space="0"/>
            </w:tcBorders>
            <w:vAlign w:val="center"/>
          </w:tcPr>
          <w:p>
            <w:pPr>
              <w:widowControl/>
              <w:snapToGrid w:val="0"/>
              <w:spacing w:after="0" w:line="240" w:lineRule="auto"/>
              <w:jc w:val="right"/>
              <w:rPr>
                <w:rFonts w:ascii="宋体" w:hAnsi="宋体"/>
                <w:color w:val="000000"/>
                <w:kern w:val="0"/>
                <w:sz w:val="24"/>
                <w:szCs w:val="24"/>
              </w:rPr>
            </w:pPr>
            <w:r>
              <w:rPr>
                <w:rFonts w:ascii="宋体" w:hAnsi="宋体"/>
                <w:color w:val="000000"/>
                <w:kern w:val="0"/>
                <w:sz w:val="24"/>
                <w:szCs w:val="24"/>
              </w:rPr>
              <w:t>6.86</w:t>
            </w:r>
          </w:p>
        </w:tc>
      </w:tr>
      <w:tr>
        <w:tblPrEx>
          <w:tblCellMar>
            <w:top w:w="0" w:type="dxa"/>
            <w:left w:w="0" w:type="dxa"/>
            <w:bottom w:w="0" w:type="dxa"/>
            <w:right w:w="0" w:type="dxa"/>
          </w:tblCellMar>
        </w:tblPrEx>
        <w:trPr>
          <w:cantSplit/>
          <w:trHeight w:val="375" w:hRule="atLeast"/>
        </w:trPr>
        <w:tc>
          <w:tcPr>
            <w:tcW w:w="7" w:type="dxa"/>
            <w:tcBorders>
              <w:top w:val="single" w:color="auto" w:sz="4" w:space="0"/>
              <w:left w:val="single" w:color="auto" w:sz="4" w:space="0"/>
              <w:bottom w:val="single" w:color="auto" w:sz="4" w:space="0"/>
              <w:right w:val="single" w:color="auto" w:sz="4" w:space="0"/>
            </w:tcBorders>
            <w:vAlign w:val="center"/>
          </w:tcPr>
          <w:p>
            <w:pPr>
              <w:widowControl/>
              <w:snapToGrid w:val="0"/>
              <w:spacing w:after="0" w:line="240" w:lineRule="auto"/>
              <w:jc w:val="center"/>
              <w:rPr>
                <w:rFonts w:ascii="宋体" w:hAnsi="宋体"/>
                <w:color w:val="000000"/>
                <w:kern w:val="0"/>
                <w:sz w:val="24"/>
                <w:szCs w:val="24"/>
              </w:rPr>
            </w:pPr>
            <w:r>
              <w:rPr>
                <w:rFonts w:ascii="宋体" w:hAnsi="宋体"/>
                <w:color w:val="000000"/>
                <w:kern w:val="0"/>
                <w:sz w:val="24"/>
                <w:szCs w:val="24"/>
              </w:rPr>
              <w:t>2</w:t>
            </w:r>
          </w:p>
        </w:tc>
        <w:tc>
          <w:tcPr>
            <w:tcW w:w="7" w:type="dxa"/>
            <w:tcBorders>
              <w:top w:val="single" w:color="auto" w:sz="4" w:space="0"/>
              <w:left w:val="single" w:color="auto" w:sz="4" w:space="0"/>
              <w:bottom w:val="single" w:color="auto" w:sz="4" w:space="0"/>
              <w:right w:val="single" w:color="auto" w:sz="4" w:space="0"/>
            </w:tcBorders>
            <w:vAlign w:val="center"/>
          </w:tcPr>
          <w:p>
            <w:pPr>
              <w:widowControl/>
              <w:snapToGrid w:val="0"/>
              <w:spacing w:after="0" w:line="240" w:lineRule="auto"/>
              <w:jc w:val="center"/>
              <w:rPr>
                <w:rFonts w:ascii="宋体" w:hAnsi="宋体"/>
                <w:color w:val="000000"/>
                <w:kern w:val="0"/>
                <w:sz w:val="24"/>
                <w:szCs w:val="24"/>
              </w:rPr>
            </w:pPr>
            <w:r>
              <w:rPr>
                <w:rFonts w:ascii="宋体" w:hAnsi="宋体"/>
                <w:color w:val="000000"/>
                <w:kern w:val="0"/>
                <w:sz w:val="24"/>
                <w:szCs w:val="24"/>
              </w:rPr>
              <w:t>300308</w:t>
            </w:r>
          </w:p>
        </w:tc>
        <w:tc>
          <w:tcPr>
            <w:tcW w:w="7" w:type="dxa"/>
            <w:tcBorders>
              <w:top w:val="single" w:color="auto" w:sz="4" w:space="0"/>
              <w:left w:val="single" w:color="auto" w:sz="4" w:space="0"/>
              <w:bottom w:val="single" w:color="auto" w:sz="4" w:space="0"/>
              <w:right w:val="single" w:color="auto" w:sz="4" w:space="0"/>
            </w:tcBorders>
            <w:vAlign w:val="center"/>
          </w:tcPr>
          <w:p>
            <w:pPr>
              <w:widowControl/>
              <w:snapToGrid w:val="0"/>
              <w:spacing w:after="0" w:line="240" w:lineRule="auto"/>
              <w:jc w:val="center"/>
              <w:rPr>
                <w:rFonts w:ascii="宋体" w:hAnsi="宋体"/>
                <w:color w:val="000000"/>
                <w:kern w:val="0"/>
                <w:sz w:val="24"/>
                <w:szCs w:val="24"/>
              </w:rPr>
            </w:pPr>
            <w:r>
              <w:rPr>
                <w:rFonts w:ascii="宋体" w:hAnsi="宋体"/>
                <w:color w:val="000000"/>
                <w:kern w:val="0"/>
                <w:sz w:val="24"/>
                <w:szCs w:val="24"/>
              </w:rPr>
              <w:t>中际旭创</w:t>
            </w:r>
          </w:p>
        </w:tc>
        <w:tc>
          <w:tcPr>
            <w:tcW w:w="7" w:type="dxa"/>
            <w:tcBorders>
              <w:top w:val="single" w:color="auto" w:sz="4" w:space="0"/>
              <w:left w:val="single" w:color="auto" w:sz="4" w:space="0"/>
              <w:bottom w:val="single" w:color="auto" w:sz="4" w:space="0"/>
              <w:right w:val="single" w:color="auto" w:sz="4" w:space="0"/>
            </w:tcBorders>
            <w:vAlign w:val="center"/>
          </w:tcPr>
          <w:p>
            <w:pPr>
              <w:widowControl/>
              <w:snapToGrid w:val="0"/>
              <w:spacing w:after="0" w:line="240" w:lineRule="auto"/>
              <w:jc w:val="right"/>
              <w:rPr>
                <w:rFonts w:ascii="宋体" w:hAnsi="宋体"/>
                <w:color w:val="000000"/>
                <w:kern w:val="0"/>
                <w:sz w:val="24"/>
                <w:szCs w:val="24"/>
              </w:rPr>
            </w:pPr>
            <w:r>
              <w:rPr>
                <w:rFonts w:ascii="宋体" w:hAnsi="宋体"/>
                <w:color w:val="000000"/>
                <w:kern w:val="0"/>
                <w:sz w:val="24"/>
                <w:szCs w:val="24"/>
              </w:rPr>
              <w:t>219,110</w:t>
            </w:r>
          </w:p>
        </w:tc>
        <w:tc>
          <w:tcPr>
            <w:tcW w:w="7" w:type="dxa"/>
            <w:tcBorders>
              <w:top w:val="single" w:color="auto" w:sz="4" w:space="0"/>
              <w:left w:val="single" w:color="auto" w:sz="4" w:space="0"/>
              <w:bottom w:val="single" w:color="auto" w:sz="4" w:space="0"/>
              <w:right w:val="single" w:color="auto" w:sz="4" w:space="0"/>
            </w:tcBorders>
            <w:vAlign w:val="center"/>
          </w:tcPr>
          <w:p>
            <w:pPr>
              <w:widowControl/>
              <w:snapToGrid w:val="0"/>
              <w:spacing w:after="0" w:line="240" w:lineRule="auto"/>
              <w:jc w:val="right"/>
              <w:rPr>
                <w:rFonts w:ascii="宋体" w:hAnsi="宋体"/>
                <w:color w:val="000000"/>
                <w:kern w:val="0"/>
                <w:sz w:val="24"/>
                <w:szCs w:val="24"/>
              </w:rPr>
            </w:pPr>
            <w:r>
              <w:rPr>
                <w:rFonts w:ascii="宋体" w:hAnsi="宋体"/>
                <w:color w:val="000000"/>
                <w:kern w:val="0"/>
                <w:sz w:val="24"/>
                <w:szCs w:val="24"/>
              </w:rPr>
              <w:t>278,269,700.00</w:t>
            </w:r>
          </w:p>
        </w:tc>
        <w:tc>
          <w:tcPr>
            <w:tcW w:w="7" w:type="dxa"/>
            <w:tcBorders>
              <w:top w:val="single" w:color="auto" w:sz="4" w:space="0"/>
              <w:left w:val="single" w:color="auto" w:sz="4" w:space="0"/>
              <w:bottom w:val="single" w:color="auto" w:sz="4" w:space="0"/>
              <w:right w:val="single" w:color="auto" w:sz="4" w:space="0"/>
            </w:tcBorders>
            <w:vAlign w:val="center"/>
          </w:tcPr>
          <w:p>
            <w:pPr>
              <w:widowControl/>
              <w:snapToGrid w:val="0"/>
              <w:spacing w:after="0" w:line="240" w:lineRule="auto"/>
              <w:jc w:val="right"/>
              <w:rPr>
                <w:rFonts w:ascii="宋体" w:hAnsi="宋体"/>
                <w:color w:val="000000"/>
                <w:kern w:val="0"/>
                <w:sz w:val="24"/>
                <w:szCs w:val="24"/>
              </w:rPr>
            </w:pPr>
            <w:r>
              <w:rPr>
                <w:rFonts w:ascii="宋体" w:hAnsi="宋体"/>
                <w:color w:val="000000"/>
                <w:kern w:val="0"/>
                <w:sz w:val="24"/>
                <w:szCs w:val="24"/>
              </w:rPr>
              <w:t>6.84</w:t>
            </w:r>
          </w:p>
        </w:tc>
      </w:tr>
      <w:tr>
        <w:tblPrEx>
          <w:tblCellMar>
            <w:top w:w="0" w:type="dxa"/>
            <w:left w:w="0" w:type="dxa"/>
            <w:bottom w:w="0" w:type="dxa"/>
            <w:right w:w="0" w:type="dxa"/>
          </w:tblCellMar>
        </w:tblPrEx>
        <w:trPr>
          <w:cantSplit/>
          <w:trHeight w:val="375" w:hRule="atLeast"/>
        </w:trPr>
        <w:tc>
          <w:tcPr>
            <w:tcW w:w="7" w:type="dxa"/>
            <w:tcBorders>
              <w:top w:val="single" w:color="auto" w:sz="4" w:space="0"/>
              <w:left w:val="single" w:color="auto" w:sz="4" w:space="0"/>
              <w:bottom w:val="single" w:color="auto" w:sz="4" w:space="0"/>
              <w:right w:val="single" w:color="auto" w:sz="4" w:space="0"/>
            </w:tcBorders>
            <w:vAlign w:val="center"/>
          </w:tcPr>
          <w:p>
            <w:pPr>
              <w:widowControl/>
              <w:snapToGrid w:val="0"/>
              <w:spacing w:after="0" w:line="240" w:lineRule="auto"/>
              <w:jc w:val="center"/>
              <w:rPr>
                <w:rFonts w:ascii="宋体" w:hAnsi="宋体"/>
                <w:color w:val="000000"/>
                <w:kern w:val="0"/>
                <w:sz w:val="24"/>
                <w:szCs w:val="24"/>
              </w:rPr>
            </w:pPr>
            <w:r>
              <w:rPr>
                <w:rFonts w:ascii="宋体" w:hAnsi="宋体"/>
                <w:color w:val="000000"/>
                <w:kern w:val="0"/>
                <w:sz w:val="24"/>
                <w:szCs w:val="24"/>
              </w:rPr>
              <w:t>3</w:t>
            </w:r>
          </w:p>
        </w:tc>
        <w:tc>
          <w:tcPr>
            <w:tcW w:w="7" w:type="dxa"/>
            <w:tcBorders>
              <w:top w:val="single" w:color="auto" w:sz="4" w:space="0"/>
              <w:left w:val="single" w:color="auto" w:sz="4" w:space="0"/>
              <w:bottom w:val="single" w:color="auto" w:sz="4" w:space="0"/>
              <w:right w:val="single" w:color="auto" w:sz="4" w:space="0"/>
            </w:tcBorders>
            <w:vAlign w:val="center"/>
          </w:tcPr>
          <w:p>
            <w:pPr>
              <w:widowControl/>
              <w:snapToGrid w:val="0"/>
              <w:spacing w:after="0" w:line="240" w:lineRule="auto"/>
              <w:jc w:val="center"/>
              <w:rPr>
                <w:rFonts w:ascii="宋体" w:hAnsi="宋体"/>
                <w:color w:val="000000"/>
                <w:kern w:val="0"/>
                <w:sz w:val="24"/>
                <w:szCs w:val="24"/>
              </w:rPr>
            </w:pPr>
            <w:r>
              <w:rPr>
                <w:rFonts w:ascii="宋体" w:hAnsi="宋体"/>
                <w:color w:val="000000"/>
                <w:kern w:val="0"/>
                <w:sz w:val="24"/>
                <w:szCs w:val="24"/>
              </w:rPr>
              <w:t>688233</w:t>
            </w:r>
          </w:p>
        </w:tc>
        <w:tc>
          <w:tcPr>
            <w:tcW w:w="7" w:type="dxa"/>
            <w:tcBorders>
              <w:top w:val="single" w:color="auto" w:sz="4" w:space="0"/>
              <w:left w:val="single" w:color="auto" w:sz="4" w:space="0"/>
              <w:bottom w:val="single" w:color="auto" w:sz="4" w:space="0"/>
              <w:right w:val="single" w:color="auto" w:sz="4" w:space="0"/>
            </w:tcBorders>
            <w:vAlign w:val="center"/>
          </w:tcPr>
          <w:p>
            <w:pPr>
              <w:widowControl/>
              <w:snapToGrid w:val="0"/>
              <w:spacing w:after="0" w:line="240" w:lineRule="auto"/>
              <w:jc w:val="center"/>
              <w:rPr>
                <w:rFonts w:ascii="宋体" w:hAnsi="宋体"/>
                <w:color w:val="000000"/>
                <w:kern w:val="0"/>
                <w:sz w:val="24"/>
                <w:szCs w:val="24"/>
              </w:rPr>
            </w:pPr>
            <w:r>
              <w:rPr>
                <w:rFonts w:ascii="宋体" w:hAnsi="宋体"/>
                <w:color w:val="000000"/>
                <w:kern w:val="0"/>
                <w:sz w:val="24"/>
                <w:szCs w:val="24"/>
              </w:rPr>
              <w:t>神工股份</w:t>
            </w:r>
          </w:p>
        </w:tc>
        <w:tc>
          <w:tcPr>
            <w:tcW w:w="7" w:type="dxa"/>
            <w:tcBorders>
              <w:top w:val="single" w:color="auto" w:sz="4" w:space="0"/>
              <w:left w:val="single" w:color="auto" w:sz="4" w:space="0"/>
              <w:bottom w:val="single" w:color="auto" w:sz="4" w:space="0"/>
              <w:right w:val="single" w:color="auto" w:sz="4" w:space="0"/>
            </w:tcBorders>
            <w:vAlign w:val="center"/>
          </w:tcPr>
          <w:p>
            <w:pPr>
              <w:widowControl/>
              <w:snapToGrid w:val="0"/>
              <w:spacing w:after="0" w:line="240" w:lineRule="auto"/>
              <w:jc w:val="right"/>
              <w:rPr>
                <w:rFonts w:ascii="宋体" w:hAnsi="宋体"/>
                <w:color w:val="000000"/>
                <w:kern w:val="0"/>
                <w:sz w:val="24"/>
                <w:szCs w:val="24"/>
              </w:rPr>
            </w:pPr>
            <w:r>
              <w:rPr>
                <w:rFonts w:ascii="宋体" w:hAnsi="宋体"/>
                <w:color w:val="000000"/>
                <w:kern w:val="0"/>
                <w:sz w:val="24"/>
                <w:szCs w:val="24"/>
              </w:rPr>
              <w:t>750,722</w:t>
            </w:r>
          </w:p>
        </w:tc>
        <w:tc>
          <w:tcPr>
            <w:tcW w:w="7" w:type="dxa"/>
            <w:tcBorders>
              <w:top w:val="single" w:color="auto" w:sz="4" w:space="0"/>
              <w:left w:val="single" w:color="auto" w:sz="4" w:space="0"/>
              <w:bottom w:val="single" w:color="auto" w:sz="4" w:space="0"/>
              <w:right w:val="single" w:color="auto" w:sz="4" w:space="0"/>
            </w:tcBorders>
            <w:vAlign w:val="center"/>
          </w:tcPr>
          <w:p>
            <w:pPr>
              <w:widowControl/>
              <w:snapToGrid w:val="0"/>
              <w:spacing w:after="0" w:line="240" w:lineRule="auto"/>
              <w:jc w:val="right"/>
              <w:rPr>
                <w:rFonts w:ascii="宋体" w:hAnsi="宋体"/>
                <w:color w:val="000000"/>
                <w:kern w:val="0"/>
                <w:sz w:val="24"/>
                <w:szCs w:val="24"/>
              </w:rPr>
            </w:pPr>
            <w:r>
              <w:rPr>
                <w:rFonts w:ascii="宋体" w:hAnsi="宋体"/>
                <w:color w:val="000000"/>
                <w:kern w:val="0"/>
                <w:sz w:val="24"/>
                <w:szCs w:val="24"/>
              </w:rPr>
              <w:t>160,969,811.24</w:t>
            </w:r>
          </w:p>
        </w:tc>
        <w:tc>
          <w:tcPr>
            <w:tcW w:w="7" w:type="dxa"/>
            <w:tcBorders>
              <w:top w:val="single" w:color="auto" w:sz="4" w:space="0"/>
              <w:left w:val="single" w:color="auto" w:sz="4" w:space="0"/>
              <w:bottom w:val="single" w:color="auto" w:sz="4" w:space="0"/>
              <w:right w:val="single" w:color="auto" w:sz="4" w:space="0"/>
            </w:tcBorders>
            <w:vAlign w:val="center"/>
          </w:tcPr>
          <w:p>
            <w:pPr>
              <w:widowControl/>
              <w:snapToGrid w:val="0"/>
              <w:spacing w:after="0" w:line="240" w:lineRule="auto"/>
              <w:jc w:val="right"/>
              <w:rPr>
                <w:rFonts w:ascii="宋体" w:hAnsi="宋体"/>
                <w:color w:val="000000"/>
                <w:kern w:val="0"/>
                <w:sz w:val="24"/>
                <w:szCs w:val="24"/>
              </w:rPr>
            </w:pPr>
            <w:r>
              <w:rPr>
                <w:rFonts w:ascii="宋体" w:hAnsi="宋体"/>
                <w:color w:val="000000"/>
                <w:kern w:val="0"/>
                <w:sz w:val="24"/>
                <w:szCs w:val="24"/>
              </w:rPr>
              <w:t>3.96</w:t>
            </w:r>
          </w:p>
        </w:tc>
      </w:tr>
      <w:tr>
        <w:tblPrEx>
          <w:tblCellMar>
            <w:top w:w="0" w:type="dxa"/>
            <w:left w:w="0" w:type="dxa"/>
            <w:bottom w:w="0" w:type="dxa"/>
            <w:right w:w="0" w:type="dxa"/>
          </w:tblCellMar>
        </w:tblPrEx>
        <w:trPr>
          <w:cantSplit/>
          <w:trHeight w:val="375" w:hRule="atLeast"/>
        </w:trPr>
        <w:tc>
          <w:tcPr>
            <w:tcW w:w="7" w:type="dxa"/>
            <w:tcBorders>
              <w:top w:val="single" w:color="auto" w:sz="4" w:space="0"/>
              <w:left w:val="single" w:color="auto" w:sz="4" w:space="0"/>
              <w:bottom w:val="single" w:color="auto" w:sz="4" w:space="0"/>
              <w:right w:val="single" w:color="auto" w:sz="4" w:space="0"/>
            </w:tcBorders>
            <w:vAlign w:val="center"/>
          </w:tcPr>
          <w:p>
            <w:pPr>
              <w:widowControl/>
              <w:snapToGrid w:val="0"/>
              <w:spacing w:after="0" w:line="240" w:lineRule="auto"/>
              <w:jc w:val="center"/>
              <w:rPr>
                <w:rFonts w:ascii="宋体" w:hAnsi="宋体"/>
                <w:color w:val="000000"/>
                <w:kern w:val="0"/>
                <w:sz w:val="24"/>
                <w:szCs w:val="24"/>
              </w:rPr>
            </w:pPr>
            <w:r>
              <w:rPr>
                <w:rFonts w:ascii="宋体" w:hAnsi="宋体"/>
                <w:color w:val="000000"/>
                <w:kern w:val="0"/>
                <w:sz w:val="24"/>
                <w:szCs w:val="24"/>
              </w:rPr>
              <w:t>4</w:t>
            </w:r>
          </w:p>
        </w:tc>
        <w:tc>
          <w:tcPr>
            <w:tcW w:w="7" w:type="dxa"/>
            <w:tcBorders>
              <w:top w:val="single" w:color="auto" w:sz="4" w:space="0"/>
              <w:left w:val="single" w:color="auto" w:sz="4" w:space="0"/>
              <w:bottom w:val="single" w:color="auto" w:sz="4" w:space="0"/>
              <w:right w:val="single" w:color="auto" w:sz="4" w:space="0"/>
            </w:tcBorders>
            <w:vAlign w:val="center"/>
          </w:tcPr>
          <w:p>
            <w:pPr>
              <w:widowControl/>
              <w:snapToGrid w:val="0"/>
              <w:spacing w:after="0" w:line="240" w:lineRule="auto"/>
              <w:jc w:val="center"/>
              <w:rPr>
                <w:rFonts w:ascii="宋体" w:hAnsi="宋体"/>
                <w:color w:val="000000"/>
                <w:kern w:val="0"/>
                <w:sz w:val="24"/>
                <w:szCs w:val="24"/>
              </w:rPr>
            </w:pPr>
            <w:r>
              <w:rPr>
                <w:rFonts w:ascii="宋体" w:hAnsi="宋体"/>
                <w:color w:val="000000"/>
                <w:kern w:val="0"/>
                <w:sz w:val="24"/>
                <w:szCs w:val="24"/>
              </w:rPr>
              <w:t>002371</w:t>
            </w:r>
          </w:p>
        </w:tc>
        <w:tc>
          <w:tcPr>
            <w:tcW w:w="7" w:type="dxa"/>
            <w:tcBorders>
              <w:top w:val="single" w:color="auto" w:sz="4" w:space="0"/>
              <w:left w:val="single" w:color="auto" w:sz="4" w:space="0"/>
              <w:bottom w:val="single" w:color="auto" w:sz="4" w:space="0"/>
              <w:right w:val="single" w:color="auto" w:sz="4" w:space="0"/>
            </w:tcBorders>
            <w:vAlign w:val="center"/>
          </w:tcPr>
          <w:p>
            <w:pPr>
              <w:widowControl/>
              <w:snapToGrid w:val="0"/>
              <w:spacing w:after="0" w:line="240" w:lineRule="auto"/>
              <w:jc w:val="center"/>
              <w:rPr>
                <w:rFonts w:ascii="宋体" w:hAnsi="宋体"/>
                <w:color w:val="000000"/>
                <w:kern w:val="0"/>
                <w:sz w:val="24"/>
                <w:szCs w:val="24"/>
              </w:rPr>
            </w:pPr>
            <w:r>
              <w:rPr>
                <w:rFonts w:ascii="宋体" w:hAnsi="宋体"/>
                <w:color w:val="000000"/>
                <w:kern w:val="0"/>
                <w:sz w:val="24"/>
                <w:szCs w:val="24"/>
              </w:rPr>
              <w:t>北方华创</w:t>
            </w:r>
          </w:p>
        </w:tc>
        <w:tc>
          <w:tcPr>
            <w:tcW w:w="7" w:type="dxa"/>
            <w:tcBorders>
              <w:top w:val="single" w:color="auto" w:sz="4" w:space="0"/>
              <w:left w:val="single" w:color="auto" w:sz="4" w:space="0"/>
              <w:bottom w:val="single" w:color="auto" w:sz="4" w:space="0"/>
              <w:right w:val="single" w:color="auto" w:sz="4" w:space="0"/>
            </w:tcBorders>
            <w:vAlign w:val="center"/>
          </w:tcPr>
          <w:p>
            <w:pPr>
              <w:widowControl/>
              <w:snapToGrid w:val="0"/>
              <w:spacing w:after="0" w:line="240" w:lineRule="auto"/>
              <w:jc w:val="right"/>
              <w:rPr>
                <w:rFonts w:ascii="宋体" w:hAnsi="宋体"/>
                <w:color w:val="000000"/>
                <w:kern w:val="0"/>
                <w:sz w:val="24"/>
                <w:szCs w:val="24"/>
              </w:rPr>
            </w:pPr>
            <w:r>
              <w:rPr>
                <w:rFonts w:ascii="宋体" w:hAnsi="宋体"/>
                <w:color w:val="000000"/>
                <w:kern w:val="0"/>
                <w:sz w:val="24"/>
                <w:szCs w:val="24"/>
              </w:rPr>
              <w:t>172,700</w:t>
            </w:r>
          </w:p>
        </w:tc>
        <w:tc>
          <w:tcPr>
            <w:tcW w:w="7" w:type="dxa"/>
            <w:tcBorders>
              <w:top w:val="single" w:color="auto" w:sz="4" w:space="0"/>
              <w:left w:val="single" w:color="auto" w:sz="4" w:space="0"/>
              <w:bottom w:val="single" w:color="auto" w:sz="4" w:space="0"/>
              <w:right w:val="single" w:color="auto" w:sz="4" w:space="0"/>
            </w:tcBorders>
            <w:vAlign w:val="center"/>
          </w:tcPr>
          <w:p>
            <w:pPr>
              <w:widowControl/>
              <w:snapToGrid w:val="0"/>
              <w:spacing w:after="0" w:line="240" w:lineRule="auto"/>
              <w:jc w:val="right"/>
              <w:rPr>
                <w:rFonts w:ascii="宋体" w:hAnsi="宋体"/>
                <w:color w:val="000000"/>
                <w:kern w:val="0"/>
                <w:sz w:val="24"/>
                <w:szCs w:val="24"/>
              </w:rPr>
            </w:pPr>
            <w:r>
              <w:rPr>
                <w:rFonts w:ascii="宋体" w:hAnsi="宋体"/>
                <w:color w:val="000000"/>
                <w:kern w:val="0"/>
                <w:sz w:val="24"/>
                <w:szCs w:val="24"/>
              </w:rPr>
              <w:t>152,763,512.00</w:t>
            </w:r>
          </w:p>
        </w:tc>
        <w:tc>
          <w:tcPr>
            <w:tcW w:w="7" w:type="dxa"/>
            <w:tcBorders>
              <w:top w:val="single" w:color="auto" w:sz="4" w:space="0"/>
              <w:left w:val="single" w:color="auto" w:sz="4" w:space="0"/>
              <w:bottom w:val="single" w:color="auto" w:sz="4" w:space="0"/>
              <w:right w:val="single" w:color="auto" w:sz="4" w:space="0"/>
            </w:tcBorders>
            <w:vAlign w:val="center"/>
          </w:tcPr>
          <w:p>
            <w:pPr>
              <w:widowControl/>
              <w:snapToGrid w:val="0"/>
              <w:spacing w:after="0" w:line="240" w:lineRule="auto"/>
              <w:jc w:val="right"/>
              <w:rPr>
                <w:rFonts w:ascii="宋体" w:hAnsi="宋体"/>
                <w:color w:val="000000"/>
                <w:kern w:val="0"/>
                <w:sz w:val="24"/>
                <w:szCs w:val="24"/>
              </w:rPr>
            </w:pPr>
            <w:r>
              <w:rPr>
                <w:rFonts w:ascii="宋体" w:hAnsi="宋体"/>
                <w:color w:val="000000"/>
                <w:kern w:val="0"/>
                <w:sz w:val="24"/>
                <w:szCs w:val="24"/>
              </w:rPr>
              <w:t>3.75</w:t>
            </w:r>
          </w:p>
        </w:tc>
      </w:tr>
      <w:tr>
        <w:tblPrEx>
          <w:tblCellMar>
            <w:top w:w="0" w:type="dxa"/>
            <w:left w:w="0" w:type="dxa"/>
            <w:bottom w:w="0" w:type="dxa"/>
            <w:right w:w="0" w:type="dxa"/>
          </w:tblCellMar>
        </w:tblPrEx>
        <w:trPr>
          <w:cantSplit/>
          <w:trHeight w:val="375" w:hRule="atLeast"/>
        </w:trPr>
        <w:tc>
          <w:tcPr>
            <w:tcW w:w="7" w:type="dxa"/>
            <w:tcBorders>
              <w:top w:val="single" w:color="auto" w:sz="4" w:space="0"/>
              <w:left w:val="single" w:color="auto" w:sz="4" w:space="0"/>
              <w:bottom w:val="single" w:color="auto" w:sz="4" w:space="0"/>
              <w:right w:val="single" w:color="auto" w:sz="4" w:space="0"/>
            </w:tcBorders>
            <w:vAlign w:val="center"/>
          </w:tcPr>
          <w:p>
            <w:pPr>
              <w:widowControl/>
              <w:snapToGrid w:val="0"/>
              <w:spacing w:after="0" w:line="240" w:lineRule="auto"/>
              <w:jc w:val="center"/>
              <w:rPr>
                <w:rFonts w:ascii="宋体" w:hAnsi="宋体"/>
                <w:color w:val="000000"/>
                <w:kern w:val="0"/>
                <w:sz w:val="24"/>
                <w:szCs w:val="24"/>
              </w:rPr>
            </w:pPr>
            <w:r>
              <w:rPr>
                <w:rFonts w:ascii="宋体" w:hAnsi="宋体"/>
                <w:color w:val="000000"/>
                <w:kern w:val="0"/>
                <w:sz w:val="24"/>
                <w:szCs w:val="24"/>
              </w:rPr>
              <w:t>5</w:t>
            </w:r>
          </w:p>
        </w:tc>
        <w:tc>
          <w:tcPr>
            <w:tcW w:w="7" w:type="dxa"/>
            <w:tcBorders>
              <w:top w:val="single" w:color="auto" w:sz="4" w:space="0"/>
              <w:left w:val="single" w:color="auto" w:sz="4" w:space="0"/>
              <w:bottom w:val="single" w:color="auto" w:sz="4" w:space="0"/>
              <w:right w:val="single" w:color="auto" w:sz="4" w:space="0"/>
            </w:tcBorders>
            <w:vAlign w:val="center"/>
          </w:tcPr>
          <w:p>
            <w:pPr>
              <w:widowControl/>
              <w:snapToGrid w:val="0"/>
              <w:spacing w:after="0" w:line="240" w:lineRule="auto"/>
              <w:jc w:val="center"/>
              <w:rPr>
                <w:rFonts w:ascii="宋体" w:hAnsi="宋体"/>
                <w:color w:val="000000"/>
                <w:kern w:val="0"/>
                <w:sz w:val="24"/>
                <w:szCs w:val="24"/>
              </w:rPr>
            </w:pPr>
            <w:r>
              <w:rPr>
                <w:rFonts w:ascii="宋体" w:hAnsi="宋体"/>
                <w:color w:val="000000"/>
                <w:kern w:val="0"/>
                <w:sz w:val="24"/>
                <w:szCs w:val="24"/>
              </w:rPr>
              <w:t>688120</w:t>
            </w:r>
          </w:p>
        </w:tc>
        <w:tc>
          <w:tcPr>
            <w:tcW w:w="7" w:type="dxa"/>
            <w:tcBorders>
              <w:top w:val="single" w:color="auto" w:sz="4" w:space="0"/>
              <w:left w:val="single" w:color="auto" w:sz="4" w:space="0"/>
              <w:bottom w:val="single" w:color="auto" w:sz="4" w:space="0"/>
              <w:right w:val="single" w:color="auto" w:sz="4" w:space="0"/>
            </w:tcBorders>
            <w:vAlign w:val="center"/>
          </w:tcPr>
          <w:p>
            <w:pPr>
              <w:widowControl/>
              <w:snapToGrid w:val="0"/>
              <w:spacing w:after="0" w:line="240" w:lineRule="auto"/>
              <w:jc w:val="center"/>
              <w:rPr>
                <w:rFonts w:ascii="宋体" w:hAnsi="宋体"/>
                <w:color w:val="000000"/>
                <w:kern w:val="0"/>
                <w:sz w:val="24"/>
                <w:szCs w:val="24"/>
              </w:rPr>
            </w:pPr>
            <w:r>
              <w:rPr>
                <w:rFonts w:ascii="宋体" w:hAnsi="宋体"/>
                <w:color w:val="000000"/>
                <w:kern w:val="0"/>
                <w:sz w:val="24"/>
                <w:szCs w:val="24"/>
              </w:rPr>
              <w:t>华海清科</w:t>
            </w:r>
          </w:p>
        </w:tc>
        <w:tc>
          <w:tcPr>
            <w:tcW w:w="7" w:type="dxa"/>
            <w:tcBorders>
              <w:top w:val="single" w:color="auto" w:sz="4" w:space="0"/>
              <w:left w:val="single" w:color="auto" w:sz="4" w:space="0"/>
              <w:bottom w:val="single" w:color="auto" w:sz="4" w:space="0"/>
              <w:right w:val="single" w:color="auto" w:sz="4" w:space="0"/>
            </w:tcBorders>
            <w:vAlign w:val="center"/>
          </w:tcPr>
          <w:p>
            <w:pPr>
              <w:widowControl/>
              <w:snapToGrid w:val="0"/>
              <w:spacing w:after="0" w:line="240" w:lineRule="auto"/>
              <w:jc w:val="right"/>
              <w:rPr>
                <w:rFonts w:ascii="宋体" w:hAnsi="宋体"/>
                <w:color w:val="000000"/>
                <w:kern w:val="0"/>
                <w:sz w:val="24"/>
                <w:szCs w:val="24"/>
              </w:rPr>
            </w:pPr>
            <w:r>
              <w:rPr>
                <w:rFonts w:ascii="宋体" w:hAnsi="宋体"/>
                <w:color w:val="000000"/>
                <w:kern w:val="0"/>
                <w:sz w:val="24"/>
                <w:szCs w:val="24"/>
              </w:rPr>
              <w:t>376,896</w:t>
            </w:r>
          </w:p>
        </w:tc>
        <w:tc>
          <w:tcPr>
            <w:tcW w:w="7" w:type="dxa"/>
            <w:tcBorders>
              <w:top w:val="single" w:color="auto" w:sz="4" w:space="0"/>
              <w:left w:val="single" w:color="auto" w:sz="4" w:space="0"/>
              <w:bottom w:val="single" w:color="auto" w:sz="4" w:space="0"/>
              <w:right w:val="single" w:color="auto" w:sz="4" w:space="0"/>
            </w:tcBorders>
            <w:vAlign w:val="center"/>
          </w:tcPr>
          <w:p>
            <w:pPr>
              <w:widowControl/>
              <w:snapToGrid w:val="0"/>
              <w:spacing w:after="0" w:line="240" w:lineRule="auto"/>
              <w:jc w:val="right"/>
              <w:rPr>
                <w:rFonts w:ascii="宋体" w:hAnsi="宋体"/>
                <w:color w:val="000000"/>
                <w:kern w:val="0"/>
                <w:sz w:val="24"/>
                <w:szCs w:val="24"/>
              </w:rPr>
            </w:pPr>
            <w:r>
              <w:rPr>
                <w:rFonts w:ascii="宋体" w:hAnsi="宋体"/>
                <w:color w:val="000000"/>
                <w:kern w:val="0"/>
                <w:sz w:val="24"/>
                <w:szCs w:val="24"/>
              </w:rPr>
              <w:t>121,428,353.28</w:t>
            </w:r>
          </w:p>
        </w:tc>
        <w:tc>
          <w:tcPr>
            <w:tcW w:w="7" w:type="dxa"/>
            <w:tcBorders>
              <w:top w:val="single" w:color="auto" w:sz="4" w:space="0"/>
              <w:left w:val="single" w:color="auto" w:sz="4" w:space="0"/>
              <w:bottom w:val="single" w:color="auto" w:sz="4" w:space="0"/>
              <w:right w:val="single" w:color="auto" w:sz="4" w:space="0"/>
            </w:tcBorders>
            <w:vAlign w:val="center"/>
          </w:tcPr>
          <w:p>
            <w:pPr>
              <w:widowControl/>
              <w:snapToGrid w:val="0"/>
              <w:spacing w:after="0" w:line="240" w:lineRule="auto"/>
              <w:jc w:val="right"/>
              <w:rPr>
                <w:rFonts w:ascii="宋体" w:hAnsi="宋体"/>
                <w:color w:val="000000"/>
                <w:kern w:val="0"/>
                <w:sz w:val="24"/>
                <w:szCs w:val="24"/>
              </w:rPr>
            </w:pPr>
            <w:r>
              <w:rPr>
                <w:rFonts w:ascii="宋体" w:hAnsi="宋体"/>
                <w:color w:val="000000"/>
                <w:kern w:val="0"/>
                <w:sz w:val="24"/>
                <w:szCs w:val="24"/>
              </w:rPr>
              <w:t>2.98</w:t>
            </w:r>
          </w:p>
        </w:tc>
      </w:tr>
      <w:tr>
        <w:tblPrEx>
          <w:tblCellMar>
            <w:top w:w="0" w:type="dxa"/>
            <w:left w:w="0" w:type="dxa"/>
            <w:bottom w:w="0" w:type="dxa"/>
            <w:right w:w="0" w:type="dxa"/>
          </w:tblCellMar>
        </w:tblPrEx>
        <w:trPr>
          <w:cantSplit/>
          <w:trHeight w:val="375" w:hRule="atLeast"/>
        </w:trPr>
        <w:tc>
          <w:tcPr>
            <w:tcW w:w="7" w:type="dxa"/>
            <w:tcBorders>
              <w:top w:val="single" w:color="auto" w:sz="4" w:space="0"/>
              <w:left w:val="single" w:color="auto" w:sz="4" w:space="0"/>
              <w:bottom w:val="single" w:color="auto" w:sz="4" w:space="0"/>
              <w:right w:val="single" w:color="auto" w:sz="4" w:space="0"/>
            </w:tcBorders>
            <w:vAlign w:val="center"/>
          </w:tcPr>
          <w:p>
            <w:pPr>
              <w:widowControl/>
              <w:snapToGrid w:val="0"/>
              <w:spacing w:after="0" w:line="240" w:lineRule="auto"/>
              <w:jc w:val="center"/>
              <w:rPr>
                <w:rFonts w:ascii="宋体" w:hAnsi="宋体"/>
                <w:color w:val="000000"/>
                <w:kern w:val="0"/>
                <w:sz w:val="24"/>
                <w:szCs w:val="24"/>
              </w:rPr>
            </w:pPr>
            <w:r>
              <w:rPr>
                <w:rFonts w:ascii="宋体" w:hAnsi="宋体"/>
                <w:color w:val="000000"/>
                <w:kern w:val="0"/>
                <w:sz w:val="24"/>
                <w:szCs w:val="24"/>
              </w:rPr>
              <w:t>6</w:t>
            </w:r>
          </w:p>
        </w:tc>
        <w:tc>
          <w:tcPr>
            <w:tcW w:w="7" w:type="dxa"/>
            <w:tcBorders>
              <w:top w:val="single" w:color="auto" w:sz="4" w:space="0"/>
              <w:left w:val="single" w:color="auto" w:sz="4" w:space="0"/>
              <w:bottom w:val="single" w:color="auto" w:sz="4" w:space="0"/>
              <w:right w:val="single" w:color="auto" w:sz="4" w:space="0"/>
            </w:tcBorders>
            <w:vAlign w:val="center"/>
          </w:tcPr>
          <w:p>
            <w:pPr>
              <w:widowControl/>
              <w:snapToGrid w:val="0"/>
              <w:spacing w:after="0" w:line="240" w:lineRule="auto"/>
              <w:jc w:val="center"/>
              <w:rPr>
                <w:rFonts w:ascii="宋体" w:hAnsi="宋体"/>
                <w:color w:val="000000"/>
                <w:kern w:val="0"/>
                <w:sz w:val="24"/>
                <w:szCs w:val="24"/>
              </w:rPr>
            </w:pPr>
            <w:r>
              <w:rPr>
                <w:rFonts w:ascii="宋体" w:hAnsi="宋体"/>
                <w:color w:val="000000"/>
                <w:kern w:val="0"/>
                <w:sz w:val="24"/>
                <w:szCs w:val="24"/>
              </w:rPr>
              <w:t>688041</w:t>
            </w:r>
          </w:p>
        </w:tc>
        <w:tc>
          <w:tcPr>
            <w:tcW w:w="7" w:type="dxa"/>
            <w:tcBorders>
              <w:top w:val="single" w:color="auto" w:sz="4" w:space="0"/>
              <w:left w:val="single" w:color="auto" w:sz="4" w:space="0"/>
              <w:bottom w:val="single" w:color="auto" w:sz="4" w:space="0"/>
              <w:right w:val="single" w:color="auto" w:sz="4" w:space="0"/>
            </w:tcBorders>
            <w:vAlign w:val="center"/>
          </w:tcPr>
          <w:p>
            <w:pPr>
              <w:widowControl/>
              <w:snapToGrid w:val="0"/>
              <w:spacing w:after="0" w:line="240" w:lineRule="auto"/>
              <w:jc w:val="center"/>
              <w:rPr>
                <w:rFonts w:ascii="宋体" w:hAnsi="宋体"/>
                <w:color w:val="000000"/>
                <w:kern w:val="0"/>
                <w:sz w:val="24"/>
                <w:szCs w:val="24"/>
              </w:rPr>
            </w:pPr>
            <w:r>
              <w:rPr>
                <w:rFonts w:ascii="宋体" w:hAnsi="宋体"/>
                <w:color w:val="000000"/>
                <w:kern w:val="0"/>
                <w:sz w:val="24"/>
                <w:szCs w:val="24"/>
              </w:rPr>
              <w:t>海光信息</w:t>
            </w:r>
          </w:p>
        </w:tc>
        <w:tc>
          <w:tcPr>
            <w:tcW w:w="7" w:type="dxa"/>
            <w:tcBorders>
              <w:top w:val="single" w:color="auto" w:sz="4" w:space="0"/>
              <w:left w:val="single" w:color="auto" w:sz="4" w:space="0"/>
              <w:bottom w:val="single" w:color="auto" w:sz="4" w:space="0"/>
              <w:right w:val="single" w:color="auto" w:sz="4" w:space="0"/>
            </w:tcBorders>
            <w:vAlign w:val="center"/>
          </w:tcPr>
          <w:p>
            <w:pPr>
              <w:widowControl/>
              <w:snapToGrid w:val="0"/>
              <w:spacing w:after="0" w:line="240" w:lineRule="auto"/>
              <w:jc w:val="right"/>
              <w:rPr>
                <w:rFonts w:ascii="宋体" w:hAnsi="宋体"/>
                <w:color w:val="000000"/>
                <w:kern w:val="0"/>
                <w:sz w:val="24"/>
                <w:szCs w:val="24"/>
              </w:rPr>
            </w:pPr>
            <w:r>
              <w:rPr>
                <w:rFonts w:ascii="宋体" w:hAnsi="宋体"/>
                <w:color w:val="000000"/>
                <w:kern w:val="0"/>
                <w:sz w:val="24"/>
                <w:szCs w:val="24"/>
              </w:rPr>
              <w:t>316,893</w:t>
            </w:r>
          </w:p>
        </w:tc>
        <w:tc>
          <w:tcPr>
            <w:tcW w:w="7" w:type="dxa"/>
            <w:tcBorders>
              <w:top w:val="single" w:color="auto" w:sz="4" w:space="0"/>
              <w:left w:val="single" w:color="auto" w:sz="4" w:space="0"/>
              <w:bottom w:val="single" w:color="auto" w:sz="4" w:space="0"/>
              <w:right w:val="single" w:color="auto" w:sz="4" w:space="0"/>
            </w:tcBorders>
            <w:vAlign w:val="center"/>
          </w:tcPr>
          <w:p>
            <w:pPr>
              <w:widowControl/>
              <w:snapToGrid w:val="0"/>
              <w:spacing w:after="0" w:line="240" w:lineRule="auto"/>
              <w:jc w:val="right"/>
              <w:rPr>
                <w:rFonts w:ascii="宋体" w:hAnsi="宋体"/>
                <w:color w:val="000000"/>
                <w:kern w:val="0"/>
                <w:sz w:val="24"/>
                <w:szCs w:val="24"/>
              </w:rPr>
            </w:pPr>
            <w:r>
              <w:rPr>
                <w:rFonts w:ascii="宋体" w:hAnsi="宋体"/>
                <w:color w:val="000000"/>
                <w:kern w:val="0"/>
                <w:sz w:val="24"/>
                <w:szCs w:val="24"/>
              </w:rPr>
              <w:t>117,345,477.90</w:t>
            </w:r>
          </w:p>
        </w:tc>
        <w:tc>
          <w:tcPr>
            <w:tcW w:w="7" w:type="dxa"/>
            <w:tcBorders>
              <w:top w:val="single" w:color="auto" w:sz="4" w:space="0"/>
              <w:left w:val="single" w:color="auto" w:sz="4" w:space="0"/>
              <w:bottom w:val="single" w:color="auto" w:sz="4" w:space="0"/>
              <w:right w:val="single" w:color="auto" w:sz="4" w:space="0"/>
            </w:tcBorders>
            <w:vAlign w:val="center"/>
          </w:tcPr>
          <w:p>
            <w:pPr>
              <w:widowControl/>
              <w:snapToGrid w:val="0"/>
              <w:spacing w:after="0" w:line="240" w:lineRule="auto"/>
              <w:jc w:val="right"/>
              <w:rPr>
                <w:rFonts w:ascii="宋体" w:hAnsi="宋体"/>
                <w:color w:val="000000"/>
                <w:kern w:val="0"/>
                <w:sz w:val="24"/>
                <w:szCs w:val="24"/>
              </w:rPr>
            </w:pPr>
            <w:r>
              <w:rPr>
                <w:rFonts w:ascii="宋体" w:hAnsi="宋体"/>
                <w:color w:val="000000"/>
                <w:kern w:val="0"/>
                <w:sz w:val="24"/>
                <w:szCs w:val="24"/>
              </w:rPr>
              <w:t>2.88</w:t>
            </w:r>
          </w:p>
        </w:tc>
      </w:tr>
      <w:tr>
        <w:tblPrEx>
          <w:tblCellMar>
            <w:top w:w="0" w:type="dxa"/>
            <w:left w:w="0" w:type="dxa"/>
            <w:bottom w:w="0" w:type="dxa"/>
            <w:right w:w="0" w:type="dxa"/>
          </w:tblCellMar>
        </w:tblPrEx>
        <w:trPr>
          <w:cantSplit/>
          <w:trHeight w:val="375" w:hRule="atLeast"/>
        </w:trPr>
        <w:tc>
          <w:tcPr>
            <w:tcW w:w="7" w:type="dxa"/>
            <w:tcBorders>
              <w:top w:val="single" w:color="auto" w:sz="4" w:space="0"/>
              <w:left w:val="single" w:color="auto" w:sz="4" w:space="0"/>
              <w:bottom w:val="single" w:color="auto" w:sz="4" w:space="0"/>
              <w:right w:val="single" w:color="auto" w:sz="4" w:space="0"/>
            </w:tcBorders>
            <w:vAlign w:val="center"/>
          </w:tcPr>
          <w:p>
            <w:pPr>
              <w:widowControl/>
              <w:snapToGrid w:val="0"/>
              <w:spacing w:after="0" w:line="240" w:lineRule="auto"/>
              <w:jc w:val="center"/>
              <w:rPr>
                <w:rFonts w:ascii="宋体" w:hAnsi="宋体"/>
                <w:color w:val="000000"/>
                <w:kern w:val="0"/>
                <w:sz w:val="24"/>
                <w:szCs w:val="24"/>
              </w:rPr>
            </w:pPr>
            <w:r>
              <w:rPr>
                <w:rFonts w:ascii="宋体" w:hAnsi="宋体"/>
                <w:color w:val="000000"/>
                <w:kern w:val="0"/>
                <w:sz w:val="24"/>
                <w:szCs w:val="24"/>
              </w:rPr>
              <w:t>7</w:t>
            </w:r>
          </w:p>
        </w:tc>
        <w:tc>
          <w:tcPr>
            <w:tcW w:w="7" w:type="dxa"/>
            <w:tcBorders>
              <w:top w:val="single" w:color="auto" w:sz="4" w:space="0"/>
              <w:left w:val="single" w:color="auto" w:sz="4" w:space="0"/>
              <w:bottom w:val="single" w:color="auto" w:sz="4" w:space="0"/>
              <w:right w:val="single" w:color="auto" w:sz="4" w:space="0"/>
            </w:tcBorders>
            <w:vAlign w:val="center"/>
          </w:tcPr>
          <w:p>
            <w:pPr>
              <w:widowControl/>
              <w:snapToGrid w:val="0"/>
              <w:spacing w:after="0" w:line="240" w:lineRule="auto"/>
              <w:jc w:val="center"/>
              <w:rPr>
                <w:rFonts w:ascii="宋体" w:hAnsi="宋体"/>
                <w:color w:val="000000"/>
                <w:kern w:val="0"/>
                <w:sz w:val="24"/>
                <w:szCs w:val="24"/>
              </w:rPr>
            </w:pPr>
            <w:r>
              <w:rPr>
                <w:rFonts w:ascii="宋体" w:hAnsi="宋体"/>
                <w:color w:val="000000"/>
                <w:kern w:val="0"/>
                <w:sz w:val="24"/>
                <w:szCs w:val="24"/>
              </w:rPr>
              <w:t>688172</w:t>
            </w:r>
          </w:p>
        </w:tc>
        <w:tc>
          <w:tcPr>
            <w:tcW w:w="7" w:type="dxa"/>
            <w:tcBorders>
              <w:top w:val="single" w:color="auto" w:sz="4" w:space="0"/>
              <w:left w:val="single" w:color="auto" w:sz="4" w:space="0"/>
              <w:bottom w:val="single" w:color="auto" w:sz="4" w:space="0"/>
              <w:right w:val="single" w:color="auto" w:sz="4" w:space="0"/>
            </w:tcBorders>
            <w:vAlign w:val="center"/>
          </w:tcPr>
          <w:p>
            <w:pPr>
              <w:widowControl/>
              <w:snapToGrid w:val="0"/>
              <w:spacing w:after="0" w:line="240" w:lineRule="auto"/>
              <w:jc w:val="center"/>
              <w:rPr>
                <w:rFonts w:ascii="宋体" w:hAnsi="宋体"/>
                <w:color w:val="000000"/>
                <w:kern w:val="0"/>
                <w:sz w:val="24"/>
                <w:szCs w:val="24"/>
              </w:rPr>
            </w:pPr>
            <w:r>
              <w:rPr>
                <w:rFonts w:ascii="宋体" w:hAnsi="宋体"/>
                <w:color w:val="000000"/>
                <w:kern w:val="0"/>
                <w:sz w:val="24"/>
                <w:szCs w:val="24"/>
              </w:rPr>
              <w:t>燕东微</w:t>
            </w:r>
          </w:p>
        </w:tc>
        <w:tc>
          <w:tcPr>
            <w:tcW w:w="7" w:type="dxa"/>
            <w:tcBorders>
              <w:top w:val="single" w:color="auto" w:sz="4" w:space="0"/>
              <w:left w:val="single" w:color="auto" w:sz="4" w:space="0"/>
              <w:bottom w:val="single" w:color="auto" w:sz="4" w:space="0"/>
              <w:right w:val="single" w:color="auto" w:sz="4" w:space="0"/>
            </w:tcBorders>
            <w:vAlign w:val="center"/>
          </w:tcPr>
          <w:p>
            <w:pPr>
              <w:widowControl/>
              <w:snapToGrid w:val="0"/>
              <w:spacing w:after="0" w:line="240" w:lineRule="auto"/>
              <w:jc w:val="right"/>
              <w:rPr>
                <w:rFonts w:ascii="宋体" w:hAnsi="宋体"/>
                <w:color w:val="000000"/>
                <w:kern w:val="0"/>
                <w:sz w:val="24"/>
                <w:szCs w:val="24"/>
              </w:rPr>
            </w:pPr>
            <w:r>
              <w:rPr>
                <w:rFonts w:ascii="宋体" w:hAnsi="宋体"/>
                <w:color w:val="000000"/>
                <w:kern w:val="0"/>
                <w:sz w:val="24"/>
                <w:szCs w:val="24"/>
              </w:rPr>
              <w:t>1,314,879</w:t>
            </w:r>
          </w:p>
        </w:tc>
        <w:tc>
          <w:tcPr>
            <w:tcW w:w="7" w:type="dxa"/>
            <w:tcBorders>
              <w:top w:val="single" w:color="auto" w:sz="4" w:space="0"/>
              <w:left w:val="single" w:color="auto" w:sz="4" w:space="0"/>
              <w:bottom w:val="single" w:color="auto" w:sz="4" w:space="0"/>
              <w:right w:val="single" w:color="auto" w:sz="4" w:space="0"/>
            </w:tcBorders>
            <w:vAlign w:val="center"/>
          </w:tcPr>
          <w:p>
            <w:pPr>
              <w:widowControl/>
              <w:snapToGrid w:val="0"/>
              <w:spacing w:after="0" w:line="240" w:lineRule="auto"/>
              <w:jc w:val="right"/>
              <w:rPr>
                <w:rFonts w:ascii="宋体" w:hAnsi="宋体"/>
                <w:color w:val="000000"/>
                <w:kern w:val="0"/>
                <w:sz w:val="24"/>
                <w:szCs w:val="24"/>
              </w:rPr>
            </w:pPr>
            <w:r>
              <w:rPr>
                <w:rFonts w:ascii="宋体" w:hAnsi="宋体"/>
                <w:color w:val="000000"/>
                <w:kern w:val="0"/>
                <w:sz w:val="24"/>
                <w:szCs w:val="24"/>
              </w:rPr>
              <w:t>110,002,777.14</w:t>
            </w:r>
          </w:p>
        </w:tc>
        <w:tc>
          <w:tcPr>
            <w:tcW w:w="7" w:type="dxa"/>
            <w:tcBorders>
              <w:top w:val="single" w:color="auto" w:sz="4" w:space="0"/>
              <w:left w:val="single" w:color="auto" w:sz="4" w:space="0"/>
              <w:bottom w:val="single" w:color="auto" w:sz="4" w:space="0"/>
              <w:right w:val="single" w:color="auto" w:sz="4" w:space="0"/>
            </w:tcBorders>
            <w:vAlign w:val="center"/>
          </w:tcPr>
          <w:p>
            <w:pPr>
              <w:widowControl/>
              <w:snapToGrid w:val="0"/>
              <w:spacing w:after="0" w:line="240" w:lineRule="auto"/>
              <w:jc w:val="right"/>
              <w:rPr>
                <w:rFonts w:ascii="宋体" w:hAnsi="宋体"/>
                <w:color w:val="000000"/>
                <w:kern w:val="0"/>
                <w:sz w:val="24"/>
                <w:szCs w:val="24"/>
              </w:rPr>
            </w:pPr>
            <w:r>
              <w:rPr>
                <w:rFonts w:ascii="宋体" w:hAnsi="宋体"/>
                <w:color w:val="000000"/>
                <w:kern w:val="0"/>
                <w:sz w:val="24"/>
                <w:szCs w:val="24"/>
              </w:rPr>
              <w:t>2.70</w:t>
            </w:r>
          </w:p>
        </w:tc>
      </w:tr>
      <w:tr>
        <w:tblPrEx>
          <w:tblCellMar>
            <w:top w:w="0" w:type="dxa"/>
            <w:left w:w="0" w:type="dxa"/>
            <w:bottom w:w="0" w:type="dxa"/>
            <w:right w:w="0" w:type="dxa"/>
          </w:tblCellMar>
        </w:tblPrEx>
        <w:trPr>
          <w:cantSplit/>
          <w:trHeight w:val="375" w:hRule="atLeast"/>
        </w:trPr>
        <w:tc>
          <w:tcPr>
            <w:tcW w:w="7" w:type="dxa"/>
            <w:tcBorders>
              <w:top w:val="single" w:color="auto" w:sz="4" w:space="0"/>
              <w:left w:val="single" w:color="auto" w:sz="4" w:space="0"/>
              <w:bottom w:val="single" w:color="auto" w:sz="4" w:space="0"/>
              <w:right w:val="single" w:color="auto" w:sz="4" w:space="0"/>
            </w:tcBorders>
            <w:vAlign w:val="center"/>
          </w:tcPr>
          <w:p>
            <w:pPr>
              <w:widowControl/>
              <w:snapToGrid w:val="0"/>
              <w:spacing w:after="0" w:line="240" w:lineRule="auto"/>
              <w:jc w:val="center"/>
              <w:rPr>
                <w:rFonts w:ascii="宋体" w:hAnsi="宋体"/>
                <w:color w:val="000000"/>
                <w:kern w:val="0"/>
                <w:sz w:val="24"/>
                <w:szCs w:val="24"/>
              </w:rPr>
            </w:pPr>
            <w:r>
              <w:rPr>
                <w:rFonts w:ascii="宋体" w:hAnsi="宋体"/>
                <w:color w:val="000000"/>
                <w:kern w:val="0"/>
                <w:sz w:val="24"/>
                <w:szCs w:val="24"/>
              </w:rPr>
              <w:t>8</w:t>
            </w:r>
          </w:p>
        </w:tc>
        <w:tc>
          <w:tcPr>
            <w:tcW w:w="7" w:type="dxa"/>
            <w:tcBorders>
              <w:top w:val="single" w:color="auto" w:sz="4" w:space="0"/>
              <w:left w:val="single" w:color="auto" w:sz="4" w:space="0"/>
              <w:bottom w:val="single" w:color="auto" w:sz="4" w:space="0"/>
              <w:right w:val="single" w:color="auto" w:sz="4" w:space="0"/>
            </w:tcBorders>
            <w:vAlign w:val="center"/>
          </w:tcPr>
          <w:p>
            <w:pPr>
              <w:widowControl/>
              <w:snapToGrid w:val="0"/>
              <w:spacing w:after="0" w:line="240" w:lineRule="auto"/>
              <w:jc w:val="center"/>
              <w:rPr>
                <w:rFonts w:ascii="宋体" w:hAnsi="宋体"/>
                <w:color w:val="000000"/>
                <w:kern w:val="0"/>
                <w:sz w:val="24"/>
                <w:szCs w:val="24"/>
              </w:rPr>
            </w:pPr>
            <w:r>
              <w:rPr>
                <w:rFonts w:ascii="宋体" w:hAnsi="宋体"/>
                <w:color w:val="000000"/>
                <w:kern w:val="0"/>
                <w:sz w:val="24"/>
                <w:szCs w:val="24"/>
              </w:rPr>
              <w:t>688012</w:t>
            </w:r>
          </w:p>
        </w:tc>
        <w:tc>
          <w:tcPr>
            <w:tcW w:w="7" w:type="dxa"/>
            <w:tcBorders>
              <w:top w:val="single" w:color="auto" w:sz="4" w:space="0"/>
              <w:left w:val="single" w:color="auto" w:sz="4" w:space="0"/>
              <w:bottom w:val="single" w:color="auto" w:sz="4" w:space="0"/>
              <w:right w:val="single" w:color="auto" w:sz="4" w:space="0"/>
            </w:tcBorders>
            <w:vAlign w:val="center"/>
          </w:tcPr>
          <w:p>
            <w:pPr>
              <w:widowControl/>
              <w:snapToGrid w:val="0"/>
              <w:spacing w:after="0" w:line="240" w:lineRule="auto"/>
              <w:jc w:val="center"/>
              <w:rPr>
                <w:rFonts w:ascii="宋体" w:hAnsi="宋体"/>
                <w:color w:val="000000"/>
                <w:kern w:val="0"/>
                <w:sz w:val="24"/>
                <w:szCs w:val="24"/>
              </w:rPr>
            </w:pPr>
            <w:r>
              <w:rPr>
                <w:rFonts w:ascii="宋体" w:hAnsi="宋体"/>
                <w:color w:val="000000"/>
                <w:kern w:val="0"/>
                <w:sz w:val="24"/>
                <w:szCs w:val="24"/>
              </w:rPr>
              <w:t>中微公司</w:t>
            </w:r>
          </w:p>
        </w:tc>
        <w:tc>
          <w:tcPr>
            <w:tcW w:w="7" w:type="dxa"/>
            <w:tcBorders>
              <w:top w:val="single" w:color="auto" w:sz="4" w:space="0"/>
              <w:left w:val="single" w:color="auto" w:sz="4" w:space="0"/>
              <w:bottom w:val="single" w:color="auto" w:sz="4" w:space="0"/>
              <w:right w:val="single" w:color="auto" w:sz="4" w:space="0"/>
            </w:tcBorders>
            <w:vAlign w:val="center"/>
          </w:tcPr>
          <w:p>
            <w:pPr>
              <w:widowControl/>
              <w:snapToGrid w:val="0"/>
              <w:spacing w:after="0" w:line="240" w:lineRule="auto"/>
              <w:jc w:val="right"/>
              <w:rPr>
                <w:rFonts w:ascii="宋体" w:hAnsi="宋体"/>
                <w:color w:val="000000"/>
                <w:kern w:val="0"/>
                <w:sz w:val="24"/>
                <w:szCs w:val="24"/>
              </w:rPr>
            </w:pPr>
            <w:r>
              <w:rPr>
                <w:rFonts w:ascii="宋体" w:hAnsi="宋体"/>
                <w:color w:val="000000"/>
                <w:kern w:val="0"/>
                <w:sz w:val="24"/>
                <w:szCs w:val="24"/>
              </w:rPr>
              <w:t>229,786</w:t>
            </w:r>
          </w:p>
        </w:tc>
        <w:tc>
          <w:tcPr>
            <w:tcW w:w="7" w:type="dxa"/>
            <w:tcBorders>
              <w:top w:val="single" w:color="auto" w:sz="4" w:space="0"/>
              <w:left w:val="single" w:color="auto" w:sz="4" w:space="0"/>
              <w:bottom w:val="single" w:color="auto" w:sz="4" w:space="0"/>
              <w:right w:val="single" w:color="auto" w:sz="4" w:space="0"/>
            </w:tcBorders>
            <w:vAlign w:val="center"/>
          </w:tcPr>
          <w:p>
            <w:pPr>
              <w:widowControl/>
              <w:snapToGrid w:val="0"/>
              <w:spacing w:after="0" w:line="240" w:lineRule="auto"/>
              <w:jc w:val="right"/>
              <w:rPr>
                <w:rFonts w:ascii="宋体" w:hAnsi="宋体"/>
                <w:color w:val="000000"/>
                <w:kern w:val="0"/>
                <w:sz w:val="24"/>
                <w:szCs w:val="24"/>
              </w:rPr>
            </w:pPr>
            <w:r>
              <w:rPr>
                <w:rFonts w:ascii="宋体" w:hAnsi="宋体"/>
                <w:color w:val="000000"/>
                <w:kern w:val="0"/>
                <w:sz w:val="24"/>
                <w:szCs w:val="24"/>
              </w:rPr>
              <w:t>107,654,741.00</w:t>
            </w:r>
          </w:p>
        </w:tc>
        <w:tc>
          <w:tcPr>
            <w:tcW w:w="7" w:type="dxa"/>
            <w:tcBorders>
              <w:top w:val="single" w:color="auto" w:sz="4" w:space="0"/>
              <w:left w:val="single" w:color="auto" w:sz="4" w:space="0"/>
              <w:bottom w:val="single" w:color="auto" w:sz="4" w:space="0"/>
              <w:right w:val="single" w:color="auto" w:sz="4" w:space="0"/>
            </w:tcBorders>
            <w:vAlign w:val="center"/>
          </w:tcPr>
          <w:p>
            <w:pPr>
              <w:widowControl/>
              <w:snapToGrid w:val="0"/>
              <w:spacing w:after="0" w:line="240" w:lineRule="auto"/>
              <w:jc w:val="right"/>
              <w:rPr>
                <w:rFonts w:ascii="宋体" w:hAnsi="宋体"/>
                <w:color w:val="000000"/>
                <w:kern w:val="0"/>
                <w:sz w:val="24"/>
                <w:szCs w:val="24"/>
              </w:rPr>
            </w:pPr>
            <w:r>
              <w:rPr>
                <w:rFonts w:ascii="宋体" w:hAnsi="宋体"/>
                <w:color w:val="000000"/>
                <w:kern w:val="0"/>
                <w:sz w:val="24"/>
                <w:szCs w:val="24"/>
              </w:rPr>
              <w:t>2.65</w:t>
            </w:r>
          </w:p>
        </w:tc>
      </w:tr>
      <w:tr>
        <w:tblPrEx>
          <w:tblCellMar>
            <w:top w:w="0" w:type="dxa"/>
            <w:left w:w="0" w:type="dxa"/>
            <w:bottom w:w="0" w:type="dxa"/>
            <w:right w:w="0" w:type="dxa"/>
          </w:tblCellMar>
        </w:tblPrEx>
        <w:trPr>
          <w:cantSplit/>
          <w:trHeight w:val="375" w:hRule="atLeast"/>
        </w:trPr>
        <w:tc>
          <w:tcPr>
            <w:tcW w:w="7" w:type="dxa"/>
            <w:tcBorders>
              <w:top w:val="single" w:color="auto" w:sz="4" w:space="0"/>
              <w:left w:val="single" w:color="auto" w:sz="4" w:space="0"/>
              <w:bottom w:val="single" w:color="auto" w:sz="4" w:space="0"/>
              <w:right w:val="single" w:color="auto" w:sz="4" w:space="0"/>
            </w:tcBorders>
            <w:vAlign w:val="center"/>
          </w:tcPr>
          <w:p>
            <w:pPr>
              <w:widowControl/>
              <w:snapToGrid w:val="0"/>
              <w:spacing w:after="0" w:line="240" w:lineRule="auto"/>
              <w:jc w:val="center"/>
              <w:rPr>
                <w:rFonts w:ascii="宋体" w:hAnsi="宋体"/>
                <w:color w:val="000000"/>
                <w:kern w:val="0"/>
                <w:sz w:val="24"/>
                <w:szCs w:val="24"/>
              </w:rPr>
            </w:pPr>
            <w:r>
              <w:rPr>
                <w:rFonts w:ascii="宋体" w:hAnsi="宋体"/>
                <w:color w:val="000000"/>
                <w:kern w:val="0"/>
                <w:sz w:val="24"/>
                <w:szCs w:val="24"/>
              </w:rPr>
              <w:t>9</w:t>
            </w:r>
          </w:p>
        </w:tc>
        <w:tc>
          <w:tcPr>
            <w:tcW w:w="7" w:type="dxa"/>
            <w:tcBorders>
              <w:top w:val="single" w:color="auto" w:sz="4" w:space="0"/>
              <w:left w:val="single" w:color="auto" w:sz="4" w:space="0"/>
              <w:bottom w:val="single" w:color="auto" w:sz="4" w:space="0"/>
              <w:right w:val="single" w:color="auto" w:sz="4" w:space="0"/>
            </w:tcBorders>
            <w:vAlign w:val="center"/>
          </w:tcPr>
          <w:p>
            <w:pPr>
              <w:widowControl/>
              <w:snapToGrid w:val="0"/>
              <w:spacing w:after="0" w:line="240" w:lineRule="auto"/>
              <w:jc w:val="center"/>
              <w:rPr>
                <w:rFonts w:ascii="宋体" w:hAnsi="宋体"/>
                <w:color w:val="000000"/>
                <w:kern w:val="0"/>
                <w:sz w:val="24"/>
                <w:szCs w:val="24"/>
              </w:rPr>
            </w:pPr>
            <w:r>
              <w:rPr>
                <w:rFonts w:ascii="宋体" w:hAnsi="宋体"/>
                <w:color w:val="000000"/>
                <w:kern w:val="0"/>
                <w:sz w:val="24"/>
                <w:szCs w:val="24"/>
              </w:rPr>
              <w:t>688596</w:t>
            </w:r>
          </w:p>
        </w:tc>
        <w:tc>
          <w:tcPr>
            <w:tcW w:w="7" w:type="dxa"/>
            <w:tcBorders>
              <w:top w:val="single" w:color="auto" w:sz="4" w:space="0"/>
              <w:left w:val="single" w:color="auto" w:sz="4" w:space="0"/>
              <w:bottom w:val="single" w:color="auto" w:sz="4" w:space="0"/>
              <w:right w:val="single" w:color="auto" w:sz="4" w:space="0"/>
            </w:tcBorders>
            <w:vAlign w:val="center"/>
          </w:tcPr>
          <w:p>
            <w:pPr>
              <w:widowControl/>
              <w:snapToGrid w:val="0"/>
              <w:spacing w:after="0" w:line="240" w:lineRule="auto"/>
              <w:jc w:val="center"/>
              <w:rPr>
                <w:rFonts w:ascii="宋体" w:hAnsi="宋体"/>
                <w:color w:val="000000"/>
                <w:kern w:val="0"/>
                <w:sz w:val="24"/>
                <w:szCs w:val="24"/>
              </w:rPr>
            </w:pPr>
            <w:r>
              <w:rPr>
                <w:rFonts w:ascii="宋体" w:hAnsi="宋体"/>
                <w:color w:val="000000"/>
                <w:kern w:val="0"/>
                <w:sz w:val="24"/>
                <w:szCs w:val="24"/>
              </w:rPr>
              <w:t>正帆科技</w:t>
            </w:r>
          </w:p>
        </w:tc>
        <w:tc>
          <w:tcPr>
            <w:tcW w:w="7" w:type="dxa"/>
            <w:tcBorders>
              <w:top w:val="single" w:color="auto" w:sz="4" w:space="0"/>
              <w:left w:val="single" w:color="auto" w:sz="4" w:space="0"/>
              <w:bottom w:val="single" w:color="auto" w:sz="4" w:space="0"/>
              <w:right w:val="single" w:color="auto" w:sz="4" w:space="0"/>
            </w:tcBorders>
            <w:vAlign w:val="center"/>
          </w:tcPr>
          <w:p>
            <w:pPr>
              <w:widowControl/>
              <w:snapToGrid w:val="0"/>
              <w:spacing w:after="0" w:line="240" w:lineRule="auto"/>
              <w:jc w:val="right"/>
              <w:rPr>
                <w:rFonts w:ascii="宋体" w:hAnsi="宋体"/>
                <w:color w:val="000000"/>
                <w:kern w:val="0"/>
                <w:sz w:val="24"/>
                <w:szCs w:val="24"/>
              </w:rPr>
            </w:pPr>
            <w:r>
              <w:rPr>
                <w:rFonts w:ascii="宋体" w:hAnsi="宋体"/>
                <w:color w:val="000000"/>
                <w:kern w:val="0"/>
                <w:sz w:val="24"/>
                <w:szCs w:val="24"/>
              </w:rPr>
              <w:t>1,274,965</w:t>
            </w:r>
          </w:p>
        </w:tc>
        <w:tc>
          <w:tcPr>
            <w:tcW w:w="7" w:type="dxa"/>
            <w:tcBorders>
              <w:top w:val="single" w:color="auto" w:sz="4" w:space="0"/>
              <w:left w:val="single" w:color="auto" w:sz="4" w:space="0"/>
              <w:bottom w:val="single" w:color="auto" w:sz="4" w:space="0"/>
              <w:right w:val="single" w:color="auto" w:sz="4" w:space="0"/>
            </w:tcBorders>
            <w:vAlign w:val="center"/>
          </w:tcPr>
          <w:p>
            <w:pPr>
              <w:widowControl/>
              <w:snapToGrid w:val="0"/>
              <w:spacing w:after="0" w:line="240" w:lineRule="auto"/>
              <w:jc w:val="right"/>
              <w:rPr>
                <w:rFonts w:ascii="宋体" w:hAnsi="宋体"/>
                <w:color w:val="000000"/>
                <w:kern w:val="0"/>
                <w:sz w:val="24"/>
                <w:szCs w:val="24"/>
              </w:rPr>
            </w:pPr>
            <w:r>
              <w:rPr>
                <w:rFonts w:ascii="宋体" w:hAnsi="宋体"/>
                <w:color w:val="000000"/>
                <w:kern w:val="0"/>
                <w:sz w:val="24"/>
                <w:szCs w:val="24"/>
              </w:rPr>
              <w:t>100,798,732.90</w:t>
            </w:r>
          </w:p>
        </w:tc>
        <w:tc>
          <w:tcPr>
            <w:tcW w:w="7" w:type="dxa"/>
            <w:tcBorders>
              <w:top w:val="single" w:color="auto" w:sz="4" w:space="0"/>
              <w:left w:val="single" w:color="auto" w:sz="4" w:space="0"/>
              <w:bottom w:val="single" w:color="auto" w:sz="4" w:space="0"/>
              <w:right w:val="single" w:color="auto" w:sz="4" w:space="0"/>
            </w:tcBorders>
            <w:vAlign w:val="center"/>
          </w:tcPr>
          <w:p>
            <w:pPr>
              <w:widowControl/>
              <w:snapToGrid w:val="0"/>
              <w:spacing w:after="0" w:line="240" w:lineRule="auto"/>
              <w:jc w:val="right"/>
              <w:rPr>
                <w:rFonts w:ascii="宋体" w:hAnsi="宋体"/>
                <w:color w:val="000000"/>
                <w:kern w:val="0"/>
                <w:sz w:val="24"/>
                <w:szCs w:val="24"/>
              </w:rPr>
            </w:pPr>
            <w:r>
              <w:rPr>
                <w:rFonts w:ascii="宋体" w:hAnsi="宋体"/>
                <w:color w:val="000000"/>
                <w:kern w:val="0"/>
                <w:sz w:val="24"/>
                <w:szCs w:val="24"/>
              </w:rPr>
              <w:t>2.48</w:t>
            </w:r>
          </w:p>
        </w:tc>
      </w:tr>
      <w:tr>
        <w:tblPrEx>
          <w:tblCellMar>
            <w:top w:w="0" w:type="dxa"/>
            <w:left w:w="0" w:type="dxa"/>
            <w:bottom w:w="0" w:type="dxa"/>
            <w:right w:w="0" w:type="dxa"/>
          </w:tblCellMar>
        </w:tblPrEx>
        <w:trPr>
          <w:cantSplit/>
          <w:trHeight w:val="375" w:hRule="atLeast"/>
        </w:trPr>
        <w:tc>
          <w:tcPr>
            <w:tcW w:w="7" w:type="dxa"/>
            <w:tcBorders>
              <w:top w:val="single" w:color="auto" w:sz="4" w:space="0"/>
              <w:left w:val="single" w:color="auto" w:sz="4" w:space="0"/>
              <w:bottom w:val="single" w:color="auto" w:sz="4" w:space="0"/>
              <w:right w:val="single" w:color="auto" w:sz="4" w:space="0"/>
            </w:tcBorders>
            <w:vAlign w:val="center"/>
          </w:tcPr>
          <w:p>
            <w:pPr>
              <w:widowControl/>
              <w:snapToGrid w:val="0"/>
              <w:spacing w:after="0" w:line="240" w:lineRule="auto"/>
              <w:jc w:val="center"/>
              <w:rPr>
                <w:rFonts w:ascii="宋体" w:hAnsi="宋体"/>
                <w:color w:val="000000"/>
                <w:kern w:val="0"/>
                <w:sz w:val="24"/>
                <w:szCs w:val="24"/>
              </w:rPr>
            </w:pPr>
            <w:r>
              <w:rPr>
                <w:rFonts w:ascii="宋体" w:hAnsi="宋体"/>
                <w:color w:val="000000"/>
                <w:kern w:val="0"/>
                <w:sz w:val="24"/>
                <w:szCs w:val="24"/>
              </w:rPr>
              <w:t>10</w:t>
            </w:r>
          </w:p>
        </w:tc>
        <w:tc>
          <w:tcPr>
            <w:tcW w:w="7" w:type="dxa"/>
            <w:tcBorders>
              <w:top w:val="single" w:color="auto" w:sz="4" w:space="0"/>
              <w:left w:val="single" w:color="auto" w:sz="4" w:space="0"/>
              <w:bottom w:val="single" w:color="auto" w:sz="4" w:space="0"/>
              <w:right w:val="single" w:color="auto" w:sz="4" w:space="0"/>
            </w:tcBorders>
            <w:vAlign w:val="center"/>
          </w:tcPr>
          <w:p>
            <w:pPr>
              <w:widowControl/>
              <w:snapToGrid w:val="0"/>
              <w:spacing w:after="0" w:line="240" w:lineRule="auto"/>
              <w:jc w:val="center"/>
              <w:rPr>
                <w:rFonts w:ascii="宋体" w:hAnsi="宋体"/>
                <w:color w:val="000000"/>
                <w:kern w:val="0"/>
                <w:sz w:val="24"/>
                <w:szCs w:val="24"/>
              </w:rPr>
            </w:pPr>
            <w:r>
              <w:rPr>
                <w:rFonts w:ascii="宋体" w:hAnsi="宋体"/>
                <w:color w:val="000000"/>
                <w:kern w:val="0"/>
                <w:sz w:val="24"/>
                <w:szCs w:val="24"/>
              </w:rPr>
              <w:t>688037</w:t>
            </w:r>
          </w:p>
        </w:tc>
        <w:tc>
          <w:tcPr>
            <w:tcW w:w="7" w:type="dxa"/>
            <w:tcBorders>
              <w:top w:val="single" w:color="auto" w:sz="4" w:space="0"/>
              <w:left w:val="single" w:color="auto" w:sz="4" w:space="0"/>
              <w:bottom w:val="single" w:color="auto" w:sz="4" w:space="0"/>
              <w:right w:val="single" w:color="auto" w:sz="4" w:space="0"/>
            </w:tcBorders>
            <w:vAlign w:val="center"/>
          </w:tcPr>
          <w:p>
            <w:pPr>
              <w:widowControl/>
              <w:snapToGrid w:val="0"/>
              <w:spacing w:after="0" w:line="240" w:lineRule="auto"/>
              <w:jc w:val="center"/>
              <w:rPr>
                <w:rFonts w:ascii="宋体" w:hAnsi="宋体"/>
                <w:color w:val="000000"/>
                <w:kern w:val="0"/>
                <w:sz w:val="24"/>
                <w:szCs w:val="24"/>
              </w:rPr>
            </w:pPr>
            <w:r>
              <w:rPr>
                <w:rFonts w:ascii="宋体" w:hAnsi="宋体"/>
                <w:color w:val="000000"/>
                <w:kern w:val="0"/>
                <w:sz w:val="24"/>
                <w:szCs w:val="24"/>
              </w:rPr>
              <w:t>芯源微</w:t>
            </w:r>
          </w:p>
        </w:tc>
        <w:tc>
          <w:tcPr>
            <w:tcW w:w="7" w:type="dxa"/>
            <w:tcBorders>
              <w:top w:val="single" w:color="auto" w:sz="4" w:space="0"/>
              <w:left w:val="single" w:color="auto" w:sz="4" w:space="0"/>
              <w:bottom w:val="single" w:color="auto" w:sz="4" w:space="0"/>
              <w:right w:val="single" w:color="auto" w:sz="4" w:space="0"/>
            </w:tcBorders>
            <w:vAlign w:val="center"/>
          </w:tcPr>
          <w:p>
            <w:pPr>
              <w:widowControl/>
              <w:snapToGrid w:val="0"/>
              <w:spacing w:after="0" w:line="240" w:lineRule="auto"/>
              <w:jc w:val="right"/>
              <w:rPr>
                <w:rFonts w:ascii="宋体" w:hAnsi="宋体"/>
                <w:color w:val="000000"/>
                <w:kern w:val="0"/>
                <w:sz w:val="24"/>
                <w:szCs w:val="24"/>
              </w:rPr>
            </w:pPr>
            <w:r>
              <w:rPr>
                <w:rFonts w:ascii="宋体" w:hAnsi="宋体"/>
                <w:color w:val="000000"/>
                <w:kern w:val="0"/>
                <w:sz w:val="24"/>
                <w:szCs w:val="24"/>
              </w:rPr>
              <w:t>221,348</w:t>
            </w:r>
          </w:p>
        </w:tc>
        <w:tc>
          <w:tcPr>
            <w:tcW w:w="7" w:type="dxa"/>
            <w:tcBorders>
              <w:top w:val="single" w:color="auto" w:sz="4" w:space="0"/>
              <w:left w:val="single" w:color="auto" w:sz="4" w:space="0"/>
              <w:bottom w:val="single" w:color="auto" w:sz="4" w:space="0"/>
              <w:right w:val="single" w:color="auto" w:sz="4" w:space="0"/>
            </w:tcBorders>
            <w:vAlign w:val="center"/>
          </w:tcPr>
          <w:p>
            <w:pPr>
              <w:widowControl/>
              <w:snapToGrid w:val="0"/>
              <w:spacing w:after="0" w:line="240" w:lineRule="auto"/>
              <w:jc w:val="right"/>
              <w:rPr>
                <w:rFonts w:ascii="宋体" w:hAnsi="宋体"/>
                <w:color w:val="000000"/>
                <w:kern w:val="0"/>
                <w:sz w:val="24"/>
                <w:szCs w:val="24"/>
              </w:rPr>
            </w:pPr>
            <w:r>
              <w:rPr>
                <w:rFonts w:ascii="宋体" w:hAnsi="宋体"/>
                <w:color w:val="000000"/>
                <w:kern w:val="0"/>
                <w:sz w:val="24"/>
                <w:szCs w:val="24"/>
              </w:rPr>
              <w:t>97,182,839.40</w:t>
            </w:r>
          </w:p>
        </w:tc>
        <w:tc>
          <w:tcPr>
            <w:tcW w:w="7" w:type="dxa"/>
            <w:tcBorders>
              <w:top w:val="single" w:color="auto" w:sz="4" w:space="0"/>
              <w:left w:val="single" w:color="auto" w:sz="4" w:space="0"/>
              <w:bottom w:val="single" w:color="auto" w:sz="4" w:space="0"/>
              <w:right w:val="single" w:color="auto" w:sz="4" w:space="0"/>
            </w:tcBorders>
            <w:vAlign w:val="center"/>
          </w:tcPr>
          <w:p>
            <w:pPr>
              <w:widowControl/>
              <w:snapToGrid w:val="0"/>
              <w:spacing w:after="0" w:line="240" w:lineRule="auto"/>
              <w:jc w:val="right"/>
              <w:rPr>
                <w:rFonts w:ascii="宋体" w:hAnsi="宋体"/>
                <w:color w:val="000000"/>
                <w:kern w:val="0"/>
                <w:sz w:val="24"/>
                <w:szCs w:val="24"/>
              </w:rPr>
            </w:pPr>
            <w:r>
              <w:rPr>
                <w:rFonts w:ascii="宋体" w:hAnsi="宋体"/>
                <w:color w:val="000000"/>
                <w:kern w:val="0"/>
                <w:sz w:val="24"/>
                <w:szCs w:val="24"/>
              </w:rPr>
              <w:t>2.39</w:t>
            </w:r>
          </w:p>
        </w:tc>
      </w:tr>
    </w:tbl>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 </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4、报告期末按债券品种分类的债券投资组合</w:t>
      </w:r>
    </w:p>
    <w:tbl>
      <w:tblPr>
        <w:tblStyle w:val="14"/>
        <w:tblW w:w="5000" w:type="pct"/>
        <w:tblInd w:w="0" w:type="dxa"/>
        <w:tblLayout w:type="fixed"/>
        <w:tblCellMar>
          <w:top w:w="0" w:type="dxa"/>
          <w:left w:w="0" w:type="dxa"/>
          <w:bottom w:w="0" w:type="dxa"/>
          <w:right w:w="0" w:type="dxa"/>
        </w:tblCellMar>
      </w:tblPr>
      <w:tblGrid>
        <w:gridCol w:w="2167"/>
        <w:gridCol w:w="2167"/>
        <w:gridCol w:w="2168"/>
        <w:gridCol w:w="2168"/>
      </w:tblGrid>
      <w:tr>
        <w:tblPrEx>
          <w:tblCellMar>
            <w:top w:w="0" w:type="dxa"/>
            <w:left w:w="0" w:type="dxa"/>
            <w:bottom w:w="0" w:type="dxa"/>
            <w:right w:w="0" w:type="dxa"/>
          </w:tblCellMar>
        </w:tblPrEx>
        <w:trPr>
          <w:cantSplit/>
          <w:trHeight w:val="375" w:hRule="atLeast"/>
        </w:trPr>
        <w:tc>
          <w:tcPr>
            <w:tcW w:w="7" w:type="dxa"/>
            <w:tcBorders>
              <w:top w:val="single" w:color="auto" w:sz="4" w:space="0"/>
              <w:left w:val="single" w:color="auto" w:sz="4" w:space="0"/>
              <w:bottom w:val="single" w:color="auto" w:sz="4" w:space="0"/>
              <w:right w:val="single" w:color="auto" w:sz="4" w:space="0"/>
            </w:tcBorders>
            <w:vAlign w:val="center"/>
          </w:tcPr>
          <w:p>
            <w:pPr>
              <w:widowControl/>
              <w:snapToGrid w:val="0"/>
              <w:spacing w:after="0" w:line="240" w:lineRule="auto"/>
              <w:jc w:val="center"/>
              <w:rPr>
                <w:rFonts w:ascii="宋体" w:hAnsi="宋体"/>
                <w:color w:val="000000"/>
                <w:kern w:val="0"/>
                <w:sz w:val="24"/>
                <w:szCs w:val="24"/>
              </w:rPr>
            </w:pPr>
            <w:r>
              <w:rPr>
                <w:rFonts w:ascii="宋体" w:hAnsi="宋体"/>
                <w:color w:val="000000"/>
                <w:kern w:val="0"/>
                <w:sz w:val="24"/>
                <w:szCs w:val="24"/>
              </w:rPr>
              <w:t>序号</w:t>
            </w:r>
          </w:p>
        </w:tc>
        <w:tc>
          <w:tcPr>
            <w:tcW w:w="7" w:type="dxa"/>
            <w:tcBorders>
              <w:top w:val="single" w:color="auto" w:sz="4" w:space="0"/>
              <w:left w:val="single" w:color="auto" w:sz="4" w:space="0"/>
              <w:bottom w:val="single" w:color="auto" w:sz="4" w:space="0"/>
              <w:right w:val="single" w:color="auto" w:sz="4" w:space="0"/>
            </w:tcBorders>
            <w:vAlign w:val="center"/>
          </w:tcPr>
          <w:p>
            <w:pPr>
              <w:widowControl/>
              <w:snapToGrid w:val="0"/>
              <w:spacing w:after="0" w:line="240" w:lineRule="auto"/>
              <w:jc w:val="center"/>
              <w:rPr>
                <w:rFonts w:ascii="宋体" w:hAnsi="宋体"/>
                <w:color w:val="000000"/>
                <w:kern w:val="0"/>
                <w:sz w:val="24"/>
                <w:szCs w:val="24"/>
              </w:rPr>
            </w:pPr>
            <w:r>
              <w:rPr>
                <w:rFonts w:ascii="宋体" w:hAnsi="宋体"/>
                <w:color w:val="000000"/>
                <w:kern w:val="0"/>
                <w:sz w:val="24"/>
                <w:szCs w:val="24"/>
              </w:rPr>
              <w:t>债券品种</w:t>
            </w:r>
          </w:p>
        </w:tc>
        <w:tc>
          <w:tcPr>
            <w:tcW w:w="7" w:type="dxa"/>
            <w:tcBorders>
              <w:top w:val="single" w:color="auto" w:sz="4" w:space="0"/>
              <w:left w:val="single" w:color="auto" w:sz="4" w:space="0"/>
              <w:bottom w:val="single" w:color="auto" w:sz="4" w:space="0"/>
              <w:right w:val="single" w:color="auto" w:sz="4" w:space="0"/>
            </w:tcBorders>
            <w:vAlign w:val="center"/>
          </w:tcPr>
          <w:p>
            <w:pPr>
              <w:widowControl/>
              <w:snapToGrid w:val="0"/>
              <w:spacing w:after="0" w:line="240" w:lineRule="auto"/>
              <w:jc w:val="center"/>
              <w:rPr>
                <w:rFonts w:ascii="宋体" w:hAnsi="宋体"/>
                <w:color w:val="000000"/>
                <w:kern w:val="0"/>
                <w:sz w:val="24"/>
                <w:szCs w:val="24"/>
              </w:rPr>
            </w:pPr>
            <w:r>
              <w:rPr>
                <w:rFonts w:ascii="宋体" w:hAnsi="宋体"/>
                <w:color w:val="000000"/>
                <w:kern w:val="0"/>
                <w:sz w:val="24"/>
                <w:szCs w:val="24"/>
              </w:rPr>
              <w:t>公允价值（元）</w:t>
            </w:r>
          </w:p>
        </w:tc>
        <w:tc>
          <w:tcPr>
            <w:tcW w:w="7" w:type="dxa"/>
            <w:tcBorders>
              <w:top w:val="single" w:color="auto" w:sz="4" w:space="0"/>
              <w:left w:val="single" w:color="auto" w:sz="4" w:space="0"/>
              <w:bottom w:val="single" w:color="auto" w:sz="4" w:space="0"/>
              <w:right w:val="single" w:color="auto" w:sz="4" w:space="0"/>
            </w:tcBorders>
            <w:vAlign w:val="center"/>
          </w:tcPr>
          <w:p>
            <w:pPr>
              <w:widowControl/>
              <w:snapToGrid w:val="0"/>
              <w:spacing w:after="0" w:line="240" w:lineRule="auto"/>
              <w:jc w:val="center"/>
              <w:rPr>
                <w:rFonts w:ascii="宋体" w:hAnsi="宋体"/>
                <w:color w:val="000000"/>
                <w:kern w:val="0"/>
                <w:sz w:val="24"/>
                <w:szCs w:val="24"/>
              </w:rPr>
            </w:pPr>
            <w:r>
              <w:rPr>
                <w:rFonts w:ascii="宋体" w:hAnsi="宋体"/>
                <w:color w:val="000000"/>
                <w:kern w:val="0"/>
                <w:sz w:val="24"/>
                <w:szCs w:val="24"/>
              </w:rPr>
              <w:t>占基金资产净值比例（%）</w:t>
            </w:r>
          </w:p>
        </w:tc>
      </w:tr>
      <w:tr>
        <w:tblPrEx>
          <w:tblCellMar>
            <w:top w:w="0" w:type="dxa"/>
            <w:left w:w="0" w:type="dxa"/>
            <w:bottom w:w="0" w:type="dxa"/>
            <w:right w:w="0" w:type="dxa"/>
          </w:tblCellMar>
        </w:tblPrEx>
        <w:trPr>
          <w:cantSplit/>
          <w:trHeight w:val="375" w:hRule="atLeast"/>
        </w:trPr>
        <w:tc>
          <w:tcPr>
            <w:tcW w:w="7" w:type="dxa"/>
            <w:tcBorders>
              <w:top w:val="single" w:color="auto" w:sz="4" w:space="0"/>
              <w:left w:val="single" w:color="auto" w:sz="4" w:space="0"/>
              <w:bottom w:val="single" w:color="auto" w:sz="4" w:space="0"/>
              <w:right w:val="single" w:color="auto" w:sz="4" w:space="0"/>
            </w:tcBorders>
            <w:vAlign w:val="center"/>
          </w:tcPr>
          <w:p>
            <w:pPr>
              <w:widowControl/>
              <w:snapToGrid w:val="0"/>
              <w:spacing w:after="0" w:line="240" w:lineRule="auto"/>
              <w:jc w:val="center"/>
              <w:rPr>
                <w:rFonts w:ascii="宋体" w:hAnsi="宋体"/>
                <w:color w:val="000000"/>
                <w:kern w:val="0"/>
                <w:sz w:val="24"/>
                <w:szCs w:val="24"/>
              </w:rPr>
            </w:pPr>
            <w:r>
              <w:rPr>
                <w:rFonts w:ascii="宋体" w:hAnsi="宋体"/>
                <w:color w:val="000000"/>
                <w:kern w:val="0"/>
                <w:sz w:val="24"/>
                <w:szCs w:val="24"/>
              </w:rPr>
              <w:t>1</w:t>
            </w:r>
          </w:p>
        </w:tc>
        <w:tc>
          <w:tcPr>
            <w:tcW w:w="7" w:type="dxa"/>
            <w:vMerge w:val="restart"/>
            <w:tcBorders>
              <w:top w:val="single" w:color="auto" w:sz="4" w:space="0"/>
              <w:left w:val="single" w:color="auto" w:sz="4" w:space="0"/>
              <w:bottom w:val="single" w:color="auto" w:sz="4" w:space="0"/>
              <w:right w:val="single" w:color="auto" w:sz="4" w:space="0"/>
            </w:tcBorders>
            <w:vAlign w:val="center"/>
          </w:tcPr>
          <w:p>
            <w:pPr>
              <w:spacing w:after="0" w:line="240" w:lineRule="auto"/>
              <w:jc w:val="left"/>
            </w:pPr>
            <w:r>
              <w:rPr>
                <w:rFonts w:ascii="宋体" w:hAnsi="宋体"/>
                <w:color w:val="000000"/>
                <w:kern w:val="0"/>
                <w:sz w:val="25"/>
                <w:szCs w:val="24"/>
              </w:rPr>
              <w:t>国家债券</w:t>
            </w:r>
          </w:p>
        </w:tc>
        <w:tc>
          <w:tcPr>
            <w:tcW w:w="7" w:type="dxa"/>
            <w:tcBorders>
              <w:top w:val="single" w:color="auto" w:sz="4" w:space="0"/>
              <w:left w:val="single" w:color="auto" w:sz="4" w:space="0"/>
              <w:bottom w:val="single" w:color="auto" w:sz="4" w:space="0"/>
              <w:right w:val="single" w:color="auto" w:sz="4" w:space="0"/>
            </w:tcBorders>
            <w:vAlign w:val="center"/>
          </w:tcPr>
          <w:p>
            <w:pPr>
              <w:widowControl/>
              <w:snapToGrid w:val="0"/>
              <w:spacing w:after="0" w:line="240" w:lineRule="auto"/>
              <w:jc w:val="right"/>
              <w:rPr>
                <w:rFonts w:ascii="宋体" w:hAnsi="宋体"/>
                <w:color w:val="000000"/>
                <w:kern w:val="0"/>
                <w:sz w:val="24"/>
                <w:szCs w:val="24"/>
              </w:rPr>
            </w:pPr>
            <w:r>
              <w:rPr>
                <w:rFonts w:ascii="宋体" w:hAnsi="宋体"/>
                <w:color w:val="000000"/>
                <w:kern w:val="0"/>
                <w:sz w:val="24"/>
                <w:szCs w:val="24"/>
              </w:rPr>
              <w:t>-</w:t>
            </w:r>
          </w:p>
        </w:tc>
        <w:tc>
          <w:tcPr>
            <w:tcW w:w="7" w:type="dxa"/>
            <w:tcBorders>
              <w:top w:val="single" w:color="auto" w:sz="4" w:space="0"/>
              <w:left w:val="single" w:color="auto" w:sz="4" w:space="0"/>
              <w:bottom w:val="single" w:color="auto" w:sz="4" w:space="0"/>
              <w:right w:val="single" w:color="auto" w:sz="4" w:space="0"/>
            </w:tcBorders>
            <w:vAlign w:val="center"/>
          </w:tcPr>
          <w:p>
            <w:pPr>
              <w:widowControl/>
              <w:snapToGrid w:val="0"/>
              <w:spacing w:after="0" w:line="240" w:lineRule="auto"/>
              <w:jc w:val="right"/>
              <w:rPr>
                <w:rFonts w:ascii="宋体" w:hAnsi="宋体"/>
                <w:color w:val="000000"/>
                <w:kern w:val="0"/>
                <w:sz w:val="24"/>
                <w:szCs w:val="24"/>
              </w:rPr>
            </w:pPr>
            <w:r>
              <w:rPr>
                <w:rFonts w:ascii="宋体" w:hAnsi="宋体"/>
                <w:color w:val="000000"/>
                <w:kern w:val="0"/>
                <w:sz w:val="24"/>
                <w:szCs w:val="24"/>
              </w:rPr>
              <w:t>-</w:t>
            </w:r>
          </w:p>
        </w:tc>
      </w:tr>
      <w:tr>
        <w:tblPrEx>
          <w:tblCellMar>
            <w:top w:w="0" w:type="dxa"/>
            <w:left w:w="0" w:type="dxa"/>
            <w:bottom w:w="0" w:type="dxa"/>
            <w:right w:w="0" w:type="dxa"/>
          </w:tblCellMar>
        </w:tblPrEx>
        <w:trPr>
          <w:cantSplit/>
          <w:trHeight w:val="375" w:hRule="atLeast"/>
        </w:trPr>
        <w:tc>
          <w:tcPr>
            <w:tcW w:w="7" w:type="dxa"/>
            <w:tcBorders>
              <w:top w:val="single" w:color="auto" w:sz="4" w:space="0"/>
              <w:left w:val="single" w:color="auto" w:sz="4" w:space="0"/>
              <w:bottom w:val="single" w:color="auto" w:sz="4" w:space="0"/>
              <w:right w:val="single" w:color="auto" w:sz="4" w:space="0"/>
            </w:tcBorders>
            <w:vAlign w:val="center"/>
          </w:tcPr>
          <w:p>
            <w:pPr>
              <w:widowControl/>
              <w:snapToGrid w:val="0"/>
              <w:spacing w:after="0" w:line="240" w:lineRule="auto"/>
              <w:jc w:val="center"/>
              <w:rPr>
                <w:rFonts w:ascii="宋体" w:hAnsi="宋体"/>
                <w:color w:val="000000"/>
                <w:kern w:val="0"/>
                <w:sz w:val="24"/>
                <w:szCs w:val="24"/>
              </w:rPr>
            </w:pPr>
            <w:r>
              <w:rPr>
                <w:rFonts w:ascii="宋体" w:hAnsi="宋体"/>
                <w:color w:val="000000"/>
                <w:kern w:val="0"/>
                <w:sz w:val="24"/>
                <w:szCs w:val="24"/>
              </w:rPr>
              <w:t>2</w:t>
            </w:r>
          </w:p>
        </w:tc>
        <w:tc>
          <w:tcPr>
            <w:tcW w:w="7" w:type="dxa"/>
            <w:vMerge w:val="restart"/>
            <w:tcBorders>
              <w:top w:val="single" w:color="auto" w:sz="4" w:space="0"/>
              <w:left w:val="single" w:color="auto" w:sz="4" w:space="0"/>
              <w:bottom w:val="single" w:color="auto" w:sz="4" w:space="0"/>
              <w:right w:val="single" w:color="auto" w:sz="4" w:space="0"/>
            </w:tcBorders>
            <w:vAlign w:val="center"/>
          </w:tcPr>
          <w:p>
            <w:pPr>
              <w:spacing w:after="0" w:line="240" w:lineRule="auto"/>
              <w:jc w:val="left"/>
            </w:pPr>
            <w:r>
              <w:rPr>
                <w:rFonts w:ascii="宋体" w:hAnsi="宋体"/>
                <w:color w:val="000000"/>
                <w:kern w:val="0"/>
                <w:sz w:val="25"/>
                <w:szCs w:val="24"/>
              </w:rPr>
              <w:t>央行票据</w:t>
            </w:r>
          </w:p>
        </w:tc>
        <w:tc>
          <w:tcPr>
            <w:tcW w:w="7" w:type="dxa"/>
            <w:tcBorders>
              <w:top w:val="single" w:color="auto" w:sz="4" w:space="0"/>
              <w:left w:val="single" w:color="auto" w:sz="4" w:space="0"/>
              <w:bottom w:val="single" w:color="auto" w:sz="4" w:space="0"/>
              <w:right w:val="single" w:color="auto" w:sz="4" w:space="0"/>
            </w:tcBorders>
            <w:vAlign w:val="center"/>
          </w:tcPr>
          <w:p>
            <w:pPr>
              <w:widowControl/>
              <w:snapToGrid w:val="0"/>
              <w:spacing w:after="0" w:line="240" w:lineRule="auto"/>
              <w:jc w:val="right"/>
              <w:rPr>
                <w:rFonts w:ascii="宋体" w:hAnsi="宋体"/>
                <w:color w:val="000000"/>
                <w:kern w:val="0"/>
                <w:sz w:val="24"/>
                <w:szCs w:val="24"/>
              </w:rPr>
            </w:pPr>
            <w:r>
              <w:rPr>
                <w:rFonts w:ascii="宋体" w:hAnsi="宋体"/>
                <w:color w:val="000000"/>
                <w:kern w:val="0"/>
                <w:sz w:val="24"/>
                <w:szCs w:val="24"/>
              </w:rPr>
              <w:t>-</w:t>
            </w:r>
          </w:p>
        </w:tc>
        <w:tc>
          <w:tcPr>
            <w:tcW w:w="7" w:type="dxa"/>
            <w:tcBorders>
              <w:top w:val="single" w:color="auto" w:sz="4" w:space="0"/>
              <w:left w:val="single" w:color="auto" w:sz="4" w:space="0"/>
              <w:bottom w:val="single" w:color="auto" w:sz="4" w:space="0"/>
              <w:right w:val="single" w:color="auto" w:sz="4" w:space="0"/>
            </w:tcBorders>
            <w:vAlign w:val="center"/>
          </w:tcPr>
          <w:p>
            <w:pPr>
              <w:widowControl/>
              <w:snapToGrid w:val="0"/>
              <w:spacing w:after="0" w:line="240" w:lineRule="auto"/>
              <w:jc w:val="right"/>
              <w:rPr>
                <w:rFonts w:ascii="宋体" w:hAnsi="宋体"/>
                <w:color w:val="000000"/>
                <w:kern w:val="0"/>
                <w:sz w:val="24"/>
                <w:szCs w:val="24"/>
              </w:rPr>
            </w:pPr>
            <w:r>
              <w:rPr>
                <w:rFonts w:ascii="宋体" w:hAnsi="宋体"/>
                <w:color w:val="000000"/>
                <w:kern w:val="0"/>
                <w:sz w:val="24"/>
                <w:szCs w:val="24"/>
              </w:rPr>
              <w:t>-</w:t>
            </w:r>
          </w:p>
        </w:tc>
      </w:tr>
      <w:tr>
        <w:tblPrEx>
          <w:tblCellMar>
            <w:top w:w="0" w:type="dxa"/>
            <w:left w:w="0" w:type="dxa"/>
            <w:bottom w:w="0" w:type="dxa"/>
            <w:right w:w="0" w:type="dxa"/>
          </w:tblCellMar>
        </w:tblPrEx>
        <w:trPr>
          <w:cantSplit/>
          <w:trHeight w:val="375" w:hRule="atLeast"/>
        </w:trPr>
        <w:tc>
          <w:tcPr>
            <w:tcW w:w="7" w:type="dxa"/>
            <w:tcBorders>
              <w:top w:val="single" w:color="auto" w:sz="4" w:space="0"/>
              <w:left w:val="single" w:color="auto" w:sz="4" w:space="0"/>
              <w:bottom w:val="single" w:color="auto" w:sz="4" w:space="0"/>
              <w:right w:val="single" w:color="auto" w:sz="4" w:space="0"/>
            </w:tcBorders>
            <w:vAlign w:val="center"/>
          </w:tcPr>
          <w:p>
            <w:pPr>
              <w:widowControl/>
              <w:snapToGrid w:val="0"/>
              <w:spacing w:after="0" w:line="240" w:lineRule="auto"/>
              <w:jc w:val="center"/>
              <w:rPr>
                <w:rFonts w:ascii="宋体" w:hAnsi="宋体"/>
                <w:color w:val="000000"/>
                <w:kern w:val="0"/>
                <w:sz w:val="24"/>
                <w:szCs w:val="24"/>
              </w:rPr>
            </w:pPr>
            <w:r>
              <w:rPr>
                <w:rFonts w:ascii="宋体" w:hAnsi="宋体"/>
                <w:color w:val="000000"/>
                <w:kern w:val="0"/>
                <w:sz w:val="24"/>
                <w:szCs w:val="24"/>
              </w:rPr>
              <w:t>3</w:t>
            </w:r>
          </w:p>
        </w:tc>
        <w:tc>
          <w:tcPr>
            <w:tcW w:w="7" w:type="dxa"/>
            <w:vMerge w:val="restart"/>
            <w:tcBorders>
              <w:top w:val="single" w:color="auto" w:sz="4" w:space="0"/>
              <w:left w:val="single" w:color="auto" w:sz="4" w:space="0"/>
              <w:bottom w:val="single" w:color="auto" w:sz="4" w:space="0"/>
              <w:right w:val="single" w:color="auto" w:sz="4" w:space="0"/>
            </w:tcBorders>
            <w:vAlign w:val="center"/>
          </w:tcPr>
          <w:p>
            <w:pPr>
              <w:spacing w:after="0" w:line="240" w:lineRule="auto"/>
              <w:jc w:val="left"/>
            </w:pPr>
            <w:r>
              <w:rPr>
                <w:rFonts w:ascii="宋体" w:hAnsi="宋体"/>
                <w:color w:val="000000"/>
                <w:kern w:val="0"/>
                <w:sz w:val="25"/>
                <w:szCs w:val="24"/>
              </w:rPr>
              <w:t>金融债券</w:t>
            </w:r>
          </w:p>
        </w:tc>
        <w:tc>
          <w:tcPr>
            <w:tcW w:w="7" w:type="dxa"/>
            <w:tcBorders>
              <w:top w:val="single" w:color="auto" w:sz="4" w:space="0"/>
              <w:left w:val="single" w:color="auto" w:sz="4" w:space="0"/>
              <w:bottom w:val="single" w:color="auto" w:sz="4" w:space="0"/>
              <w:right w:val="single" w:color="auto" w:sz="4" w:space="0"/>
            </w:tcBorders>
            <w:vAlign w:val="center"/>
          </w:tcPr>
          <w:p>
            <w:pPr>
              <w:widowControl/>
              <w:snapToGrid w:val="0"/>
              <w:spacing w:after="0" w:line="240" w:lineRule="auto"/>
              <w:jc w:val="right"/>
              <w:rPr>
                <w:rFonts w:ascii="宋体" w:hAnsi="宋体"/>
                <w:color w:val="000000"/>
                <w:kern w:val="0"/>
                <w:sz w:val="24"/>
                <w:szCs w:val="24"/>
              </w:rPr>
            </w:pPr>
            <w:r>
              <w:rPr>
                <w:rFonts w:ascii="宋体" w:hAnsi="宋体"/>
                <w:color w:val="000000"/>
                <w:kern w:val="0"/>
                <w:sz w:val="24"/>
                <w:szCs w:val="24"/>
              </w:rPr>
              <w:t>-</w:t>
            </w:r>
          </w:p>
        </w:tc>
        <w:tc>
          <w:tcPr>
            <w:tcW w:w="7" w:type="dxa"/>
            <w:tcBorders>
              <w:top w:val="single" w:color="auto" w:sz="4" w:space="0"/>
              <w:left w:val="single" w:color="auto" w:sz="4" w:space="0"/>
              <w:bottom w:val="single" w:color="auto" w:sz="4" w:space="0"/>
              <w:right w:val="single" w:color="auto" w:sz="4" w:space="0"/>
            </w:tcBorders>
            <w:vAlign w:val="center"/>
          </w:tcPr>
          <w:p>
            <w:pPr>
              <w:widowControl/>
              <w:snapToGrid w:val="0"/>
              <w:spacing w:after="0" w:line="240" w:lineRule="auto"/>
              <w:jc w:val="right"/>
              <w:rPr>
                <w:rFonts w:ascii="宋体" w:hAnsi="宋体"/>
                <w:color w:val="000000"/>
                <w:kern w:val="0"/>
                <w:sz w:val="24"/>
                <w:szCs w:val="24"/>
              </w:rPr>
            </w:pPr>
            <w:r>
              <w:rPr>
                <w:rFonts w:ascii="宋体" w:hAnsi="宋体"/>
                <w:color w:val="000000"/>
                <w:kern w:val="0"/>
                <w:sz w:val="24"/>
                <w:szCs w:val="24"/>
              </w:rPr>
              <w:t>-</w:t>
            </w:r>
          </w:p>
        </w:tc>
      </w:tr>
      <w:tr>
        <w:tblPrEx>
          <w:tblCellMar>
            <w:top w:w="0" w:type="dxa"/>
            <w:left w:w="0" w:type="dxa"/>
            <w:bottom w:w="0" w:type="dxa"/>
            <w:right w:w="0" w:type="dxa"/>
          </w:tblCellMar>
        </w:tblPrEx>
        <w:trPr>
          <w:cantSplit/>
          <w:trHeight w:val="375" w:hRule="atLeast"/>
        </w:trPr>
        <w:tc>
          <w:tcPr>
            <w:tcW w:w="7" w:type="dxa"/>
            <w:tcBorders>
              <w:top w:val="single" w:color="auto" w:sz="4" w:space="0"/>
              <w:left w:val="single" w:color="auto" w:sz="4" w:space="0"/>
              <w:bottom w:val="single" w:color="auto" w:sz="4" w:space="0"/>
              <w:right w:val="single" w:color="auto" w:sz="4" w:space="0"/>
            </w:tcBorders>
            <w:vAlign w:val="center"/>
          </w:tcPr>
          <w:p>
            <w:pPr>
              <w:widowControl/>
              <w:snapToGrid w:val="0"/>
              <w:spacing w:after="0" w:line="240" w:lineRule="auto"/>
              <w:jc w:val="center"/>
              <w:rPr>
                <w:rFonts w:ascii="宋体" w:hAnsi="宋体"/>
                <w:color w:val="000000"/>
                <w:kern w:val="0"/>
                <w:sz w:val="24"/>
                <w:szCs w:val="24"/>
              </w:rPr>
            </w:pPr>
            <w:r>
              <w:rPr>
                <w:rFonts w:ascii="宋体" w:hAnsi="宋体"/>
                <w:color w:val="000000"/>
                <w:kern w:val="0"/>
                <w:sz w:val="24"/>
                <w:szCs w:val="24"/>
              </w:rPr>
              <w:t>　</w:t>
            </w:r>
          </w:p>
        </w:tc>
        <w:tc>
          <w:tcPr>
            <w:tcW w:w="7" w:type="dxa"/>
            <w:vMerge w:val="restart"/>
            <w:tcBorders>
              <w:top w:val="single" w:color="auto" w:sz="4" w:space="0"/>
              <w:left w:val="single" w:color="auto" w:sz="4" w:space="0"/>
              <w:bottom w:val="single" w:color="auto" w:sz="4" w:space="0"/>
              <w:right w:val="single" w:color="auto" w:sz="4" w:space="0"/>
            </w:tcBorders>
            <w:vAlign w:val="center"/>
          </w:tcPr>
          <w:p>
            <w:pPr>
              <w:spacing w:after="0" w:line="240" w:lineRule="auto"/>
              <w:jc w:val="left"/>
            </w:pPr>
            <w:r>
              <w:rPr>
                <w:rFonts w:ascii="宋体" w:hAnsi="宋体"/>
                <w:color w:val="000000"/>
                <w:kern w:val="0"/>
                <w:sz w:val="25"/>
                <w:szCs w:val="24"/>
              </w:rPr>
              <w:t>其中：政策性金融债</w:t>
            </w:r>
          </w:p>
        </w:tc>
        <w:tc>
          <w:tcPr>
            <w:tcW w:w="7" w:type="dxa"/>
            <w:tcBorders>
              <w:top w:val="single" w:color="auto" w:sz="4" w:space="0"/>
              <w:left w:val="single" w:color="auto" w:sz="4" w:space="0"/>
              <w:bottom w:val="single" w:color="auto" w:sz="4" w:space="0"/>
              <w:right w:val="single" w:color="auto" w:sz="4" w:space="0"/>
            </w:tcBorders>
            <w:vAlign w:val="center"/>
          </w:tcPr>
          <w:p>
            <w:pPr>
              <w:widowControl/>
              <w:snapToGrid w:val="0"/>
              <w:spacing w:after="0" w:line="240" w:lineRule="auto"/>
              <w:jc w:val="right"/>
              <w:rPr>
                <w:rFonts w:ascii="宋体" w:hAnsi="宋体"/>
                <w:color w:val="000000"/>
                <w:kern w:val="0"/>
                <w:sz w:val="24"/>
                <w:szCs w:val="24"/>
              </w:rPr>
            </w:pPr>
            <w:r>
              <w:rPr>
                <w:rFonts w:ascii="宋体" w:hAnsi="宋体"/>
                <w:color w:val="000000"/>
                <w:kern w:val="0"/>
                <w:sz w:val="24"/>
                <w:szCs w:val="24"/>
              </w:rPr>
              <w:t>-</w:t>
            </w:r>
          </w:p>
        </w:tc>
        <w:tc>
          <w:tcPr>
            <w:tcW w:w="7" w:type="dxa"/>
            <w:tcBorders>
              <w:top w:val="single" w:color="auto" w:sz="4" w:space="0"/>
              <w:left w:val="single" w:color="auto" w:sz="4" w:space="0"/>
              <w:bottom w:val="single" w:color="auto" w:sz="4" w:space="0"/>
              <w:right w:val="single" w:color="auto" w:sz="4" w:space="0"/>
            </w:tcBorders>
            <w:vAlign w:val="center"/>
          </w:tcPr>
          <w:p>
            <w:pPr>
              <w:widowControl/>
              <w:snapToGrid w:val="0"/>
              <w:spacing w:after="0" w:line="240" w:lineRule="auto"/>
              <w:jc w:val="right"/>
              <w:rPr>
                <w:rFonts w:ascii="宋体" w:hAnsi="宋体"/>
                <w:color w:val="000000"/>
                <w:kern w:val="0"/>
                <w:sz w:val="24"/>
                <w:szCs w:val="24"/>
              </w:rPr>
            </w:pPr>
            <w:r>
              <w:rPr>
                <w:rFonts w:ascii="宋体" w:hAnsi="宋体"/>
                <w:color w:val="000000"/>
                <w:kern w:val="0"/>
                <w:sz w:val="24"/>
                <w:szCs w:val="24"/>
              </w:rPr>
              <w:t>-</w:t>
            </w:r>
          </w:p>
        </w:tc>
      </w:tr>
      <w:tr>
        <w:tblPrEx>
          <w:tblCellMar>
            <w:top w:w="0" w:type="dxa"/>
            <w:left w:w="0" w:type="dxa"/>
            <w:bottom w:w="0" w:type="dxa"/>
            <w:right w:w="0" w:type="dxa"/>
          </w:tblCellMar>
        </w:tblPrEx>
        <w:trPr>
          <w:cantSplit/>
          <w:trHeight w:val="375" w:hRule="atLeast"/>
        </w:trPr>
        <w:tc>
          <w:tcPr>
            <w:tcW w:w="7" w:type="dxa"/>
            <w:tcBorders>
              <w:top w:val="single" w:color="auto" w:sz="4" w:space="0"/>
              <w:left w:val="single" w:color="auto" w:sz="4" w:space="0"/>
              <w:bottom w:val="single" w:color="auto" w:sz="4" w:space="0"/>
              <w:right w:val="single" w:color="auto" w:sz="4" w:space="0"/>
            </w:tcBorders>
            <w:vAlign w:val="center"/>
          </w:tcPr>
          <w:p>
            <w:pPr>
              <w:widowControl/>
              <w:snapToGrid w:val="0"/>
              <w:spacing w:after="0" w:line="240" w:lineRule="auto"/>
              <w:jc w:val="center"/>
              <w:rPr>
                <w:rFonts w:ascii="宋体" w:hAnsi="宋体"/>
                <w:color w:val="000000"/>
                <w:kern w:val="0"/>
                <w:sz w:val="24"/>
                <w:szCs w:val="24"/>
              </w:rPr>
            </w:pPr>
            <w:r>
              <w:rPr>
                <w:rFonts w:ascii="宋体" w:hAnsi="宋体"/>
                <w:color w:val="000000"/>
                <w:kern w:val="0"/>
                <w:sz w:val="24"/>
                <w:szCs w:val="24"/>
              </w:rPr>
              <w:t>4</w:t>
            </w:r>
          </w:p>
        </w:tc>
        <w:tc>
          <w:tcPr>
            <w:tcW w:w="7" w:type="dxa"/>
            <w:vMerge w:val="restart"/>
            <w:tcBorders>
              <w:top w:val="single" w:color="auto" w:sz="4" w:space="0"/>
              <w:left w:val="single" w:color="auto" w:sz="4" w:space="0"/>
              <w:bottom w:val="single" w:color="auto" w:sz="4" w:space="0"/>
              <w:right w:val="single" w:color="auto" w:sz="4" w:space="0"/>
            </w:tcBorders>
            <w:vAlign w:val="center"/>
          </w:tcPr>
          <w:p>
            <w:pPr>
              <w:spacing w:after="0" w:line="240" w:lineRule="auto"/>
              <w:jc w:val="left"/>
            </w:pPr>
            <w:r>
              <w:rPr>
                <w:rFonts w:ascii="宋体" w:hAnsi="宋体"/>
                <w:color w:val="000000"/>
                <w:kern w:val="0"/>
                <w:sz w:val="25"/>
                <w:szCs w:val="24"/>
              </w:rPr>
              <w:t>企业债券</w:t>
            </w:r>
          </w:p>
        </w:tc>
        <w:tc>
          <w:tcPr>
            <w:tcW w:w="7" w:type="dxa"/>
            <w:tcBorders>
              <w:top w:val="single" w:color="auto" w:sz="4" w:space="0"/>
              <w:left w:val="single" w:color="auto" w:sz="4" w:space="0"/>
              <w:bottom w:val="single" w:color="auto" w:sz="4" w:space="0"/>
              <w:right w:val="single" w:color="auto" w:sz="4" w:space="0"/>
            </w:tcBorders>
            <w:vAlign w:val="center"/>
          </w:tcPr>
          <w:p>
            <w:pPr>
              <w:widowControl/>
              <w:snapToGrid w:val="0"/>
              <w:spacing w:after="0" w:line="240" w:lineRule="auto"/>
              <w:jc w:val="right"/>
              <w:rPr>
                <w:rFonts w:ascii="宋体" w:hAnsi="宋体"/>
                <w:color w:val="000000"/>
                <w:kern w:val="0"/>
                <w:sz w:val="24"/>
                <w:szCs w:val="24"/>
              </w:rPr>
            </w:pPr>
            <w:r>
              <w:rPr>
                <w:rFonts w:ascii="宋体" w:hAnsi="宋体"/>
                <w:color w:val="000000"/>
                <w:kern w:val="0"/>
                <w:sz w:val="24"/>
                <w:szCs w:val="24"/>
              </w:rPr>
              <w:t>-</w:t>
            </w:r>
          </w:p>
        </w:tc>
        <w:tc>
          <w:tcPr>
            <w:tcW w:w="7" w:type="dxa"/>
            <w:tcBorders>
              <w:top w:val="single" w:color="auto" w:sz="4" w:space="0"/>
              <w:left w:val="single" w:color="auto" w:sz="4" w:space="0"/>
              <w:bottom w:val="single" w:color="auto" w:sz="4" w:space="0"/>
              <w:right w:val="single" w:color="auto" w:sz="4" w:space="0"/>
            </w:tcBorders>
            <w:vAlign w:val="center"/>
          </w:tcPr>
          <w:p>
            <w:pPr>
              <w:widowControl/>
              <w:snapToGrid w:val="0"/>
              <w:spacing w:after="0" w:line="240" w:lineRule="auto"/>
              <w:jc w:val="right"/>
              <w:rPr>
                <w:rFonts w:ascii="宋体" w:hAnsi="宋体"/>
                <w:color w:val="000000"/>
                <w:kern w:val="0"/>
                <w:sz w:val="24"/>
                <w:szCs w:val="24"/>
              </w:rPr>
            </w:pPr>
            <w:r>
              <w:rPr>
                <w:rFonts w:ascii="宋体" w:hAnsi="宋体"/>
                <w:color w:val="000000"/>
                <w:kern w:val="0"/>
                <w:sz w:val="24"/>
                <w:szCs w:val="24"/>
              </w:rPr>
              <w:t>-</w:t>
            </w:r>
          </w:p>
        </w:tc>
      </w:tr>
      <w:tr>
        <w:tblPrEx>
          <w:tblCellMar>
            <w:top w:w="0" w:type="dxa"/>
            <w:left w:w="0" w:type="dxa"/>
            <w:bottom w:w="0" w:type="dxa"/>
            <w:right w:w="0" w:type="dxa"/>
          </w:tblCellMar>
        </w:tblPrEx>
        <w:trPr>
          <w:cantSplit/>
          <w:trHeight w:val="375" w:hRule="atLeast"/>
        </w:trPr>
        <w:tc>
          <w:tcPr>
            <w:tcW w:w="7" w:type="dxa"/>
            <w:tcBorders>
              <w:top w:val="single" w:color="auto" w:sz="4" w:space="0"/>
              <w:left w:val="single" w:color="auto" w:sz="4" w:space="0"/>
              <w:bottom w:val="single" w:color="auto" w:sz="4" w:space="0"/>
              <w:right w:val="single" w:color="auto" w:sz="4" w:space="0"/>
            </w:tcBorders>
            <w:vAlign w:val="center"/>
          </w:tcPr>
          <w:p>
            <w:pPr>
              <w:widowControl/>
              <w:snapToGrid w:val="0"/>
              <w:spacing w:after="0" w:line="240" w:lineRule="auto"/>
              <w:jc w:val="center"/>
              <w:rPr>
                <w:rFonts w:ascii="宋体" w:hAnsi="宋体"/>
                <w:color w:val="000000"/>
                <w:kern w:val="0"/>
                <w:sz w:val="24"/>
                <w:szCs w:val="24"/>
              </w:rPr>
            </w:pPr>
            <w:r>
              <w:rPr>
                <w:rFonts w:ascii="宋体" w:hAnsi="宋体"/>
                <w:color w:val="000000"/>
                <w:kern w:val="0"/>
                <w:sz w:val="24"/>
                <w:szCs w:val="24"/>
              </w:rPr>
              <w:t>5</w:t>
            </w:r>
          </w:p>
        </w:tc>
        <w:tc>
          <w:tcPr>
            <w:tcW w:w="7" w:type="dxa"/>
            <w:vMerge w:val="restart"/>
            <w:tcBorders>
              <w:top w:val="single" w:color="auto" w:sz="4" w:space="0"/>
              <w:left w:val="single" w:color="auto" w:sz="4" w:space="0"/>
              <w:bottom w:val="single" w:color="auto" w:sz="4" w:space="0"/>
              <w:right w:val="single" w:color="auto" w:sz="4" w:space="0"/>
            </w:tcBorders>
            <w:vAlign w:val="center"/>
          </w:tcPr>
          <w:p>
            <w:pPr>
              <w:spacing w:after="0" w:line="240" w:lineRule="auto"/>
              <w:jc w:val="left"/>
            </w:pPr>
            <w:r>
              <w:rPr>
                <w:rFonts w:ascii="宋体" w:hAnsi="宋体"/>
                <w:color w:val="000000"/>
                <w:kern w:val="0"/>
                <w:sz w:val="25"/>
                <w:szCs w:val="24"/>
              </w:rPr>
              <w:t>企业短期融资券</w:t>
            </w:r>
          </w:p>
        </w:tc>
        <w:tc>
          <w:tcPr>
            <w:tcW w:w="7" w:type="dxa"/>
            <w:tcBorders>
              <w:top w:val="single" w:color="auto" w:sz="4" w:space="0"/>
              <w:left w:val="single" w:color="auto" w:sz="4" w:space="0"/>
              <w:bottom w:val="single" w:color="auto" w:sz="4" w:space="0"/>
              <w:right w:val="single" w:color="auto" w:sz="4" w:space="0"/>
            </w:tcBorders>
            <w:vAlign w:val="center"/>
          </w:tcPr>
          <w:p>
            <w:pPr>
              <w:widowControl/>
              <w:snapToGrid w:val="0"/>
              <w:spacing w:after="0" w:line="240" w:lineRule="auto"/>
              <w:jc w:val="right"/>
              <w:rPr>
                <w:rFonts w:ascii="宋体" w:hAnsi="宋体"/>
                <w:color w:val="000000"/>
                <w:kern w:val="0"/>
                <w:sz w:val="24"/>
                <w:szCs w:val="24"/>
              </w:rPr>
            </w:pPr>
            <w:r>
              <w:rPr>
                <w:rFonts w:ascii="宋体" w:hAnsi="宋体"/>
                <w:color w:val="000000"/>
                <w:kern w:val="0"/>
                <w:sz w:val="24"/>
                <w:szCs w:val="24"/>
              </w:rPr>
              <w:t>-</w:t>
            </w:r>
          </w:p>
        </w:tc>
        <w:tc>
          <w:tcPr>
            <w:tcW w:w="7" w:type="dxa"/>
            <w:tcBorders>
              <w:top w:val="single" w:color="auto" w:sz="4" w:space="0"/>
              <w:left w:val="single" w:color="auto" w:sz="4" w:space="0"/>
              <w:bottom w:val="single" w:color="auto" w:sz="4" w:space="0"/>
              <w:right w:val="single" w:color="auto" w:sz="4" w:space="0"/>
            </w:tcBorders>
            <w:vAlign w:val="center"/>
          </w:tcPr>
          <w:p>
            <w:pPr>
              <w:widowControl/>
              <w:snapToGrid w:val="0"/>
              <w:spacing w:after="0" w:line="240" w:lineRule="auto"/>
              <w:jc w:val="right"/>
              <w:rPr>
                <w:rFonts w:ascii="宋体" w:hAnsi="宋体"/>
                <w:color w:val="000000"/>
                <w:kern w:val="0"/>
                <w:sz w:val="24"/>
                <w:szCs w:val="24"/>
              </w:rPr>
            </w:pPr>
            <w:r>
              <w:rPr>
                <w:rFonts w:ascii="宋体" w:hAnsi="宋体"/>
                <w:color w:val="000000"/>
                <w:kern w:val="0"/>
                <w:sz w:val="24"/>
                <w:szCs w:val="24"/>
              </w:rPr>
              <w:t>-</w:t>
            </w:r>
          </w:p>
        </w:tc>
      </w:tr>
      <w:tr>
        <w:tblPrEx>
          <w:tblCellMar>
            <w:top w:w="0" w:type="dxa"/>
            <w:left w:w="0" w:type="dxa"/>
            <w:bottom w:w="0" w:type="dxa"/>
            <w:right w:w="0" w:type="dxa"/>
          </w:tblCellMar>
        </w:tblPrEx>
        <w:trPr>
          <w:cantSplit/>
          <w:trHeight w:val="375" w:hRule="atLeast"/>
        </w:trPr>
        <w:tc>
          <w:tcPr>
            <w:tcW w:w="7" w:type="dxa"/>
            <w:tcBorders>
              <w:top w:val="single" w:color="auto" w:sz="4" w:space="0"/>
              <w:left w:val="single" w:color="auto" w:sz="4" w:space="0"/>
              <w:bottom w:val="single" w:color="auto" w:sz="4" w:space="0"/>
              <w:right w:val="single" w:color="auto" w:sz="4" w:space="0"/>
            </w:tcBorders>
            <w:vAlign w:val="center"/>
          </w:tcPr>
          <w:p>
            <w:pPr>
              <w:widowControl/>
              <w:snapToGrid w:val="0"/>
              <w:spacing w:after="0" w:line="240" w:lineRule="auto"/>
              <w:jc w:val="center"/>
              <w:rPr>
                <w:rFonts w:ascii="宋体" w:hAnsi="宋体"/>
                <w:color w:val="000000"/>
                <w:kern w:val="0"/>
                <w:sz w:val="24"/>
                <w:szCs w:val="24"/>
              </w:rPr>
            </w:pPr>
            <w:r>
              <w:rPr>
                <w:rFonts w:ascii="宋体" w:hAnsi="宋体"/>
                <w:color w:val="000000"/>
                <w:kern w:val="0"/>
                <w:sz w:val="24"/>
                <w:szCs w:val="24"/>
              </w:rPr>
              <w:t>6</w:t>
            </w:r>
          </w:p>
        </w:tc>
        <w:tc>
          <w:tcPr>
            <w:tcW w:w="7" w:type="dxa"/>
            <w:tcBorders>
              <w:top w:val="single" w:color="auto" w:sz="4" w:space="0"/>
              <w:left w:val="single" w:color="auto" w:sz="4" w:space="0"/>
              <w:bottom w:val="single" w:color="auto" w:sz="4" w:space="0"/>
              <w:right w:val="single" w:color="auto" w:sz="4" w:space="0"/>
            </w:tcBorders>
            <w:vAlign w:val="center"/>
          </w:tcPr>
          <w:p>
            <w:pPr>
              <w:spacing w:after="0" w:line="240" w:lineRule="auto"/>
              <w:jc w:val="left"/>
            </w:pPr>
            <w:r>
              <w:rPr>
                <w:rFonts w:ascii="宋体" w:hAnsi="宋体"/>
                <w:color w:val="000000"/>
                <w:kern w:val="0"/>
                <w:sz w:val="25"/>
                <w:szCs w:val="24"/>
              </w:rPr>
              <w:t>中期票据</w:t>
            </w:r>
          </w:p>
        </w:tc>
        <w:tc>
          <w:tcPr>
            <w:tcW w:w="7" w:type="dxa"/>
            <w:tcBorders>
              <w:top w:val="single" w:color="auto" w:sz="4" w:space="0"/>
              <w:left w:val="single" w:color="auto" w:sz="4" w:space="0"/>
              <w:bottom w:val="single" w:color="auto" w:sz="4" w:space="0"/>
              <w:right w:val="single" w:color="auto" w:sz="4" w:space="0"/>
            </w:tcBorders>
            <w:vAlign w:val="center"/>
          </w:tcPr>
          <w:p>
            <w:pPr>
              <w:widowControl/>
              <w:snapToGrid w:val="0"/>
              <w:spacing w:after="0" w:line="240" w:lineRule="auto"/>
              <w:jc w:val="right"/>
              <w:rPr>
                <w:rFonts w:ascii="宋体" w:hAnsi="宋体"/>
                <w:color w:val="000000"/>
                <w:kern w:val="0"/>
                <w:sz w:val="24"/>
                <w:szCs w:val="24"/>
              </w:rPr>
            </w:pPr>
            <w:r>
              <w:rPr>
                <w:rFonts w:ascii="宋体" w:hAnsi="宋体"/>
                <w:color w:val="000000"/>
                <w:kern w:val="0"/>
                <w:sz w:val="24"/>
                <w:szCs w:val="24"/>
              </w:rPr>
              <w:t>-</w:t>
            </w:r>
          </w:p>
        </w:tc>
        <w:tc>
          <w:tcPr>
            <w:tcW w:w="7" w:type="dxa"/>
            <w:tcBorders>
              <w:top w:val="single" w:color="auto" w:sz="4" w:space="0"/>
              <w:left w:val="single" w:color="auto" w:sz="4" w:space="0"/>
              <w:bottom w:val="single" w:color="auto" w:sz="4" w:space="0"/>
              <w:right w:val="single" w:color="auto" w:sz="4" w:space="0"/>
            </w:tcBorders>
            <w:vAlign w:val="center"/>
          </w:tcPr>
          <w:p>
            <w:pPr>
              <w:widowControl/>
              <w:snapToGrid w:val="0"/>
              <w:spacing w:after="0" w:line="240" w:lineRule="auto"/>
              <w:jc w:val="right"/>
              <w:rPr>
                <w:rFonts w:ascii="宋体" w:hAnsi="宋体"/>
                <w:color w:val="000000"/>
                <w:kern w:val="0"/>
                <w:sz w:val="24"/>
                <w:szCs w:val="24"/>
              </w:rPr>
            </w:pPr>
            <w:r>
              <w:rPr>
                <w:rFonts w:ascii="宋体" w:hAnsi="宋体"/>
                <w:color w:val="000000"/>
                <w:kern w:val="0"/>
                <w:sz w:val="24"/>
                <w:szCs w:val="24"/>
              </w:rPr>
              <w:t>-</w:t>
            </w:r>
          </w:p>
        </w:tc>
      </w:tr>
      <w:tr>
        <w:tblPrEx>
          <w:tblCellMar>
            <w:top w:w="0" w:type="dxa"/>
            <w:left w:w="0" w:type="dxa"/>
            <w:bottom w:w="0" w:type="dxa"/>
            <w:right w:w="0" w:type="dxa"/>
          </w:tblCellMar>
        </w:tblPrEx>
        <w:trPr>
          <w:cantSplit/>
          <w:trHeight w:val="375" w:hRule="atLeast"/>
        </w:trPr>
        <w:tc>
          <w:tcPr>
            <w:tcW w:w="7" w:type="dxa"/>
            <w:tcBorders>
              <w:top w:val="single" w:color="auto" w:sz="4" w:space="0"/>
              <w:left w:val="single" w:color="auto" w:sz="4" w:space="0"/>
              <w:bottom w:val="single" w:color="auto" w:sz="4" w:space="0"/>
              <w:right w:val="single" w:color="auto" w:sz="4" w:space="0"/>
            </w:tcBorders>
            <w:vAlign w:val="center"/>
          </w:tcPr>
          <w:p>
            <w:pPr>
              <w:widowControl/>
              <w:snapToGrid w:val="0"/>
              <w:spacing w:after="0" w:line="240" w:lineRule="auto"/>
              <w:jc w:val="center"/>
              <w:rPr>
                <w:rFonts w:ascii="宋体" w:hAnsi="宋体"/>
                <w:color w:val="000000"/>
                <w:kern w:val="0"/>
                <w:sz w:val="24"/>
                <w:szCs w:val="24"/>
              </w:rPr>
            </w:pPr>
            <w:r>
              <w:rPr>
                <w:rFonts w:ascii="宋体" w:hAnsi="宋体"/>
                <w:color w:val="000000"/>
                <w:kern w:val="0"/>
                <w:sz w:val="24"/>
                <w:szCs w:val="24"/>
              </w:rPr>
              <w:t>7</w:t>
            </w:r>
          </w:p>
        </w:tc>
        <w:tc>
          <w:tcPr>
            <w:tcW w:w="7" w:type="dxa"/>
            <w:tcBorders>
              <w:top w:val="single" w:color="auto" w:sz="4" w:space="0"/>
              <w:left w:val="single" w:color="auto" w:sz="4" w:space="0"/>
              <w:bottom w:val="single" w:color="auto" w:sz="4" w:space="0"/>
              <w:right w:val="single" w:color="auto" w:sz="4" w:space="0"/>
            </w:tcBorders>
            <w:vAlign w:val="center"/>
          </w:tcPr>
          <w:p>
            <w:pPr>
              <w:spacing w:after="0" w:line="240" w:lineRule="auto"/>
              <w:jc w:val="left"/>
            </w:pPr>
            <w:r>
              <w:rPr>
                <w:rFonts w:ascii="宋体" w:hAnsi="宋体"/>
                <w:color w:val="000000"/>
                <w:kern w:val="0"/>
                <w:sz w:val="25"/>
                <w:szCs w:val="24"/>
              </w:rPr>
              <w:t>可转债（可交换债）</w:t>
            </w:r>
          </w:p>
        </w:tc>
        <w:tc>
          <w:tcPr>
            <w:tcW w:w="7" w:type="dxa"/>
            <w:tcBorders>
              <w:top w:val="single" w:color="auto" w:sz="4" w:space="0"/>
              <w:left w:val="single" w:color="auto" w:sz="4" w:space="0"/>
              <w:bottom w:val="single" w:color="auto" w:sz="4" w:space="0"/>
              <w:right w:val="single" w:color="auto" w:sz="4" w:space="0"/>
            </w:tcBorders>
            <w:vAlign w:val="center"/>
          </w:tcPr>
          <w:p>
            <w:pPr>
              <w:widowControl/>
              <w:snapToGrid w:val="0"/>
              <w:spacing w:after="0" w:line="240" w:lineRule="auto"/>
              <w:jc w:val="right"/>
              <w:rPr>
                <w:rFonts w:ascii="宋体" w:hAnsi="宋体"/>
                <w:color w:val="000000"/>
                <w:kern w:val="0"/>
                <w:sz w:val="24"/>
                <w:szCs w:val="24"/>
              </w:rPr>
            </w:pPr>
            <w:r>
              <w:rPr>
                <w:rFonts w:ascii="宋体" w:hAnsi="宋体"/>
                <w:color w:val="000000"/>
                <w:kern w:val="0"/>
                <w:sz w:val="24"/>
                <w:szCs w:val="24"/>
              </w:rPr>
              <w:t>137,245,236.57</w:t>
            </w:r>
          </w:p>
        </w:tc>
        <w:tc>
          <w:tcPr>
            <w:tcW w:w="7" w:type="dxa"/>
            <w:tcBorders>
              <w:top w:val="single" w:color="auto" w:sz="4" w:space="0"/>
              <w:left w:val="single" w:color="auto" w:sz="4" w:space="0"/>
              <w:bottom w:val="single" w:color="auto" w:sz="4" w:space="0"/>
              <w:right w:val="single" w:color="auto" w:sz="4" w:space="0"/>
            </w:tcBorders>
            <w:vAlign w:val="center"/>
          </w:tcPr>
          <w:p>
            <w:pPr>
              <w:widowControl/>
              <w:snapToGrid w:val="0"/>
              <w:spacing w:after="0" w:line="240" w:lineRule="auto"/>
              <w:jc w:val="right"/>
              <w:rPr>
                <w:rFonts w:ascii="宋体" w:hAnsi="宋体"/>
                <w:color w:val="000000"/>
                <w:kern w:val="0"/>
                <w:sz w:val="24"/>
                <w:szCs w:val="24"/>
              </w:rPr>
            </w:pPr>
            <w:r>
              <w:rPr>
                <w:rFonts w:ascii="宋体" w:hAnsi="宋体"/>
                <w:color w:val="000000"/>
                <w:kern w:val="0"/>
                <w:sz w:val="24"/>
                <w:szCs w:val="24"/>
              </w:rPr>
              <w:t>3.37</w:t>
            </w:r>
          </w:p>
        </w:tc>
      </w:tr>
      <w:tr>
        <w:tblPrEx>
          <w:tblCellMar>
            <w:top w:w="0" w:type="dxa"/>
            <w:left w:w="0" w:type="dxa"/>
            <w:bottom w:w="0" w:type="dxa"/>
            <w:right w:w="0" w:type="dxa"/>
          </w:tblCellMar>
        </w:tblPrEx>
        <w:trPr>
          <w:cantSplit/>
          <w:trHeight w:val="375" w:hRule="atLeast"/>
        </w:trPr>
        <w:tc>
          <w:tcPr>
            <w:tcW w:w="7" w:type="dxa"/>
            <w:tcBorders>
              <w:top w:val="single" w:color="auto" w:sz="4" w:space="0"/>
              <w:left w:val="single" w:color="auto" w:sz="4" w:space="0"/>
              <w:bottom w:val="single" w:color="auto" w:sz="4" w:space="0"/>
              <w:right w:val="single" w:color="auto" w:sz="4" w:space="0"/>
            </w:tcBorders>
            <w:vAlign w:val="center"/>
          </w:tcPr>
          <w:p>
            <w:pPr>
              <w:widowControl/>
              <w:snapToGrid w:val="0"/>
              <w:spacing w:after="0" w:line="240" w:lineRule="auto"/>
              <w:jc w:val="center"/>
              <w:rPr>
                <w:rFonts w:ascii="宋体" w:hAnsi="宋体"/>
                <w:color w:val="000000"/>
                <w:kern w:val="0"/>
                <w:sz w:val="24"/>
                <w:szCs w:val="24"/>
              </w:rPr>
            </w:pPr>
            <w:r>
              <w:rPr>
                <w:rFonts w:ascii="宋体" w:hAnsi="宋体"/>
                <w:color w:val="000000"/>
                <w:kern w:val="0"/>
                <w:sz w:val="24"/>
                <w:szCs w:val="24"/>
              </w:rPr>
              <w:t>8</w:t>
            </w:r>
          </w:p>
        </w:tc>
        <w:tc>
          <w:tcPr>
            <w:tcW w:w="7" w:type="dxa"/>
            <w:tcBorders>
              <w:top w:val="single" w:color="auto" w:sz="4" w:space="0"/>
              <w:left w:val="single" w:color="auto" w:sz="4" w:space="0"/>
              <w:bottom w:val="single" w:color="auto" w:sz="4" w:space="0"/>
              <w:right w:val="single" w:color="auto" w:sz="4" w:space="0"/>
            </w:tcBorders>
            <w:vAlign w:val="center"/>
          </w:tcPr>
          <w:p>
            <w:pPr>
              <w:spacing w:after="0" w:line="240" w:lineRule="auto"/>
              <w:jc w:val="left"/>
            </w:pPr>
            <w:r>
              <w:rPr>
                <w:rFonts w:ascii="宋体" w:hAnsi="宋体"/>
                <w:color w:val="000000"/>
                <w:kern w:val="0"/>
                <w:sz w:val="25"/>
                <w:szCs w:val="24"/>
              </w:rPr>
              <w:t>同业存单</w:t>
            </w:r>
          </w:p>
        </w:tc>
        <w:tc>
          <w:tcPr>
            <w:tcW w:w="7" w:type="dxa"/>
            <w:tcBorders>
              <w:top w:val="single" w:color="auto" w:sz="4" w:space="0"/>
              <w:left w:val="single" w:color="auto" w:sz="4" w:space="0"/>
              <w:bottom w:val="single" w:color="auto" w:sz="4" w:space="0"/>
              <w:right w:val="single" w:color="auto" w:sz="4" w:space="0"/>
            </w:tcBorders>
            <w:vAlign w:val="center"/>
          </w:tcPr>
          <w:p>
            <w:pPr>
              <w:widowControl/>
              <w:snapToGrid w:val="0"/>
              <w:spacing w:after="0" w:line="240" w:lineRule="auto"/>
              <w:jc w:val="right"/>
              <w:rPr>
                <w:rFonts w:ascii="宋体" w:hAnsi="宋体"/>
                <w:color w:val="000000"/>
                <w:kern w:val="0"/>
                <w:sz w:val="24"/>
                <w:szCs w:val="24"/>
              </w:rPr>
            </w:pPr>
            <w:r>
              <w:rPr>
                <w:rFonts w:ascii="宋体" w:hAnsi="宋体"/>
                <w:color w:val="000000"/>
                <w:kern w:val="0"/>
                <w:sz w:val="24"/>
                <w:szCs w:val="24"/>
              </w:rPr>
              <w:t>-</w:t>
            </w:r>
          </w:p>
        </w:tc>
        <w:tc>
          <w:tcPr>
            <w:tcW w:w="7" w:type="dxa"/>
            <w:tcBorders>
              <w:top w:val="single" w:color="auto" w:sz="4" w:space="0"/>
              <w:left w:val="single" w:color="auto" w:sz="4" w:space="0"/>
              <w:bottom w:val="single" w:color="auto" w:sz="4" w:space="0"/>
              <w:right w:val="single" w:color="auto" w:sz="4" w:space="0"/>
            </w:tcBorders>
            <w:vAlign w:val="center"/>
          </w:tcPr>
          <w:p>
            <w:pPr>
              <w:widowControl/>
              <w:snapToGrid w:val="0"/>
              <w:spacing w:after="0" w:line="240" w:lineRule="auto"/>
              <w:jc w:val="right"/>
              <w:rPr>
                <w:rFonts w:ascii="宋体" w:hAnsi="宋体"/>
                <w:color w:val="000000"/>
                <w:kern w:val="0"/>
                <w:sz w:val="24"/>
                <w:szCs w:val="24"/>
              </w:rPr>
            </w:pPr>
            <w:r>
              <w:rPr>
                <w:rFonts w:ascii="宋体" w:hAnsi="宋体"/>
                <w:color w:val="000000"/>
                <w:kern w:val="0"/>
                <w:sz w:val="24"/>
                <w:szCs w:val="24"/>
              </w:rPr>
              <w:t>-</w:t>
            </w:r>
          </w:p>
        </w:tc>
      </w:tr>
      <w:tr>
        <w:tblPrEx>
          <w:tblCellMar>
            <w:top w:w="0" w:type="dxa"/>
            <w:left w:w="0" w:type="dxa"/>
            <w:bottom w:w="0" w:type="dxa"/>
            <w:right w:w="0" w:type="dxa"/>
          </w:tblCellMar>
        </w:tblPrEx>
        <w:trPr>
          <w:cantSplit/>
          <w:trHeight w:val="375" w:hRule="atLeast"/>
        </w:trPr>
        <w:tc>
          <w:tcPr>
            <w:tcW w:w="7" w:type="dxa"/>
            <w:tcBorders>
              <w:top w:val="single" w:color="auto" w:sz="4" w:space="0"/>
              <w:left w:val="single" w:color="auto" w:sz="4" w:space="0"/>
              <w:bottom w:val="single" w:color="auto" w:sz="4" w:space="0"/>
              <w:right w:val="single" w:color="auto" w:sz="4" w:space="0"/>
            </w:tcBorders>
            <w:vAlign w:val="center"/>
          </w:tcPr>
          <w:p>
            <w:pPr>
              <w:widowControl/>
              <w:snapToGrid w:val="0"/>
              <w:spacing w:after="0" w:line="240" w:lineRule="auto"/>
              <w:jc w:val="center"/>
              <w:rPr>
                <w:rFonts w:ascii="宋体" w:hAnsi="宋体"/>
                <w:color w:val="000000"/>
                <w:kern w:val="0"/>
                <w:sz w:val="24"/>
                <w:szCs w:val="24"/>
              </w:rPr>
            </w:pPr>
            <w:r>
              <w:rPr>
                <w:rFonts w:ascii="宋体" w:hAnsi="宋体"/>
                <w:color w:val="000000"/>
                <w:kern w:val="0"/>
                <w:sz w:val="24"/>
                <w:szCs w:val="24"/>
              </w:rPr>
              <w:t>9</w:t>
            </w:r>
          </w:p>
        </w:tc>
        <w:tc>
          <w:tcPr>
            <w:tcW w:w="7" w:type="dxa"/>
            <w:tcBorders>
              <w:top w:val="single" w:color="auto" w:sz="4" w:space="0"/>
              <w:left w:val="single" w:color="auto" w:sz="4" w:space="0"/>
              <w:bottom w:val="single" w:color="auto" w:sz="4" w:space="0"/>
              <w:right w:val="single" w:color="auto" w:sz="4" w:space="0"/>
            </w:tcBorders>
            <w:vAlign w:val="center"/>
          </w:tcPr>
          <w:p>
            <w:pPr>
              <w:spacing w:after="0" w:line="240" w:lineRule="auto"/>
              <w:jc w:val="left"/>
            </w:pPr>
            <w:r>
              <w:rPr>
                <w:rFonts w:ascii="宋体" w:hAnsi="宋体"/>
                <w:color w:val="000000"/>
                <w:kern w:val="0"/>
                <w:sz w:val="25"/>
                <w:szCs w:val="24"/>
              </w:rPr>
              <w:t>其他</w:t>
            </w:r>
          </w:p>
        </w:tc>
        <w:tc>
          <w:tcPr>
            <w:tcW w:w="7" w:type="dxa"/>
            <w:tcBorders>
              <w:top w:val="single" w:color="auto" w:sz="4" w:space="0"/>
              <w:left w:val="single" w:color="auto" w:sz="4" w:space="0"/>
              <w:bottom w:val="single" w:color="auto" w:sz="4" w:space="0"/>
              <w:right w:val="single" w:color="auto" w:sz="4" w:space="0"/>
            </w:tcBorders>
            <w:vAlign w:val="center"/>
          </w:tcPr>
          <w:p>
            <w:pPr>
              <w:widowControl/>
              <w:snapToGrid w:val="0"/>
              <w:spacing w:after="0" w:line="240" w:lineRule="auto"/>
              <w:jc w:val="right"/>
              <w:rPr>
                <w:rFonts w:ascii="宋体" w:hAnsi="宋体"/>
                <w:color w:val="000000"/>
                <w:kern w:val="0"/>
                <w:sz w:val="24"/>
                <w:szCs w:val="24"/>
              </w:rPr>
            </w:pPr>
            <w:r>
              <w:rPr>
                <w:rFonts w:ascii="宋体" w:hAnsi="宋体"/>
                <w:color w:val="000000"/>
                <w:kern w:val="0"/>
                <w:sz w:val="24"/>
                <w:szCs w:val="24"/>
              </w:rPr>
              <w:t>-</w:t>
            </w:r>
          </w:p>
        </w:tc>
        <w:tc>
          <w:tcPr>
            <w:tcW w:w="7" w:type="dxa"/>
            <w:tcBorders>
              <w:top w:val="single" w:color="auto" w:sz="4" w:space="0"/>
              <w:left w:val="single" w:color="auto" w:sz="4" w:space="0"/>
              <w:bottom w:val="single" w:color="auto" w:sz="4" w:space="0"/>
              <w:right w:val="single" w:color="auto" w:sz="4" w:space="0"/>
            </w:tcBorders>
            <w:vAlign w:val="center"/>
          </w:tcPr>
          <w:p>
            <w:pPr>
              <w:widowControl/>
              <w:snapToGrid w:val="0"/>
              <w:spacing w:after="0" w:line="240" w:lineRule="auto"/>
              <w:jc w:val="right"/>
              <w:rPr>
                <w:rFonts w:ascii="宋体" w:hAnsi="宋体"/>
                <w:color w:val="000000"/>
                <w:kern w:val="0"/>
                <w:sz w:val="24"/>
                <w:szCs w:val="24"/>
              </w:rPr>
            </w:pPr>
            <w:r>
              <w:rPr>
                <w:rFonts w:ascii="宋体" w:hAnsi="宋体"/>
                <w:color w:val="000000"/>
                <w:kern w:val="0"/>
                <w:sz w:val="24"/>
                <w:szCs w:val="24"/>
              </w:rPr>
              <w:t>-</w:t>
            </w:r>
          </w:p>
        </w:tc>
      </w:tr>
      <w:tr>
        <w:tblPrEx>
          <w:tblCellMar>
            <w:top w:w="0" w:type="dxa"/>
            <w:left w:w="0" w:type="dxa"/>
            <w:bottom w:w="0" w:type="dxa"/>
            <w:right w:w="0" w:type="dxa"/>
          </w:tblCellMar>
        </w:tblPrEx>
        <w:trPr>
          <w:cantSplit/>
          <w:trHeight w:val="375" w:hRule="atLeast"/>
        </w:trPr>
        <w:tc>
          <w:tcPr>
            <w:tcW w:w="7" w:type="dxa"/>
            <w:tcBorders>
              <w:top w:val="single" w:color="auto" w:sz="4" w:space="0"/>
              <w:left w:val="single" w:color="auto" w:sz="4" w:space="0"/>
              <w:bottom w:val="single" w:color="auto" w:sz="4" w:space="0"/>
              <w:right w:val="single" w:color="auto" w:sz="4" w:space="0"/>
            </w:tcBorders>
            <w:vAlign w:val="center"/>
          </w:tcPr>
          <w:p>
            <w:pPr>
              <w:widowControl/>
              <w:snapToGrid w:val="0"/>
              <w:spacing w:after="0" w:line="240" w:lineRule="auto"/>
              <w:jc w:val="center"/>
              <w:rPr>
                <w:rFonts w:ascii="宋体" w:hAnsi="宋体"/>
                <w:color w:val="000000"/>
                <w:kern w:val="0"/>
                <w:sz w:val="24"/>
                <w:szCs w:val="24"/>
              </w:rPr>
            </w:pPr>
            <w:r>
              <w:rPr>
                <w:rFonts w:ascii="宋体" w:hAnsi="宋体"/>
                <w:color w:val="000000"/>
                <w:kern w:val="0"/>
                <w:sz w:val="24"/>
                <w:szCs w:val="24"/>
              </w:rPr>
              <w:t>10</w:t>
            </w:r>
          </w:p>
        </w:tc>
        <w:tc>
          <w:tcPr>
            <w:tcW w:w="7" w:type="dxa"/>
            <w:tcBorders>
              <w:top w:val="single" w:color="auto" w:sz="4" w:space="0"/>
              <w:left w:val="single" w:color="auto" w:sz="4" w:space="0"/>
              <w:bottom w:val="single" w:color="auto" w:sz="4" w:space="0"/>
              <w:right w:val="single" w:color="auto" w:sz="4" w:space="0"/>
            </w:tcBorders>
            <w:vAlign w:val="center"/>
          </w:tcPr>
          <w:p>
            <w:pPr>
              <w:spacing w:after="0" w:line="240" w:lineRule="auto"/>
              <w:jc w:val="left"/>
            </w:pPr>
            <w:r>
              <w:rPr>
                <w:rFonts w:ascii="宋体" w:hAnsi="宋体"/>
                <w:color w:val="000000"/>
                <w:kern w:val="0"/>
                <w:sz w:val="25"/>
                <w:szCs w:val="24"/>
              </w:rPr>
              <w:t>合计</w:t>
            </w:r>
          </w:p>
        </w:tc>
        <w:tc>
          <w:tcPr>
            <w:tcW w:w="7" w:type="dxa"/>
            <w:tcBorders>
              <w:top w:val="single" w:color="auto" w:sz="4" w:space="0"/>
              <w:left w:val="single" w:color="auto" w:sz="4" w:space="0"/>
              <w:bottom w:val="single" w:color="auto" w:sz="4" w:space="0"/>
              <w:right w:val="single" w:color="auto" w:sz="4" w:space="0"/>
            </w:tcBorders>
            <w:vAlign w:val="center"/>
          </w:tcPr>
          <w:p>
            <w:pPr>
              <w:widowControl/>
              <w:snapToGrid w:val="0"/>
              <w:spacing w:after="0" w:line="240" w:lineRule="auto"/>
              <w:jc w:val="right"/>
              <w:rPr>
                <w:rFonts w:ascii="宋体" w:hAnsi="宋体"/>
                <w:color w:val="000000"/>
                <w:kern w:val="0"/>
                <w:sz w:val="24"/>
                <w:szCs w:val="24"/>
              </w:rPr>
            </w:pPr>
            <w:r>
              <w:rPr>
                <w:rFonts w:ascii="宋体" w:hAnsi="宋体"/>
                <w:color w:val="000000"/>
                <w:kern w:val="0"/>
                <w:sz w:val="24"/>
                <w:szCs w:val="24"/>
              </w:rPr>
              <w:t>137,245,236.57</w:t>
            </w:r>
          </w:p>
        </w:tc>
        <w:tc>
          <w:tcPr>
            <w:tcW w:w="7" w:type="dxa"/>
            <w:tcBorders>
              <w:top w:val="single" w:color="auto" w:sz="4" w:space="0"/>
              <w:left w:val="single" w:color="auto" w:sz="4" w:space="0"/>
              <w:bottom w:val="single" w:color="auto" w:sz="4" w:space="0"/>
              <w:right w:val="single" w:color="auto" w:sz="4" w:space="0"/>
            </w:tcBorders>
            <w:vAlign w:val="center"/>
          </w:tcPr>
          <w:p>
            <w:pPr>
              <w:widowControl/>
              <w:snapToGrid w:val="0"/>
              <w:spacing w:after="0" w:line="240" w:lineRule="auto"/>
              <w:jc w:val="right"/>
              <w:rPr>
                <w:rFonts w:ascii="宋体" w:hAnsi="宋体"/>
                <w:color w:val="000000"/>
                <w:kern w:val="0"/>
                <w:sz w:val="24"/>
                <w:szCs w:val="24"/>
              </w:rPr>
            </w:pPr>
            <w:r>
              <w:rPr>
                <w:rFonts w:ascii="宋体" w:hAnsi="宋体"/>
                <w:color w:val="000000"/>
                <w:kern w:val="0"/>
                <w:sz w:val="24"/>
                <w:szCs w:val="24"/>
              </w:rPr>
              <w:t>3.37</w:t>
            </w:r>
          </w:p>
        </w:tc>
      </w:tr>
    </w:tbl>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 </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5、报告期末按公允价值占基金资产净值比例大小排序的前五名债券投资明细</w:t>
      </w:r>
    </w:p>
    <w:tbl>
      <w:tblPr>
        <w:tblStyle w:val="14"/>
        <w:tblW w:w="5000" w:type="pct"/>
        <w:tblInd w:w="0" w:type="dxa"/>
        <w:tblLayout w:type="fixed"/>
        <w:tblCellMar>
          <w:top w:w="0" w:type="dxa"/>
          <w:left w:w="0" w:type="dxa"/>
          <w:bottom w:w="0" w:type="dxa"/>
          <w:right w:w="0" w:type="dxa"/>
        </w:tblCellMar>
      </w:tblPr>
      <w:tblGrid>
        <w:gridCol w:w="1445"/>
        <w:gridCol w:w="1445"/>
        <w:gridCol w:w="1445"/>
        <w:gridCol w:w="1445"/>
        <w:gridCol w:w="1445"/>
        <w:gridCol w:w="1445"/>
      </w:tblGrid>
      <w:tr>
        <w:tblPrEx>
          <w:tblCellMar>
            <w:top w:w="0" w:type="dxa"/>
            <w:left w:w="0" w:type="dxa"/>
            <w:bottom w:w="0" w:type="dxa"/>
            <w:right w:w="0" w:type="dxa"/>
          </w:tblCellMar>
        </w:tblPrEx>
        <w:trPr>
          <w:cantSplit/>
          <w:trHeight w:val="375" w:hRule="atLeast"/>
        </w:trPr>
        <w:tc>
          <w:tcPr>
            <w:tcW w:w="7" w:type="dxa"/>
            <w:tcBorders>
              <w:top w:val="single" w:color="auto" w:sz="4" w:space="0"/>
              <w:left w:val="single" w:color="auto" w:sz="4" w:space="0"/>
              <w:bottom w:val="single" w:color="auto" w:sz="4" w:space="0"/>
              <w:right w:val="single" w:color="auto" w:sz="4" w:space="0"/>
            </w:tcBorders>
            <w:vAlign w:val="center"/>
          </w:tcPr>
          <w:p>
            <w:pPr>
              <w:widowControl/>
              <w:snapToGrid w:val="0"/>
              <w:spacing w:after="0" w:line="240" w:lineRule="auto"/>
              <w:jc w:val="center"/>
              <w:rPr>
                <w:rFonts w:ascii="宋体" w:hAnsi="宋体"/>
                <w:color w:val="000000"/>
                <w:kern w:val="0"/>
                <w:sz w:val="24"/>
                <w:szCs w:val="24"/>
              </w:rPr>
            </w:pPr>
            <w:r>
              <w:rPr>
                <w:rFonts w:ascii="宋体" w:hAnsi="宋体"/>
                <w:color w:val="000000"/>
                <w:kern w:val="0"/>
                <w:sz w:val="24"/>
                <w:szCs w:val="24"/>
              </w:rPr>
              <w:t>序号</w:t>
            </w:r>
          </w:p>
        </w:tc>
        <w:tc>
          <w:tcPr>
            <w:tcW w:w="7" w:type="dxa"/>
            <w:tcBorders>
              <w:top w:val="single" w:color="auto" w:sz="4" w:space="0"/>
              <w:left w:val="single" w:color="auto" w:sz="4" w:space="0"/>
              <w:bottom w:val="single" w:color="auto" w:sz="4" w:space="0"/>
              <w:right w:val="single" w:color="auto" w:sz="4" w:space="0"/>
            </w:tcBorders>
            <w:vAlign w:val="center"/>
          </w:tcPr>
          <w:p>
            <w:pPr>
              <w:widowControl/>
              <w:snapToGrid w:val="0"/>
              <w:spacing w:after="0" w:line="240" w:lineRule="auto"/>
              <w:jc w:val="center"/>
              <w:rPr>
                <w:rFonts w:ascii="宋体" w:hAnsi="宋体"/>
                <w:color w:val="000000"/>
                <w:kern w:val="0"/>
                <w:sz w:val="24"/>
                <w:szCs w:val="24"/>
              </w:rPr>
            </w:pPr>
            <w:r>
              <w:rPr>
                <w:rFonts w:ascii="宋体" w:hAnsi="宋体"/>
                <w:color w:val="000000"/>
                <w:kern w:val="0"/>
                <w:sz w:val="24"/>
                <w:szCs w:val="24"/>
              </w:rPr>
              <w:t>债券代码</w:t>
            </w:r>
          </w:p>
        </w:tc>
        <w:tc>
          <w:tcPr>
            <w:tcW w:w="7" w:type="dxa"/>
            <w:tcBorders>
              <w:top w:val="single" w:color="auto" w:sz="4" w:space="0"/>
              <w:left w:val="single" w:color="auto" w:sz="4" w:space="0"/>
              <w:bottom w:val="single" w:color="auto" w:sz="4" w:space="0"/>
              <w:right w:val="single" w:color="auto" w:sz="4" w:space="0"/>
            </w:tcBorders>
            <w:vAlign w:val="center"/>
          </w:tcPr>
          <w:p>
            <w:pPr>
              <w:widowControl/>
              <w:snapToGrid w:val="0"/>
              <w:spacing w:after="0" w:line="240" w:lineRule="auto"/>
              <w:jc w:val="center"/>
              <w:rPr>
                <w:rFonts w:ascii="宋体" w:hAnsi="宋体"/>
                <w:color w:val="000000"/>
                <w:kern w:val="0"/>
                <w:sz w:val="24"/>
                <w:szCs w:val="24"/>
              </w:rPr>
            </w:pPr>
            <w:r>
              <w:rPr>
                <w:rFonts w:ascii="宋体" w:hAnsi="宋体"/>
                <w:color w:val="000000"/>
                <w:kern w:val="0"/>
                <w:sz w:val="24"/>
                <w:szCs w:val="24"/>
              </w:rPr>
              <w:t>债券名称</w:t>
            </w:r>
          </w:p>
        </w:tc>
        <w:tc>
          <w:tcPr>
            <w:tcW w:w="7" w:type="dxa"/>
            <w:tcBorders>
              <w:top w:val="single" w:color="auto" w:sz="4" w:space="0"/>
              <w:left w:val="single" w:color="auto" w:sz="4" w:space="0"/>
              <w:bottom w:val="single" w:color="auto" w:sz="4" w:space="0"/>
              <w:right w:val="single" w:color="auto" w:sz="4" w:space="0"/>
            </w:tcBorders>
            <w:vAlign w:val="center"/>
          </w:tcPr>
          <w:p>
            <w:pPr>
              <w:widowControl/>
              <w:snapToGrid w:val="0"/>
              <w:spacing w:after="0" w:line="240" w:lineRule="auto"/>
              <w:jc w:val="center"/>
              <w:rPr>
                <w:rFonts w:ascii="宋体" w:hAnsi="宋体"/>
                <w:color w:val="000000"/>
                <w:kern w:val="0"/>
                <w:sz w:val="24"/>
                <w:szCs w:val="24"/>
              </w:rPr>
            </w:pPr>
            <w:r>
              <w:rPr>
                <w:rFonts w:ascii="宋体" w:hAnsi="宋体"/>
                <w:color w:val="000000"/>
                <w:kern w:val="0"/>
                <w:sz w:val="24"/>
                <w:szCs w:val="24"/>
              </w:rPr>
              <w:t>数量（张）</w:t>
            </w:r>
          </w:p>
        </w:tc>
        <w:tc>
          <w:tcPr>
            <w:tcW w:w="7" w:type="dxa"/>
            <w:tcBorders>
              <w:top w:val="single" w:color="auto" w:sz="4" w:space="0"/>
              <w:left w:val="single" w:color="auto" w:sz="4" w:space="0"/>
              <w:bottom w:val="single" w:color="auto" w:sz="4" w:space="0"/>
              <w:right w:val="single" w:color="auto" w:sz="4" w:space="0"/>
            </w:tcBorders>
            <w:vAlign w:val="center"/>
          </w:tcPr>
          <w:p>
            <w:pPr>
              <w:widowControl/>
              <w:snapToGrid w:val="0"/>
              <w:spacing w:after="0" w:line="240" w:lineRule="auto"/>
              <w:jc w:val="center"/>
              <w:rPr>
                <w:rFonts w:ascii="宋体" w:hAnsi="宋体"/>
                <w:color w:val="000000"/>
                <w:kern w:val="0"/>
                <w:sz w:val="24"/>
                <w:szCs w:val="24"/>
              </w:rPr>
            </w:pPr>
            <w:r>
              <w:rPr>
                <w:rFonts w:ascii="宋体" w:hAnsi="宋体"/>
                <w:color w:val="000000"/>
                <w:kern w:val="0"/>
                <w:sz w:val="24"/>
                <w:szCs w:val="24"/>
              </w:rPr>
              <w:t>公允价值（元）</w:t>
            </w:r>
          </w:p>
        </w:tc>
        <w:tc>
          <w:tcPr>
            <w:tcW w:w="7" w:type="dxa"/>
            <w:tcBorders>
              <w:top w:val="single" w:color="auto" w:sz="4" w:space="0"/>
              <w:left w:val="single" w:color="auto" w:sz="4" w:space="0"/>
              <w:bottom w:val="single" w:color="auto" w:sz="4" w:space="0"/>
              <w:right w:val="single" w:color="auto" w:sz="4" w:space="0"/>
            </w:tcBorders>
            <w:vAlign w:val="center"/>
          </w:tcPr>
          <w:p>
            <w:pPr>
              <w:widowControl/>
              <w:snapToGrid w:val="0"/>
              <w:spacing w:after="0" w:line="240" w:lineRule="auto"/>
              <w:jc w:val="center"/>
              <w:rPr>
                <w:rFonts w:ascii="宋体" w:hAnsi="宋体"/>
                <w:color w:val="000000"/>
                <w:kern w:val="0"/>
                <w:sz w:val="24"/>
                <w:szCs w:val="24"/>
              </w:rPr>
            </w:pPr>
            <w:r>
              <w:rPr>
                <w:rFonts w:ascii="宋体" w:hAnsi="宋体"/>
                <w:color w:val="000000"/>
                <w:kern w:val="0"/>
                <w:sz w:val="24"/>
                <w:szCs w:val="24"/>
              </w:rPr>
              <w:t>占基金资产净值比例（%）</w:t>
            </w:r>
          </w:p>
        </w:tc>
      </w:tr>
      <w:tr>
        <w:tblPrEx>
          <w:tblCellMar>
            <w:top w:w="0" w:type="dxa"/>
            <w:left w:w="0" w:type="dxa"/>
            <w:bottom w:w="0" w:type="dxa"/>
            <w:right w:w="0" w:type="dxa"/>
          </w:tblCellMar>
        </w:tblPrEx>
        <w:trPr>
          <w:cantSplit/>
          <w:trHeight w:val="375" w:hRule="atLeast"/>
        </w:trPr>
        <w:tc>
          <w:tcPr>
            <w:tcW w:w="7" w:type="dxa"/>
            <w:tcBorders>
              <w:top w:val="single" w:color="auto" w:sz="4" w:space="0"/>
              <w:left w:val="single" w:color="auto" w:sz="4" w:space="0"/>
              <w:bottom w:val="single" w:color="auto" w:sz="4" w:space="0"/>
              <w:right w:val="single" w:color="auto" w:sz="4" w:space="0"/>
            </w:tcBorders>
            <w:vAlign w:val="center"/>
          </w:tcPr>
          <w:p>
            <w:pPr>
              <w:widowControl/>
              <w:snapToGrid w:val="0"/>
              <w:spacing w:after="0" w:line="240" w:lineRule="auto"/>
              <w:jc w:val="center"/>
              <w:rPr>
                <w:rFonts w:ascii="宋体" w:hAnsi="宋体"/>
                <w:color w:val="000000"/>
                <w:kern w:val="0"/>
                <w:sz w:val="24"/>
                <w:szCs w:val="24"/>
              </w:rPr>
            </w:pPr>
            <w:r>
              <w:rPr>
                <w:rFonts w:ascii="宋体" w:hAnsi="宋体"/>
                <w:color w:val="000000"/>
                <w:kern w:val="0"/>
                <w:sz w:val="24"/>
                <w:szCs w:val="24"/>
              </w:rPr>
              <w:t>1</w:t>
            </w:r>
          </w:p>
        </w:tc>
        <w:tc>
          <w:tcPr>
            <w:tcW w:w="7" w:type="dxa"/>
            <w:tcBorders>
              <w:top w:val="single" w:color="auto" w:sz="4" w:space="0"/>
              <w:left w:val="single" w:color="auto" w:sz="4" w:space="0"/>
              <w:bottom w:val="single" w:color="auto" w:sz="4" w:space="0"/>
              <w:right w:val="single" w:color="auto" w:sz="4" w:space="0"/>
            </w:tcBorders>
            <w:vAlign w:val="center"/>
          </w:tcPr>
          <w:p>
            <w:pPr>
              <w:widowControl/>
              <w:snapToGrid w:val="0"/>
              <w:spacing w:after="0" w:line="240" w:lineRule="auto"/>
              <w:jc w:val="center"/>
              <w:rPr>
                <w:rFonts w:ascii="宋体" w:hAnsi="宋体"/>
                <w:color w:val="000000"/>
                <w:kern w:val="0"/>
                <w:sz w:val="24"/>
                <w:szCs w:val="24"/>
              </w:rPr>
            </w:pPr>
            <w:r>
              <w:rPr>
                <w:rFonts w:ascii="宋体" w:hAnsi="宋体"/>
                <w:color w:val="000000"/>
                <w:kern w:val="0"/>
                <w:sz w:val="24"/>
                <w:szCs w:val="24"/>
              </w:rPr>
              <w:t>118034</w:t>
            </w:r>
          </w:p>
        </w:tc>
        <w:tc>
          <w:tcPr>
            <w:tcW w:w="7" w:type="dxa"/>
            <w:tcBorders>
              <w:top w:val="single" w:color="auto" w:sz="4" w:space="0"/>
              <w:left w:val="single" w:color="auto" w:sz="4" w:space="0"/>
              <w:bottom w:val="single" w:color="auto" w:sz="4" w:space="0"/>
              <w:right w:val="single" w:color="auto" w:sz="4" w:space="0"/>
            </w:tcBorders>
            <w:vAlign w:val="center"/>
          </w:tcPr>
          <w:p>
            <w:pPr>
              <w:widowControl/>
              <w:snapToGrid w:val="0"/>
              <w:spacing w:after="0" w:line="240" w:lineRule="auto"/>
              <w:jc w:val="center"/>
              <w:rPr>
                <w:rFonts w:ascii="宋体" w:hAnsi="宋体"/>
                <w:color w:val="000000"/>
                <w:kern w:val="0"/>
                <w:sz w:val="24"/>
                <w:szCs w:val="24"/>
              </w:rPr>
            </w:pPr>
            <w:r>
              <w:rPr>
                <w:rFonts w:ascii="宋体" w:hAnsi="宋体"/>
                <w:color w:val="000000"/>
                <w:kern w:val="0"/>
                <w:sz w:val="24"/>
                <w:szCs w:val="24"/>
              </w:rPr>
              <w:t>晶能转债</w:t>
            </w:r>
          </w:p>
        </w:tc>
        <w:tc>
          <w:tcPr>
            <w:tcW w:w="7" w:type="dxa"/>
            <w:tcBorders>
              <w:top w:val="single" w:color="auto" w:sz="4" w:space="0"/>
              <w:left w:val="single" w:color="auto" w:sz="4" w:space="0"/>
              <w:bottom w:val="single" w:color="auto" w:sz="4" w:space="0"/>
              <w:right w:val="single" w:color="auto" w:sz="4" w:space="0"/>
            </w:tcBorders>
            <w:vAlign w:val="center"/>
          </w:tcPr>
          <w:p>
            <w:pPr>
              <w:widowControl/>
              <w:snapToGrid w:val="0"/>
              <w:spacing w:after="0" w:line="240" w:lineRule="auto"/>
              <w:jc w:val="right"/>
              <w:rPr>
                <w:rFonts w:ascii="宋体" w:hAnsi="宋体"/>
                <w:color w:val="000000"/>
                <w:kern w:val="0"/>
                <w:sz w:val="24"/>
                <w:szCs w:val="24"/>
              </w:rPr>
            </w:pPr>
            <w:r>
              <w:rPr>
                <w:rFonts w:ascii="宋体" w:hAnsi="宋体"/>
                <w:color w:val="000000"/>
                <w:kern w:val="0"/>
                <w:sz w:val="24"/>
                <w:szCs w:val="24"/>
              </w:rPr>
              <w:t>309,430</w:t>
            </w:r>
          </w:p>
        </w:tc>
        <w:tc>
          <w:tcPr>
            <w:tcW w:w="7" w:type="dxa"/>
            <w:tcBorders>
              <w:top w:val="single" w:color="auto" w:sz="4" w:space="0"/>
              <w:left w:val="single" w:color="auto" w:sz="4" w:space="0"/>
              <w:bottom w:val="single" w:color="auto" w:sz="4" w:space="0"/>
              <w:right w:val="single" w:color="auto" w:sz="4" w:space="0"/>
            </w:tcBorders>
            <w:vAlign w:val="center"/>
          </w:tcPr>
          <w:p>
            <w:pPr>
              <w:widowControl/>
              <w:snapToGrid w:val="0"/>
              <w:spacing w:after="0" w:line="240" w:lineRule="auto"/>
              <w:jc w:val="right"/>
              <w:rPr>
                <w:rFonts w:ascii="宋体" w:hAnsi="宋体"/>
                <w:color w:val="000000"/>
                <w:kern w:val="0"/>
                <w:sz w:val="24"/>
                <w:szCs w:val="24"/>
              </w:rPr>
            </w:pPr>
            <w:r>
              <w:rPr>
                <w:rFonts w:ascii="宋体" w:hAnsi="宋体"/>
                <w:color w:val="000000"/>
                <w:kern w:val="0"/>
                <w:sz w:val="24"/>
                <w:szCs w:val="24"/>
              </w:rPr>
              <w:t>35,438,000.60</w:t>
            </w:r>
          </w:p>
        </w:tc>
        <w:tc>
          <w:tcPr>
            <w:tcW w:w="7" w:type="dxa"/>
            <w:tcBorders>
              <w:top w:val="single" w:color="auto" w:sz="4" w:space="0"/>
              <w:left w:val="single" w:color="auto" w:sz="4" w:space="0"/>
              <w:bottom w:val="single" w:color="auto" w:sz="4" w:space="0"/>
              <w:right w:val="single" w:color="auto" w:sz="4" w:space="0"/>
            </w:tcBorders>
            <w:vAlign w:val="center"/>
          </w:tcPr>
          <w:p>
            <w:pPr>
              <w:widowControl/>
              <w:snapToGrid w:val="0"/>
              <w:spacing w:after="0" w:line="240" w:lineRule="auto"/>
              <w:jc w:val="right"/>
              <w:rPr>
                <w:rFonts w:ascii="宋体" w:hAnsi="宋体"/>
                <w:color w:val="000000"/>
                <w:kern w:val="0"/>
                <w:sz w:val="24"/>
                <w:szCs w:val="24"/>
              </w:rPr>
            </w:pPr>
            <w:r>
              <w:rPr>
                <w:rFonts w:ascii="宋体" w:hAnsi="宋体"/>
                <w:color w:val="000000"/>
                <w:kern w:val="0"/>
                <w:sz w:val="24"/>
                <w:szCs w:val="24"/>
              </w:rPr>
              <w:t>0.87</w:t>
            </w:r>
          </w:p>
        </w:tc>
      </w:tr>
      <w:tr>
        <w:tblPrEx>
          <w:tblCellMar>
            <w:top w:w="0" w:type="dxa"/>
            <w:left w:w="0" w:type="dxa"/>
            <w:bottom w:w="0" w:type="dxa"/>
            <w:right w:w="0" w:type="dxa"/>
          </w:tblCellMar>
        </w:tblPrEx>
        <w:trPr>
          <w:cantSplit/>
          <w:trHeight w:val="375" w:hRule="atLeast"/>
        </w:trPr>
        <w:tc>
          <w:tcPr>
            <w:tcW w:w="7" w:type="dxa"/>
            <w:tcBorders>
              <w:top w:val="single" w:color="auto" w:sz="4" w:space="0"/>
              <w:left w:val="single" w:color="auto" w:sz="4" w:space="0"/>
              <w:bottom w:val="single" w:color="auto" w:sz="4" w:space="0"/>
              <w:right w:val="single" w:color="auto" w:sz="4" w:space="0"/>
            </w:tcBorders>
            <w:vAlign w:val="center"/>
          </w:tcPr>
          <w:p>
            <w:pPr>
              <w:widowControl/>
              <w:snapToGrid w:val="0"/>
              <w:spacing w:after="0" w:line="240" w:lineRule="auto"/>
              <w:jc w:val="center"/>
              <w:rPr>
                <w:rFonts w:ascii="宋体" w:hAnsi="宋体"/>
                <w:color w:val="000000"/>
                <w:kern w:val="0"/>
                <w:sz w:val="24"/>
                <w:szCs w:val="24"/>
              </w:rPr>
            </w:pPr>
            <w:r>
              <w:rPr>
                <w:rFonts w:ascii="宋体" w:hAnsi="宋体"/>
                <w:color w:val="000000"/>
                <w:kern w:val="0"/>
                <w:sz w:val="24"/>
                <w:szCs w:val="24"/>
              </w:rPr>
              <w:t>2</w:t>
            </w:r>
          </w:p>
        </w:tc>
        <w:tc>
          <w:tcPr>
            <w:tcW w:w="7" w:type="dxa"/>
            <w:tcBorders>
              <w:top w:val="single" w:color="auto" w:sz="4" w:space="0"/>
              <w:left w:val="single" w:color="auto" w:sz="4" w:space="0"/>
              <w:bottom w:val="single" w:color="auto" w:sz="4" w:space="0"/>
              <w:right w:val="single" w:color="auto" w:sz="4" w:space="0"/>
            </w:tcBorders>
            <w:vAlign w:val="center"/>
          </w:tcPr>
          <w:p>
            <w:pPr>
              <w:widowControl/>
              <w:snapToGrid w:val="0"/>
              <w:spacing w:after="0" w:line="240" w:lineRule="auto"/>
              <w:jc w:val="center"/>
              <w:rPr>
                <w:rFonts w:ascii="宋体" w:hAnsi="宋体"/>
                <w:color w:val="000000"/>
                <w:kern w:val="0"/>
                <w:sz w:val="24"/>
                <w:szCs w:val="24"/>
              </w:rPr>
            </w:pPr>
            <w:r>
              <w:rPr>
                <w:rFonts w:ascii="宋体" w:hAnsi="宋体"/>
                <w:color w:val="000000"/>
                <w:kern w:val="0"/>
                <w:sz w:val="24"/>
                <w:szCs w:val="24"/>
              </w:rPr>
              <w:t>110085</w:t>
            </w:r>
          </w:p>
        </w:tc>
        <w:tc>
          <w:tcPr>
            <w:tcW w:w="7" w:type="dxa"/>
            <w:tcBorders>
              <w:top w:val="single" w:color="auto" w:sz="4" w:space="0"/>
              <w:left w:val="single" w:color="auto" w:sz="4" w:space="0"/>
              <w:bottom w:val="single" w:color="auto" w:sz="4" w:space="0"/>
              <w:right w:val="single" w:color="auto" w:sz="4" w:space="0"/>
            </w:tcBorders>
            <w:vAlign w:val="center"/>
          </w:tcPr>
          <w:p>
            <w:pPr>
              <w:widowControl/>
              <w:snapToGrid w:val="0"/>
              <w:spacing w:after="0" w:line="240" w:lineRule="auto"/>
              <w:jc w:val="center"/>
              <w:rPr>
                <w:rFonts w:ascii="宋体" w:hAnsi="宋体"/>
                <w:color w:val="000000"/>
                <w:kern w:val="0"/>
                <w:sz w:val="24"/>
                <w:szCs w:val="24"/>
              </w:rPr>
            </w:pPr>
            <w:r>
              <w:rPr>
                <w:rFonts w:ascii="宋体" w:hAnsi="宋体"/>
                <w:color w:val="000000"/>
                <w:kern w:val="0"/>
                <w:sz w:val="24"/>
                <w:szCs w:val="24"/>
              </w:rPr>
              <w:t>通22转债</w:t>
            </w:r>
          </w:p>
        </w:tc>
        <w:tc>
          <w:tcPr>
            <w:tcW w:w="7" w:type="dxa"/>
            <w:tcBorders>
              <w:top w:val="single" w:color="auto" w:sz="4" w:space="0"/>
              <w:left w:val="single" w:color="auto" w:sz="4" w:space="0"/>
              <w:bottom w:val="single" w:color="auto" w:sz="4" w:space="0"/>
              <w:right w:val="single" w:color="auto" w:sz="4" w:space="0"/>
            </w:tcBorders>
            <w:vAlign w:val="center"/>
          </w:tcPr>
          <w:p>
            <w:pPr>
              <w:widowControl/>
              <w:snapToGrid w:val="0"/>
              <w:spacing w:after="0" w:line="240" w:lineRule="auto"/>
              <w:jc w:val="right"/>
              <w:rPr>
                <w:rFonts w:ascii="宋体" w:hAnsi="宋体"/>
                <w:color w:val="000000"/>
                <w:kern w:val="0"/>
                <w:sz w:val="24"/>
                <w:szCs w:val="24"/>
              </w:rPr>
            </w:pPr>
            <w:r>
              <w:rPr>
                <w:rFonts w:ascii="宋体" w:hAnsi="宋体"/>
                <w:color w:val="000000"/>
                <w:kern w:val="0"/>
                <w:sz w:val="24"/>
                <w:szCs w:val="24"/>
              </w:rPr>
              <w:t>295,820</w:t>
            </w:r>
          </w:p>
        </w:tc>
        <w:tc>
          <w:tcPr>
            <w:tcW w:w="7" w:type="dxa"/>
            <w:tcBorders>
              <w:top w:val="single" w:color="auto" w:sz="4" w:space="0"/>
              <w:left w:val="single" w:color="auto" w:sz="4" w:space="0"/>
              <w:bottom w:val="single" w:color="auto" w:sz="4" w:space="0"/>
              <w:right w:val="single" w:color="auto" w:sz="4" w:space="0"/>
            </w:tcBorders>
            <w:vAlign w:val="center"/>
          </w:tcPr>
          <w:p>
            <w:pPr>
              <w:widowControl/>
              <w:snapToGrid w:val="0"/>
              <w:spacing w:after="0" w:line="240" w:lineRule="auto"/>
              <w:jc w:val="right"/>
              <w:rPr>
                <w:rFonts w:ascii="宋体" w:hAnsi="宋体"/>
                <w:color w:val="000000"/>
                <w:kern w:val="0"/>
                <w:sz w:val="24"/>
                <w:szCs w:val="24"/>
              </w:rPr>
            </w:pPr>
            <w:r>
              <w:rPr>
                <w:rFonts w:ascii="宋体" w:hAnsi="宋体"/>
                <w:color w:val="000000"/>
                <w:kern w:val="0"/>
                <w:sz w:val="24"/>
                <w:szCs w:val="24"/>
              </w:rPr>
              <w:t>33,117,356.98</w:t>
            </w:r>
          </w:p>
        </w:tc>
        <w:tc>
          <w:tcPr>
            <w:tcW w:w="7" w:type="dxa"/>
            <w:tcBorders>
              <w:top w:val="single" w:color="auto" w:sz="4" w:space="0"/>
              <w:left w:val="single" w:color="auto" w:sz="4" w:space="0"/>
              <w:bottom w:val="single" w:color="auto" w:sz="4" w:space="0"/>
              <w:right w:val="single" w:color="auto" w:sz="4" w:space="0"/>
            </w:tcBorders>
            <w:vAlign w:val="center"/>
          </w:tcPr>
          <w:p>
            <w:pPr>
              <w:widowControl/>
              <w:snapToGrid w:val="0"/>
              <w:spacing w:after="0" w:line="240" w:lineRule="auto"/>
              <w:jc w:val="right"/>
              <w:rPr>
                <w:rFonts w:ascii="宋体" w:hAnsi="宋体"/>
                <w:color w:val="000000"/>
                <w:kern w:val="0"/>
                <w:sz w:val="24"/>
                <w:szCs w:val="24"/>
              </w:rPr>
            </w:pPr>
            <w:r>
              <w:rPr>
                <w:rFonts w:ascii="宋体" w:hAnsi="宋体"/>
                <w:color w:val="000000"/>
                <w:kern w:val="0"/>
                <w:sz w:val="24"/>
                <w:szCs w:val="24"/>
              </w:rPr>
              <w:t>0.81</w:t>
            </w:r>
          </w:p>
        </w:tc>
      </w:tr>
      <w:tr>
        <w:tblPrEx>
          <w:tblCellMar>
            <w:top w:w="0" w:type="dxa"/>
            <w:left w:w="0" w:type="dxa"/>
            <w:bottom w:w="0" w:type="dxa"/>
            <w:right w:w="0" w:type="dxa"/>
          </w:tblCellMar>
        </w:tblPrEx>
        <w:trPr>
          <w:cantSplit/>
          <w:trHeight w:val="375" w:hRule="atLeast"/>
        </w:trPr>
        <w:tc>
          <w:tcPr>
            <w:tcW w:w="7" w:type="dxa"/>
            <w:tcBorders>
              <w:top w:val="single" w:color="auto" w:sz="4" w:space="0"/>
              <w:left w:val="single" w:color="auto" w:sz="4" w:space="0"/>
              <w:bottom w:val="single" w:color="auto" w:sz="4" w:space="0"/>
              <w:right w:val="single" w:color="auto" w:sz="4" w:space="0"/>
            </w:tcBorders>
            <w:vAlign w:val="center"/>
          </w:tcPr>
          <w:p>
            <w:pPr>
              <w:widowControl/>
              <w:snapToGrid w:val="0"/>
              <w:spacing w:after="0" w:line="240" w:lineRule="auto"/>
              <w:jc w:val="center"/>
              <w:rPr>
                <w:rFonts w:ascii="宋体" w:hAnsi="宋体"/>
                <w:color w:val="000000"/>
                <w:kern w:val="0"/>
                <w:sz w:val="24"/>
                <w:szCs w:val="24"/>
              </w:rPr>
            </w:pPr>
            <w:r>
              <w:rPr>
                <w:rFonts w:ascii="宋体" w:hAnsi="宋体"/>
                <w:color w:val="000000"/>
                <w:kern w:val="0"/>
                <w:sz w:val="24"/>
                <w:szCs w:val="24"/>
              </w:rPr>
              <w:t>3</w:t>
            </w:r>
          </w:p>
        </w:tc>
        <w:tc>
          <w:tcPr>
            <w:tcW w:w="7" w:type="dxa"/>
            <w:tcBorders>
              <w:top w:val="single" w:color="auto" w:sz="4" w:space="0"/>
              <w:left w:val="single" w:color="auto" w:sz="4" w:space="0"/>
              <w:bottom w:val="single" w:color="auto" w:sz="4" w:space="0"/>
              <w:right w:val="single" w:color="auto" w:sz="4" w:space="0"/>
            </w:tcBorders>
            <w:vAlign w:val="center"/>
          </w:tcPr>
          <w:p>
            <w:pPr>
              <w:widowControl/>
              <w:snapToGrid w:val="0"/>
              <w:spacing w:after="0" w:line="240" w:lineRule="auto"/>
              <w:jc w:val="center"/>
              <w:rPr>
                <w:rFonts w:ascii="宋体" w:hAnsi="宋体"/>
                <w:color w:val="000000"/>
                <w:kern w:val="0"/>
                <w:sz w:val="24"/>
                <w:szCs w:val="24"/>
              </w:rPr>
            </w:pPr>
            <w:r>
              <w:rPr>
                <w:rFonts w:ascii="宋体" w:hAnsi="宋体"/>
                <w:color w:val="000000"/>
                <w:kern w:val="0"/>
                <w:sz w:val="24"/>
                <w:szCs w:val="24"/>
              </w:rPr>
              <w:t>123241</w:t>
            </w:r>
          </w:p>
        </w:tc>
        <w:tc>
          <w:tcPr>
            <w:tcW w:w="7" w:type="dxa"/>
            <w:tcBorders>
              <w:top w:val="single" w:color="auto" w:sz="4" w:space="0"/>
              <w:left w:val="single" w:color="auto" w:sz="4" w:space="0"/>
              <w:bottom w:val="single" w:color="auto" w:sz="4" w:space="0"/>
              <w:right w:val="single" w:color="auto" w:sz="4" w:space="0"/>
            </w:tcBorders>
            <w:vAlign w:val="center"/>
          </w:tcPr>
          <w:p>
            <w:pPr>
              <w:widowControl/>
              <w:snapToGrid w:val="0"/>
              <w:spacing w:after="0" w:line="240" w:lineRule="auto"/>
              <w:jc w:val="center"/>
              <w:rPr>
                <w:rFonts w:ascii="宋体" w:hAnsi="宋体"/>
                <w:color w:val="000000"/>
                <w:kern w:val="0"/>
                <w:sz w:val="24"/>
                <w:szCs w:val="24"/>
              </w:rPr>
            </w:pPr>
            <w:r>
              <w:rPr>
                <w:rFonts w:ascii="宋体" w:hAnsi="宋体"/>
                <w:color w:val="000000"/>
                <w:kern w:val="0"/>
                <w:sz w:val="24"/>
                <w:szCs w:val="24"/>
              </w:rPr>
              <w:t>欧通转债</w:t>
            </w:r>
          </w:p>
        </w:tc>
        <w:tc>
          <w:tcPr>
            <w:tcW w:w="7" w:type="dxa"/>
            <w:tcBorders>
              <w:top w:val="single" w:color="auto" w:sz="4" w:space="0"/>
              <w:left w:val="single" w:color="auto" w:sz="4" w:space="0"/>
              <w:bottom w:val="single" w:color="auto" w:sz="4" w:space="0"/>
              <w:right w:val="single" w:color="auto" w:sz="4" w:space="0"/>
            </w:tcBorders>
            <w:vAlign w:val="center"/>
          </w:tcPr>
          <w:p>
            <w:pPr>
              <w:widowControl/>
              <w:snapToGrid w:val="0"/>
              <w:spacing w:after="0" w:line="240" w:lineRule="auto"/>
              <w:jc w:val="right"/>
              <w:rPr>
                <w:rFonts w:ascii="宋体" w:hAnsi="宋体"/>
                <w:color w:val="000000"/>
                <w:kern w:val="0"/>
                <w:sz w:val="24"/>
                <w:szCs w:val="24"/>
              </w:rPr>
            </w:pPr>
            <w:r>
              <w:rPr>
                <w:rFonts w:ascii="宋体" w:hAnsi="宋体"/>
                <w:color w:val="000000"/>
                <w:kern w:val="0"/>
                <w:sz w:val="24"/>
                <w:szCs w:val="24"/>
              </w:rPr>
              <w:t>19,790</w:t>
            </w:r>
          </w:p>
        </w:tc>
        <w:tc>
          <w:tcPr>
            <w:tcW w:w="7" w:type="dxa"/>
            <w:tcBorders>
              <w:top w:val="single" w:color="auto" w:sz="4" w:space="0"/>
              <w:left w:val="single" w:color="auto" w:sz="4" w:space="0"/>
              <w:bottom w:val="single" w:color="auto" w:sz="4" w:space="0"/>
              <w:right w:val="single" w:color="auto" w:sz="4" w:space="0"/>
            </w:tcBorders>
            <w:vAlign w:val="center"/>
          </w:tcPr>
          <w:p>
            <w:pPr>
              <w:widowControl/>
              <w:snapToGrid w:val="0"/>
              <w:spacing w:after="0" w:line="240" w:lineRule="auto"/>
              <w:jc w:val="right"/>
              <w:rPr>
                <w:rFonts w:ascii="宋体" w:hAnsi="宋体"/>
                <w:color w:val="000000"/>
                <w:kern w:val="0"/>
                <w:sz w:val="24"/>
                <w:szCs w:val="24"/>
              </w:rPr>
            </w:pPr>
            <w:r>
              <w:rPr>
                <w:rFonts w:ascii="宋体" w:hAnsi="宋体"/>
                <w:color w:val="000000"/>
                <w:kern w:val="0"/>
                <w:sz w:val="24"/>
                <w:szCs w:val="24"/>
              </w:rPr>
              <w:t>24,777,027.95</w:t>
            </w:r>
          </w:p>
        </w:tc>
        <w:tc>
          <w:tcPr>
            <w:tcW w:w="7" w:type="dxa"/>
            <w:tcBorders>
              <w:top w:val="single" w:color="auto" w:sz="4" w:space="0"/>
              <w:left w:val="single" w:color="auto" w:sz="4" w:space="0"/>
              <w:bottom w:val="single" w:color="auto" w:sz="4" w:space="0"/>
              <w:right w:val="single" w:color="auto" w:sz="4" w:space="0"/>
            </w:tcBorders>
            <w:vAlign w:val="center"/>
          </w:tcPr>
          <w:p>
            <w:pPr>
              <w:widowControl/>
              <w:snapToGrid w:val="0"/>
              <w:spacing w:after="0" w:line="240" w:lineRule="auto"/>
              <w:jc w:val="right"/>
              <w:rPr>
                <w:rFonts w:ascii="宋体" w:hAnsi="宋体"/>
                <w:color w:val="000000"/>
                <w:kern w:val="0"/>
                <w:sz w:val="24"/>
                <w:szCs w:val="24"/>
              </w:rPr>
            </w:pPr>
            <w:r>
              <w:rPr>
                <w:rFonts w:ascii="宋体" w:hAnsi="宋体"/>
                <w:color w:val="000000"/>
                <w:kern w:val="0"/>
                <w:sz w:val="24"/>
                <w:szCs w:val="24"/>
              </w:rPr>
              <w:t>0.61</w:t>
            </w:r>
          </w:p>
        </w:tc>
      </w:tr>
      <w:tr>
        <w:tblPrEx>
          <w:tblCellMar>
            <w:top w:w="0" w:type="dxa"/>
            <w:left w:w="0" w:type="dxa"/>
            <w:bottom w:w="0" w:type="dxa"/>
            <w:right w:w="0" w:type="dxa"/>
          </w:tblCellMar>
        </w:tblPrEx>
        <w:trPr>
          <w:cantSplit/>
          <w:trHeight w:val="375" w:hRule="atLeast"/>
        </w:trPr>
        <w:tc>
          <w:tcPr>
            <w:tcW w:w="7" w:type="dxa"/>
            <w:tcBorders>
              <w:top w:val="single" w:color="auto" w:sz="4" w:space="0"/>
              <w:left w:val="single" w:color="auto" w:sz="4" w:space="0"/>
              <w:bottom w:val="single" w:color="auto" w:sz="4" w:space="0"/>
              <w:right w:val="single" w:color="auto" w:sz="4" w:space="0"/>
            </w:tcBorders>
            <w:vAlign w:val="center"/>
          </w:tcPr>
          <w:p>
            <w:pPr>
              <w:widowControl/>
              <w:snapToGrid w:val="0"/>
              <w:spacing w:after="0" w:line="240" w:lineRule="auto"/>
              <w:jc w:val="center"/>
              <w:rPr>
                <w:rFonts w:ascii="宋体" w:hAnsi="宋体"/>
                <w:color w:val="000000"/>
                <w:kern w:val="0"/>
                <w:sz w:val="24"/>
                <w:szCs w:val="24"/>
              </w:rPr>
            </w:pPr>
            <w:r>
              <w:rPr>
                <w:rFonts w:ascii="宋体" w:hAnsi="宋体"/>
                <w:color w:val="000000"/>
                <w:kern w:val="0"/>
                <w:sz w:val="24"/>
                <w:szCs w:val="24"/>
              </w:rPr>
              <w:t>4</w:t>
            </w:r>
          </w:p>
        </w:tc>
        <w:tc>
          <w:tcPr>
            <w:tcW w:w="7" w:type="dxa"/>
            <w:tcBorders>
              <w:top w:val="single" w:color="auto" w:sz="4" w:space="0"/>
              <w:left w:val="single" w:color="auto" w:sz="4" w:space="0"/>
              <w:bottom w:val="single" w:color="auto" w:sz="4" w:space="0"/>
              <w:right w:val="single" w:color="auto" w:sz="4" w:space="0"/>
            </w:tcBorders>
            <w:vAlign w:val="center"/>
          </w:tcPr>
          <w:p>
            <w:pPr>
              <w:widowControl/>
              <w:snapToGrid w:val="0"/>
              <w:spacing w:after="0" w:line="240" w:lineRule="auto"/>
              <w:jc w:val="center"/>
              <w:rPr>
                <w:rFonts w:ascii="宋体" w:hAnsi="宋体"/>
                <w:color w:val="000000"/>
                <w:kern w:val="0"/>
                <w:sz w:val="24"/>
                <w:szCs w:val="24"/>
              </w:rPr>
            </w:pPr>
            <w:r>
              <w:rPr>
                <w:rFonts w:ascii="宋体" w:hAnsi="宋体"/>
                <w:color w:val="000000"/>
                <w:kern w:val="0"/>
                <w:sz w:val="24"/>
                <w:szCs w:val="24"/>
              </w:rPr>
              <w:t>123107</w:t>
            </w:r>
          </w:p>
        </w:tc>
        <w:tc>
          <w:tcPr>
            <w:tcW w:w="7" w:type="dxa"/>
            <w:tcBorders>
              <w:top w:val="single" w:color="auto" w:sz="4" w:space="0"/>
              <w:left w:val="single" w:color="auto" w:sz="4" w:space="0"/>
              <w:bottom w:val="single" w:color="auto" w:sz="4" w:space="0"/>
              <w:right w:val="single" w:color="auto" w:sz="4" w:space="0"/>
            </w:tcBorders>
            <w:vAlign w:val="center"/>
          </w:tcPr>
          <w:p>
            <w:pPr>
              <w:widowControl/>
              <w:snapToGrid w:val="0"/>
              <w:spacing w:after="0" w:line="240" w:lineRule="auto"/>
              <w:jc w:val="center"/>
              <w:rPr>
                <w:rFonts w:ascii="宋体" w:hAnsi="宋体"/>
                <w:color w:val="000000"/>
                <w:kern w:val="0"/>
                <w:sz w:val="24"/>
                <w:szCs w:val="24"/>
              </w:rPr>
            </w:pPr>
            <w:r>
              <w:rPr>
                <w:rFonts w:ascii="宋体" w:hAnsi="宋体"/>
                <w:color w:val="000000"/>
                <w:kern w:val="0"/>
                <w:sz w:val="24"/>
                <w:szCs w:val="24"/>
              </w:rPr>
              <w:t>温氏转债</w:t>
            </w:r>
          </w:p>
        </w:tc>
        <w:tc>
          <w:tcPr>
            <w:tcW w:w="7" w:type="dxa"/>
            <w:tcBorders>
              <w:top w:val="single" w:color="auto" w:sz="4" w:space="0"/>
              <w:left w:val="single" w:color="auto" w:sz="4" w:space="0"/>
              <w:bottom w:val="single" w:color="auto" w:sz="4" w:space="0"/>
              <w:right w:val="single" w:color="auto" w:sz="4" w:space="0"/>
            </w:tcBorders>
            <w:vAlign w:val="center"/>
          </w:tcPr>
          <w:p>
            <w:pPr>
              <w:widowControl/>
              <w:snapToGrid w:val="0"/>
              <w:spacing w:after="0" w:line="240" w:lineRule="auto"/>
              <w:jc w:val="right"/>
              <w:rPr>
                <w:rFonts w:ascii="宋体" w:hAnsi="宋体"/>
                <w:color w:val="000000"/>
                <w:kern w:val="0"/>
                <w:sz w:val="24"/>
                <w:szCs w:val="24"/>
              </w:rPr>
            </w:pPr>
            <w:r>
              <w:rPr>
                <w:rFonts w:ascii="宋体" w:hAnsi="宋体"/>
                <w:color w:val="000000"/>
                <w:kern w:val="0"/>
                <w:sz w:val="24"/>
                <w:szCs w:val="24"/>
              </w:rPr>
              <w:t>146,920</w:t>
            </w:r>
          </w:p>
        </w:tc>
        <w:tc>
          <w:tcPr>
            <w:tcW w:w="7" w:type="dxa"/>
            <w:tcBorders>
              <w:top w:val="single" w:color="auto" w:sz="4" w:space="0"/>
              <w:left w:val="single" w:color="auto" w:sz="4" w:space="0"/>
              <w:bottom w:val="single" w:color="auto" w:sz="4" w:space="0"/>
              <w:right w:val="single" w:color="auto" w:sz="4" w:space="0"/>
            </w:tcBorders>
            <w:vAlign w:val="center"/>
          </w:tcPr>
          <w:p>
            <w:pPr>
              <w:widowControl/>
              <w:snapToGrid w:val="0"/>
              <w:spacing w:after="0" w:line="240" w:lineRule="auto"/>
              <w:jc w:val="right"/>
              <w:rPr>
                <w:rFonts w:ascii="宋体" w:hAnsi="宋体"/>
                <w:color w:val="000000"/>
                <w:kern w:val="0"/>
                <w:sz w:val="24"/>
                <w:szCs w:val="24"/>
              </w:rPr>
            </w:pPr>
            <w:r>
              <w:rPr>
                <w:rFonts w:ascii="宋体" w:hAnsi="宋体"/>
                <w:color w:val="000000"/>
                <w:kern w:val="0"/>
                <w:sz w:val="24"/>
                <w:szCs w:val="24"/>
              </w:rPr>
              <w:t>16,311,360.29</w:t>
            </w:r>
          </w:p>
        </w:tc>
        <w:tc>
          <w:tcPr>
            <w:tcW w:w="7" w:type="dxa"/>
            <w:tcBorders>
              <w:top w:val="single" w:color="auto" w:sz="4" w:space="0"/>
              <w:left w:val="single" w:color="auto" w:sz="4" w:space="0"/>
              <w:bottom w:val="single" w:color="auto" w:sz="4" w:space="0"/>
              <w:right w:val="single" w:color="auto" w:sz="4" w:space="0"/>
            </w:tcBorders>
            <w:vAlign w:val="center"/>
          </w:tcPr>
          <w:p>
            <w:pPr>
              <w:widowControl/>
              <w:snapToGrid w:val="0"/>
              <w:spacing w:after="0" w:line="240" w:lineRule="auto"/>
              <w:jc w:val="right"/>
              <w:rPr>
                <w:rFonts w:ascii="宋体" w:hAnsi="宋体"/>
                <w:color w:val="000000"/>
                <w:kern w:val="0"/>
                <w:sz w:val="24"/>
                <w:szCs w:val="24"/>
              </w:rPr>
            </w:pPr>
            <w:r>
              <w:rPr>
                <w:rFonts w:ascii="宋体" w:hAnsi="宋体"/>
                <w:color w:val="000000"/>
                <w:kern w:val="0"/>
                <w:sz w:val="24"/>
                <w:szCs w:val="24"/>
              </w:rPr>
              <w:t>0.40</w:t>
            </w:r>
          </w:p>
        </w:tc>
      </w:tr>
      <w:tr>
        <w:tblPrEx>
          <w:tblCellMar>
            <w:top w:w="0" w:type="dxa"/>
            <w:left w:w="0" w:type="dxa"/>
            <w:bottom w:w="0" w:type="dxa"/>
            <w:right w:w="0" w:type="dxa"/>
          </w:tblCellMar>
        </w:tblPrEx>
        <w:trPr>
          <w:cantSplit/>
          <w:trHeight w:val="375" w:hRule="atLeast"/>
        </w:trPr>
        <w:tc>
          <w:tcPr>
            <w:tcW w:w="7" w:type="dxa"/>
            <w:tcBorders>
              <w:top w:val="single" w:color="auto" w:sz="4" w:space="0"/>
              <w:left w:val="single" w:color="auto" w:sz="4" w:space="0"/>
              <w:bottom w:val="single" w:color="auto" w:sz="4" w:space="0"/>
              <w:right w:val="single" w:color="auto" w:sz="4" w:space="0"/>
            </w:tcBorders>
            <w:vAlign w:val="center"/>
          </w:tcPr>
          <w:p>
            <w:pPr>
              <w:widowControl/>
              <w:snapToGrid w:val="0"/>
              <w:spacing w:after="0" w:line="240" w:lineRule="auto"/>
              <w:jc w:val="center"/>
              <w:rPr>
                <w:rFonts w:ascii="宋体" w:hAnsi="宋体"/>
                <w:color w:val="000000"/>
                <w:kern w:val="0"/>
                <w:sz w:val="24"/>
                <w:szCs w:val="24"/>
              </w:rPr>
            </w:pPr>
            <w:r>
              <w:rPr>
                <w:rFonts w:ascii="宋体" w:hAnsi="宋体"/>
                <w:color w:val="000000"/>
                <w:kern w:val="0"/>
                <w:sz w:val="24"/>
                <w:szCs w:val="24"/>
              </w:rPr>
              <w:t>5</w:t>
            </w:r>
          </w:p>
        </w:tc>
        <w:tc>
          <w:tcPr>
            <w:tcW w:w="7" w:type="dxa"/>
            <w:tcBorders>
              <w:top w:val="single" w:color="auto" w:sz="4" w:space="0"/>
              <w:left w:val="single" w:color="auto" w:sz="4" w:space="0"/>
              <w:bottom w:val="single" w:color="auto" w:sz="4" w:space="0"/>
              <w:right w:val="single" w:color="auto" w:sz="4" w:space="0"/>
            </w:tcBorders>
            <w:vAlign w:val="center"/>
          </w:tcPr>
          <w:p>
            <w:pPr>
              <w:widowControl/>
              <w:snapToGrid w:val="0"/>
              <w:spacing w:after="0" w:line="240" w:lineRule="auto"/>
              <w:jc w:val="center"/>
              <w:rPr>
                <w:rFonts w:ascii="宋体" w:hAnsi="宋体"/>
                <w:color w:val="000000"/>
                <w:kern w:val="0"/>
                <w:sz w:val="24"/>
                <w:szCs w:val="24"/>
              </w:rPr>
            </w:pPr>
            <w:r>
              <w:rPr>
                <w:rFonts w:ascii="宋体" w:hAnsi="宋体"/>
                <w:color w:val="000000"/>
                <w:kern w:val="0"/>
                <w:sz w:val="24"/>
                <w:szCs w:val="24"/>
              </w:rPr>
              <w:t>113648</w:t>
            </w:r>
          </w:p>
        </w:tc>
        <w:tc>
          <w:tcPr>
            <w:tcW w:w="7" w:type="dxa"/>
            <w:tcBorders>
              <w:top w:val="single" w:color="auto" w:sz="4" w:space="0"/>
              <w:left w:val="single" w:color="auto" w:sz="4" w:space="0"/>
              <w:bottom w:val="single" w:color="auto" w:sz="4" w:space="0"/>
              <w:right w:val="single" w:color="auto" w:sz="4" w:space="0"/>
            </w:tcBorders>
            <w:vAlign w:val="center"/>
          </w:tcPr>
          <w:p>
            <w:pPr>
              <w:widowControl/>
              <w:snapToGrid w:val="0"/>
              <w:spacing w:after="0" w:line="240" w:lineRule="auto"/>
              <w:jc w:val="center"/>
              <w:rPr>
                <w:rFonts w:ascii="宋体" w:hAnsi="宋体"/>
                <w:color w:val="000000"/>
                <w:kern w:val="0"/>
                <w:sz w:val="24"/>
                <w:szCs w:val="24"/>
              </w:rPr>
            </w:pPr>
            <w:r>
              <w:rPr>
                <w:rFonts w:ascii="宋体" w:hAnsi="宋体"/>
                <w:color w:val="000000"/>
                <w:kern w:val="0"/>
                <w:sz w:val="24"/>
                <w:szCs w:val="24"/>
              </w:rPr>
              <w:t>巨星转债</w:t>
            </w:r>
          </w:p>
        </w:tc>
        <w:tc>
          <w:tcPr>
            <w:tcW w:w="7" w:type="dxa"/>
            <w:tcBorders>
              <w:top w:val="single" w:color="auto" w:sz="4" w:space="0"/>
              <w:left w:val="single" w:color="auto" w:sz="4" w:space="0"/>
              <w:bottom w:val="single" w:color="auto" w:sz="4" w:space="0"/>
              <w:right w:val="single" w:color="auto" w:sz="4" w:space="0"/>
            </w:tcBorders>
            <w:vAlign w:val="center"/>
          </w:tcPr>
          <w:p>
            <w:pPr>
              <w:widowControl/>
              <w:snapToGrid w:val="0"/>
              <w:spacing w:after="0" w:line="240" w:lineRule="auto"/>
              <w:jc w:val="right"/>
              <w:rPr>
                <w:rFonts w:ascii="宋体" w:hAnsi="宋体"/>
                <w:color w:val="000000"/>
                <w:kern w:val="0"/>
                <w:sz w:val="24"/>
                <w:szCs w:val="24"/>
              </w:rPr>
            </w:pPr>
            <w:r>
              <w:rPr>
                <w:rFonts w:ascii="宋体" w:hAnsi="宋体"/>
                <w:color w:val="000000"/>
                <w:kern w:val="0"/>
                <w:sz w:val="24"/>
                <w:szCs w:val="24"/>
              </w:rPr>
              <w:t>110,000</w:t>
            </w:r>
          </w:p>
        </w:tc>
        <w:tc>
          <w:tcPr>
            <w:tcW w:w="7" w:type="dxa"/>
            <w:tcBorders>
              <w:top w:val="single" w:color="auto" w:sz="4" w:space="0"/>
              <w:left w:val="single" w:color="auto" w:sz="4" w:space="0"/>
              <w:bottom w:val="single" w:color="auto" w:sz="4" w:space="0"/>
              <w:right w:val="single" w:color="auto" w:sz="4" w:space="0"/>
            </w:tcBorders>
            <w:vAlign w:val="center"/>
          </w:tcPr>
          <w:p>
            <w:pPr>
              <w:widowControl/>
              <w:snapToGrid w:val="0"/>
              <w:spacing w:after="0" w:line="240" w:lineRule="auto"/>
              <w:jc w:val="right"/>
              <w:rPr>
                <w:rFonts w:ascii="宋体" w:hAnsi="宋体"/>
                <w:color w:val="000000"/>
                <w:kern w:val="0"/>
                <w:sz w:val="24"/>
                <w:szCs w:val="24"/>
              </w:rPr>
            </w:pPr>
            <w:r>
              <w:rPr>
                <w:rFonts w:ascii="宋体" w:hAnsi="宋体"/>
                <w:color w:val="000000"/>
                <w:kern w:val="0"/>
                <w:sz w:val="24"/>
                <w:szCs w:val="24"/>
              </w:rPr>
              <w:t>12,937,145.21</w:t>
            </w:r>
          </w:p>
        </w:tc>
        <w:tc>
          <w:tcPr>
            <w:tcW w:w="7" w:type="dxa"/>
            <w:tcBorders>
              <w:top w:val="single" w:color="auto" w:sz="4" w:space="0"/>
              <w:left w:val="single" w:color="auto" w:sz="4" w:space="0"/>
              <w:bottom w:val="single" w:color="auto" w:sz="4" w:space="0"/>
              <w:right w:val="single" w:color="auto" w:sz="4" w:space="0"/>
            </w:tcBorders>
            <w:vAlign w:val="center"/>
          </w:tcPr>
          <w:p>
            <w:pPr>
              <w:widowControl/>
              <w:snapToGrid w:val="0"/>
              <w:spacing w:after="0" w:line="240" w:lineRule="auto"/>
              <w:jc w:val="right"/>
              <w:rPr>
                <w:rFonts w:ascii="宋体" w:hAnsi="宋体"/>
                <w:color w:val="000000"/>
                <w:kern w:val="0"/>
                <w:sz w:val="24"/>
                <w:szCs w:val="24"/>
              </w:rPr>
            </w:pPr>
            <w:r>
              <w:rPr>
                <w:rFonts w:ascii="宋体" w:hAnsi="宋体"/>
                <w:color w:val="000000"/>
                <w:kern w:val="0"/>
                <w:sz w:val="24"/>
                <w:szCs w:val="24"/>
              </w:rPr>
              <w:t>0.32</w:t>
            </w:r>
          </w:p>
        </w:tc>
      </w:tr>
    </w:tbl>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 </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6、报告期末按公允价值占基金资产净值比例大小排序的前十名资产支持证券投资明细</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无。</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7、报告期末按公允价值占基金资产净值比例大小排序的前五名贵金属投资明细</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无。</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8、报告期末按公允价值占基金资产净值比例大小排序的前五名权证投资明细</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无。</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9、报告期末本基金投资的股指期货交易情况说明</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9.1 报告期末本基金投资的股指期货持仓和损益明细</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无。</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9.2 本基金投资股指期货的投资政策</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无。</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10、报告期末本基金投资的国债期货交易情况说明</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10.1 本期国债期货投资政策</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无。</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10.2 报告期末本基金投资的国债期货持仓和损益明细</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无。</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10.3 本期国债期货投资评价</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无。</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11、投资组合报告附注</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11.1 本基金投资的前十名证券的发行主体本期是否出现被监管部门立案调查，或在报告编制日前一年内受到公开谴责,处罚的情形</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报告期内本基金投资的前十名证券的发行主体未被监管部门立案调查，在本报告编制日前一年内本基金投资的前十名证券的发行主体未受到公开谴责和处罚。</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11.2 基金投资的前十名股票是否超出基金合同约定的备选股票库</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基金投资的前十名股票中，没有超出基金合同约定的备选股票库之外的股票。</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11.3 其他资产构成</w:t>
      </w:r>
    </w:p>
    <w:tbl>
      <w:tblPr>
        <w:tblStyle w:val="14"/>
        <w:tblW w:w="5000" w:type="pct"/>
        <w:tblInd w:w="0" w:type="dxa"/>
        <w:tblLayout w:type="fixed"/>
        <w:tblCellMar>
          <w:top w:w="0" w:type="dxa"/>
          <w:left w:w="0" w:type="dxa"/>
          <w:bottom w:w="0" w:type="dxa"/>
          <w:right w:w="0" w:type="dxa"/>
        </w:tblCellMar>
      </w:tblPr>
      <w:tblGrid>
        <w:gridCol w:w="2890"/>
        <w:gridCol w:w="2890"/>
        <w:gridCol w:w="2890"/>
      </w:tblGrid>
      <w:tr>
        <w:tblPrEx>
          <w:tblCellMar>
            <w:top w:w="0" w:type="dxa"/>
            <w:left w:w="0" w:type="dxa"/>
            <w:bottom w:w="0" w:type="dxa"/>
            <w:right w:w="0" w:type="dxa"/>
          </w:tblCellMar>
        </w:tblPrEx>
        <w:trPr>
          <w:cantSplit/>
          <w:trHeight w:val="375" w:hRule="atLeast"/>
        </w:trPr>
        <w:tc>
          <w:tcPr>
            <w:tcW w:w="7" w:type="dxa"/>
            <w:tcBorders>
              <w:top w:val="single" w:color="auto" w:sz="4" w:space="0"/>
              <w:left w:val="single" w:color="auto" w:sz="4" w:space="0"/>
              <w:bottom w:val="single" w:color="auto" w:sz="4" w:space="0"/>
              <w:right w:val="single" w:color="auto" w:sz="4" w:space="0"/>
            </w:tcBorders>
            <w:vAlign w:val="center"/>
          </w:tcPr>
          <w:p>
            <w:pPr>
              <w:widowControl/>
              <w:snapToGrid w:val="0"/>
              <w:spacing w:after="0" w:line="240" w:lineRule="auto"/>
              <w:jc w:val="center"/>
              <w:rPr>
                <w:rFonts w:ascii="宋体" w:hAnsi="宋体"/>
                <w:color w:val="000000"/>
                <w:kern w:val="0"/>
                <w:sz w:val="24"/>
                <w:szCs w:val="24"/>
              </w:rPr>
            </w:pPr>
            <w:r>
              <w:rPr>
                <w:rFonts w:ascii="宋体" w:hAnsi="宋体"/>
                <w:color w:val="000000"/>
                <w:kern w:val="0"/>
                <w:sz w:val="24"/>
                <w:szCs w:val="24"/>
              </w:rPr>
              <w:t>序号</w:t>
            </w:r>
          </w:p>
        </w:tc>
        <w:tc>
          <w:tcPr>
            <w:tcW w:w="7" w:type="dxa"/>
            <w:tcBorders>
              <w:top w:val="single" w:color="auto" w:sz="4" w:space="0"/>
              <w:left w:val="single" w:color="auto" w:sz="4" w:space="0"/>
              <w:bottom w:val="single" w:color="auto" w:sz="4" w:space="0"/>
              <w:right w:val="single" w:color="auto" w:sz="4" w:space="0"/>
            </w:tcBorders>
            <w:vAlign w:val="center"/>
          </w:tcPr>
          <w:p>
            <w:pPr>
              <w:widowControl/>
              <w:snapToGrid w:val="0"/>
              <w:spacing w:after="0" w:line="240" w:lineRule="auto"/>
              <w:jc w:val="center"/>
              <w:rPr>
                <w:rFonts w:ascii="宋体" w:hAnsi="宋体"/>
                <w:color w:val="000000"/>
                <w:kern w:val="0"/>
                <w:sz w:val="24"/>
                <w:szCs w:val="24"/>
              </w:rPr>
            </w:pPr>
            <w:r>
              <w:rPr>
                <w:rFonts w:ascii="宋体" w:hAnsi="宋体"/>
                <w:color w:val="000000"/>
                <w:kern w:val="0"/>
                <w:sz w:val="24"/>
                <w:szCs w:val="24"/>
              </w:rPr>
              <w:t>名称</w:t>
            </w:r>
          </w:p>
        </w:tc>
        <w:tc>
          <w:tcPr>
            <w:tcW w:w="7" w:type="dxa"/>
            <w:tcBorders>
              <w:top w:val="single" w:color="auto" w:sz="4" w:space="0"/>
              <w:left w:val="single" w:color="auto" w:sz="4" w:space="0"/>
              <w:bottom w:val="single" w:color="auto" w:sz="4" w:space="0"/>
              <w:right w:val="single" w:color="auto" w:sz="4" w:space="0"/>
            </w:tcBorders>
            <w:vAlign w:val="center"/>
          </w:tcPr>
          <w:p>
            <w:pPr>
              <w:widowControl/>
              <w:snapToGrid w:val="0"/>
              <w:spacing w:after="0" w:line="240" w:lineRule="auto"/>
              <w:jc w:val="center"/>
              <w:rPr>
                <w:rFonts w:ascii="宋体" w:hAnsi="宋体"/>
                <w:color w:val="000000"/>
                <w:kern w:val="0"/>
                <w:sz w:val="24"/>
                <w:szCs w:val="24"/>
              </w:rPr>
            </w:pPr>
            <w:r>
              <w:rPr>
                <w:rFonts w:ascii="宋体" w:hAnsi="宋体"/>
                <w:color w:val="000000"/>
                <w:kern w:val="0"/>
                <w:sz w:val="24"/>
                <w:szCs w:val="24"/>
              </w:rPr>
              <w:t>金额（元）</w:t>
            </w:r>
          </w:p>
        </w:tc>
      </w:tr>
      <w:tr>
        <w:tblPrEx>
          <w:tblCellMar>
            <w:top w:w="0" w:type="dxa"/>
            <w:left w:w="0" w:type="dxa"/>
            <w:bottom w:w="0" w:type="dxa"/>
            <w:right w:w="0" w:type="dxa"/>
          </w:tblCellMar>
        </w:tblPrEx>
        <w:trPr>
          <w:cantSplit/>
          <w:trHeight w:val="375" w:hRule="atLeast"/>
        </w:trPr>
        <w:tc>
          <w:tcPr>
            <w:tcW w:w="7" w:type="dxa"/>
            <w:tcBorders>
              <w:top w:val="single" w:color="auto" w:sz="4" w:space="0"/>
              <w:left w:val="single" w:color="auto" w:sz="4" w:space="0"/>
              <w:bottom w:val="single" w:color="auto" w:sz="4" w:space="0"/>
              <w:right w:val="single" w:color="auto" w:sz="4" w:space="0"/>
            </w:tcBorders>
            <w:vAlign w:val="center"/>
          </w:tcPr>
          <w:p>
            <w:pPr>
              <w:widowControl/>
              <w:snapToGrid w:val="0"/>
              <w:spacing w:after="0" w:line="240" w:lineRule="auto"/>
              <w:jc w:val="center"/>
              <w:rPr>
                <w:rFonts w:ascii="宋体" w:hAnsi="宋体"/>
                <w:color w:val="000000"/>
                <w:kern w:val="0"/>
                <w:sz w:val="24"/>
                <w:szCs w:val="24"/>
              </w:rPr>
            </w:pPr>
            <w:r>
              <w:rPr>
                <w:rFonts w:ascii="宋体" w:hAnsi="宋体"/>
                <w:color w:val="000000"/>
                <w:kern w:val="0"/>
                <w:sz w:val="24"/>
                <w:szCs w:val="24"/>
              </w:rPr>
              <w:t>1</w:t>
            </w:r>
          </w:p>
        </w:tc>
        <w:tc>
          <w:tcPr>
            <w:tcW w:w="7" w:type="dxa"/>
            <w:vMerge w:val="restart"/>
            <w:tcBorders>
              <w:top w:val="single" w:color="auto" w:sz="4" w:space="0"/>
              <w:left w:val="single" w:color="auto" w:sz="4" w:space="0"/>
              <w:bottom w:val="single" w:color="auto" w:sz="4" w:space="0"/>
              <w:right w:val="single" w:color="auto" w:sz="4" w:space="0"/>
            </w:tcBorders>
            <w:vAlign w:val="center"/>
          </w:tcPr>
          <w:p>
            <w:pPr>
              <w:spacing w:after="0" w:line="240" w:lineRule="auto"/>
              <w:jc w:val="left"/>
            </w:pPr>
            <w:r>
              <w:rPr>
                <w:rFonts w:ascii="宋体" w:hAnsi="宋体"/>
                <w:color w:val="000000"/>
                <w:kern w:val="0"/>
                <w:sz w:val="25"/>
                <w:szCs w:val="24"/>
              </w:rPr>
              <w:t>存出保证金</w:t>
            </w:r>
          </w:p>
        </w:tc>
        <w:tc>
          <w:tcPr>
            <w:tcW w:w="7" w:type="dxa"/>
            <w:tcBorders>
              <w:top w:val="single" w:color="auto" w:sz="4" w:space="0"/>
              <w:left w:val="single" w:color="auto" w:sz="4" w:space="0"/>
              <w:bottom w:val="single" w:color="auto" w:sz="4" w:space="0"/>
              <w:right w:val="single" w:color="auto" w:sz="4" w:space="0"/>
            </w:tcBorders>
            <w:vAlign w:val="center"/>
          </w:tcPr>
          <w:p>
            <w:pPr>
              <w:widowControl/>
              <w:snapToGrid w:val="0"/>
              <w:spacing w:after="0" w:line="240" w:lineRule="auto"/>
              <w:jc w:val="right"/>
              <w:rPr>
                <w:rFonts w:ascii="宋体" w:hAnsi="宋体"/>
                <w:color w:val="000000"/>
                <w:kern w:val="0"/>
                <w:sz w:val="24"/>
                <w:szCs w:val="24"/>
              </w:rPr>
            </w:pPr>
            <w:r>
              <w:rPr>
                <w:rFonts w:ascii="宋体" w:hAnsi="宋体"/>
                <w:color w:val="000000"/>
                <w:kern w:val="0"/>
                <w:sz w:val="24"/>
                <w:szCs w:val="24"/>
              </w:rPr>
              <w:t>1,273,630.89</w:t>
            </w:r>
          </w:p>
        </w:tc>
      </w:tr>
      <w:tr>
        <w:tblPrEx>
          <w:tblCellMar>
            <w:top w:w="0" w:type="dxa"/>
            <w:left w:w="0" w:type="dxa"/>
            <w:bottom w:w="0" w:type="dxa"/>
            <w:right w:w="0" w:type="dxa"/>
          </w:tblCellMar>
        </w:tblPrEx>
        <w:trPr>
          <w:cantSplit/>
          <w:trHeight w:val="375" w:hRule="atLeast"/>
        </w:trPr>
        <w:tc>
          <w:tcPr>
            <w:tcW w:w="7" w:type="dxa"/>
            <w:tcBorders>
              <w:top w:val="single" w:color="auto" w:sz="4" w:space="0"/>
              <w:left w:val="single" w:color="auto" w:sz="4" w:space="0"/>
              <w:bottom w:val="single" w:color="auto" w:sz="4" w:space="0"/>
              <w:right w:val="single" w:color="auto" w:sz="4" w:space="0"/>
            </w:tcBorders>
            <w:vAlign w:val="center"/>
          </w:tcPr>
          <w:p>
            <w:pPr>
              <w:widowControl/>
              <w:snapToGrid w:val="0"/>
              <w:spacing w:after="0" w:line="240" w:lineRule="auto"/>
              <w:jc w:val="center"/>
              <w:rPr>
                <w:rFonts w:ascii="宋体" w:hAnsi="宋体"/>
                <w:color w:val="000000"/>
                <w:kern w:val="0"/>
                <w:sz w:val="24"/>
                <w:szCs w:val="24"/>
              </w:rPr>
            </w:pPr>
            <w:r>
              <w:rPr>
                <w:rFonts w:ascii="宋体" w:hAnsi="宋体"/>
                <w:color w:val="000000"/>
                <w:kern w:val="0"/>
                <w:sz w:val="24"/>
                <w:szCs w:val="24"/>
              </w:rPr>
              <w:t>2</w:t>
            </w:r>
          </w:p>
        </w:tc>
        <w:tc>
          <w:tcPr>
            <w:tcW w:w="7" w:type="dxa"/>
            <w:vMerge w:val="restart"/>
            <w:tcBorders>
              <w:top w:val="single" w:color="auto" w:sz="4" w:space="0"/>
              <w:left w:val="single" w:color="auto" w:sz="4" w:space="0"/>
              <w:bottom w:val="single" w:color="auto" w:sz="4" w:space="0"/>
              <w:right w:val="single" w:color="auto" w:sz="4" w:space="0"/>
            </w:tcBorders>
            <w:vAlign w:val="center"/>
          </w:tcPr>
          <w:p>
            <w:pPr>
              <w:spacing w:after="0" w:line="240" w:lineRule="auto"/>
              <w:jc w:val="left"/>
            </w:pPr>
            <w:r>
              <w:rPr>
                <w:rFonts w:ascii="宋体" w:hAnsi="宋体"/>
                <w:color w:val="000000"/>
                <w:kern w:val="0"/>
                <w:sz w:val="25"/>
                <w:szCs w:val="24"/>
              </w:rPr>
              <w:t>应收证券清算款</w:t>
            </w:r>
          </w:p>
        </w:tc>
        <w:tc>
          <w:tcPr>
            <w:tcW w:w="7" w:type="dxa"/>
            <w:tcBorders>
              <w:top w:val="single" w:color="auto" w:sz="4" w:space="0"/>
              <w:left w:val="single" w:color="auto" w:sz="4" w:space="0"/>
              <w:bottom w:val="single" w:color="auto" w:sz="4" w:space="0"/>
              <w:right w:val="single" w:color="auto" w:sz="4" w:space="0"/>
            </w:tcBorders>
            <w:vAlign w:val="center"/>
          </w:tcPr>
          <w:p>
            <w:pPr>
              <w:widowControl/>
              <w:snapToGrid w:val="0"/>
              <w:spacing w:after="0" w:line="240" w:lineRule="auto"/>
              <w:jc w:val="right"/>
              <w:rPr>
                <w:rFonts w:ascii="宋体" w:hAnsi="宋体"/>
                <w:color w:val="000000"/>
                <w:kern w:val="0"/>
                <w:sz w:val="24"/>
                <w:szCs w:val="24"/>
              </w:rPr>
            </w:pPr>
            <w:r>
              <w:rPr>
                <w:rFonts w:ascii="宋体" w:hAnsi="宋体"/>
                <w:color w:val="000000"/>
                <w:kern w:val="0"/>
                <w:sz w:val="24"/>
                <w:szCs w:val="24"/>
              </w:rPr>
              <w:t>25,967,363.57</w:t>
            </w:r>
          </w:p>
        </w:tc>
      </w:tr>
      <w:tr>
        <w:tblPrEx>
          <w:tblCellMar>
            <w:top w:w="0" w:type="dxa"/>
            <w:left w:w="0" w:type="dxa"/>
            <w:bottom w:w="0" w:type="dxa"/>
            <w:right w:w="0" w:type="dxa"/>
          </w:tblCellMar>
        </w:tblPrEx>
        <w:trPr>
          <w:cantSplit/>
          <w:trHeight w:val="375" w:hRule="atLeast"/>
        </w:trPr>
        <w:tc>
          <w:tcPr>
            <w:tcW w:w="7" w:type="dxa"/>
            <w:tcBorders>
              <w:top w:val="single" w:color="auto" w:sz="4" w:space="0"/>
              <w:left w:val="single" w:color="auto" w:sz="4" w:space="0"/>
              <w:bottom w:val="single" w:color="auto" w:sz="4" w:space="0"/>
              <w:right w:val="single" w:color="auto" w:sz="4" w:space="0"/>
            </w:tcBorders>
            <w:vAlign w:val="center"/>
          </w:tcPr>
          <w:p>
            <w:pPr>
              <w:widowControl/>
              <w:snapToGrid w:val="0"/>
              <w:spacing w:after="0" w:line="240" w:lineRule="auto"/>
              <w:jc w:val="center"/>
              <w:rPr>
                <w:rFonts w:ascii="宋体" w:hAnsi="宋体"/>
                <w:color w:val="000000"/>
                <w:kern w:val="0"/>
                <w:sz w:val="24"/>
                <w:szCs w:val="24"/>
              </w:rPr>
            </w:pPr>
            <w:r>
              <w:rPr>
                <w:rFonts w:ascii="宋体" w:hAnsi="宋体"/>
                <w:color w:val="000000"/>
                <w:kern w:val="0"/>
                <w:sz w:val="24"/>
                <w:szCs w:val="24"/>
              </w:rPr>
              <w:t>3</w:t>
            </w:r>
          </w:p>
        </w:tc>
        <w:tc>
          <w:tcPr>
            <w:tcW w:w="7" w:type="dxa"/>
            <w:vMerge w:val="restart"/>
            <w:tcBorders>
              <w:top w:val="single" w:color="auto" w:sz="4" w:space="0"/>
              <w:left w:val="single" w:color="auto" w:sz="4" w:space="0"/>
              <w:bottom w:val="single" w:color="auto" w:sz="4" w:space="0"/>
              <w:right w:val="single" w:color="auto" w:sz="4" w:space="0"/>
            </w:tcBorders>
            <w:vAlign w:val="center"/>
          </w:tcPr>
          <w:p>
            <w:pPr>
              <w:spacing w:after="0" w:line="240" w:lineRule="auto"/>
              <w:jc w:val="left"/>
            </w:pPr>
            <w:r>
              <w:rPr>
                <w:rFonts w:ascii="宋体" w:hAnsi="宋体"/>
                <w:color w:val="000000"/>
                <w:kern w:val="0"/>
                <w:sz w:val="25"/>
                <w:szCs w:val="24"/>
              </w:rPr>
              <w:t>应收股利</w:t>
            </w:r>
          </w:p>
        </w:tc>
        <w:tc>
          <w:tcPr>
            <w:tcW w:w="7" w:type="dxa"/>
            <w:tcBorders>
              <w:top w:val="single" w:color="auto" w:sz="4" w:space="0"/>
              <w:left w:val="single" w:color="auto" w:sz="4" w:space="0"/>
              <w:bottom w:val="single" w:color="auto" w:sz="4" w:space="0"/>
              <w:right w:val="single" w:color="auto" w:sz="4" w:space="0"/>
            </w:tcBorders>
            <w:vAlign w:val="center"/>
          </w:tcPr>
          <w:p>
            <w:pPr>
              <w:widowControl/>
              <w:snapToGrid w:val="0"/>
              <w:spacing w:after="0" w:line="240" w:lineRule="auto"/>
              <w:jc w:val="right"/>
              <w:rPr>
                <w:rFonts w:ascii="宋体" w:hAnsi="宋体"/>
                <w:color w:val="000000"/>
                <w:kern w:val="0"/>
                <w:sz w:val="24"/>
                <w:szCs w:val="24"/>
              </w:rPr>
            </w:pPr>
            <w:r>
              <w:rPr>
                <w:rFonts w:ascii="宋体" w:hAnsi="宋体"/>
                <w:color w:val="000000"/>
                <w:kern w:val="0"/>
                <w:sz w:val="24"/>
                <w:szCs w:val="24"/>
              </w:rPr>
              <w:t>-</w:t>
            </w:r>
          </w:p>
        </w:tc>
      </w:tr>
      <w:tr>
        <w:tblPrEx>
          <w:tblCellMar>
            <w:top w:w="0" w:type="dxa"/>
            <w:left w:w="0" w:type="dxa"/>
            <w:bottom w:w="0" w:type="dxa"/>
            <w:right w:w="0" w:type="dxa"/>
          </w:tblCellMar>
        </w:tblPrEx>
        <w:trPr>
          <w:cantSplit/>
          <w:trHeight w:val="375" w:hRule="atLeast"/>
        </w:trPr>
        <w:tc>
          <w:tcPr>
            <w:tcW w:w="7" w:type="dxa"/>
            <w:tcBorders>
              <w:top w:val="single" w:color="auto" w:sz="4" w:space="0"/>
              <w:left w:val="single" w:color="auto" w:sz="4" w:space="0"/>
              <w:bottom w:val="single" w:color="auto" w:sz="4" w:space="0"/>
              <w:right w:val="single" w:color="auto" w:sz="4" w:space="0"/>
            </w:tcBorders>
            <w:vAlign w:val="center"/>
          </w:tcPr>
          <w:p>
            <w:pPr>
              <w:widowControl/>
              <w:snapToGrid w:val="0"/>
              <w:spacing w:after="0" w:line="240" w:lineRule="auto"/>
              <w:jc w:val="center"/>
              <w:rPr>
                <w:rFonts w:ascii="宋体" w:hAnsi="宋体"/>
                <w:color w:val="000000"/>
                <w:kern w:val="0"/>
                <w:sz w:val="24"/>
                <w:szCs w:val="24"/>
              </w:rPr>
            </w:pPr>
            <w:r>
              <w:rPr>
                <w:rFonts w:ascii="宋体" w:hAnsi="宋体"/>
                <w:color w:val="000000"/>
                <w:kern w:val="0"/>
                <w:sz w:val="24"/>
                <w:szCs w:val="24"/>
              </w:rPr>
              <w:t>4</w:t>
            </w:r>
          </w:p>
        </w:tc>
        <w:tc>
          <w:tcPr>
            <w:tcW w:w="7" w:type="dxa"/>
            <w:tcBorders>
              <w:top w:val="single" w:color="auto" w:sz="4" w:space="0"/>
              <w:left w:val="single" w:color="auto" w:sz="4" w:space="0"/>
              <w:bottom w:val="single" w:color="auto" w:sz="4" w:space="0"/>
              <w:right w:val="single" w:color="auto" w:sz="4" w:space="0"/>
            </w:tcBorders>
            <w:vAlign w:val="center"/>
          </w:tcPr>
          <w:p>
            <w:pPr>
              <w:spacing w:after="0" w:line="240" w:lineRule="auto"/>
              <w:jc w:val="left"/>
            </w:pPr>
            <w:r>
              <w:rPr>
                <w:rFonts w:ascii="宋体" w:hAnsi="宋体"/>
                <w:color w:val="000000"/>
                <w:kern w:val="0"/>
                <w:sz w:val="25"/>
                <w:szCs w:val="24"/>
              </w:rPr>
              <w:t>应收利息</w:t>
            </w:r>
          </w:p>
        </w:tc>
        <w:tc>
          <w:tcPr>
            <w:tcW w:w="7" w:type="dxa"/>
            <w:tcBorders>
              <w:top w:val="single" w:color="auto" w:sz="4" w:space="0"/>
              <w:left w:val="single" w:color="auto" w:sz="4" w:space="0"/>
              <w:bottom w:val="single" w:color="auto" w:sz="4" w:space="0"/>
              <w:right w:val="single" w:color="auto" w:sz="4" w:space="0"/>
            </w:tcBorders>
            <w:vAlign w:val="center"/>
          </w:tcPr>
          <w:p>
            <w:pPr>
              <w:widowControl/>
              <w:snapToGrid w:val="0"/>
              <w:spacing w:after="0" w:line="240" w:lineRule="auto"/>
              <w:jc w:val="right"/>
              <w:rPr>
                <w:rFonts w:ascii="宋体" w:hAnsi="宋体"/>
                <w:color w:val="000000"/>
                <w:kern w:val="0"/>
                <w:sz w:val="24"/>
                <w:szCs w:val="24"/>
              </w:rPr>
            </w:pPr>
            <w:r>
              <w:rPr>
                <w:rFonts w:ascii="宋体" w:hAnsi="宋体"/>
                <w:color w:val="000000"/>
                <w:kern w:val="0"/>
                <w:sz w:val="24"/>
                <w:szCs w:val="24"/>
              </w:rPr>
              <w:t>-</w:t>
            </w:r>
          </w:p>
        </w:tc>
      </w:tr>
      <w:tr>
        <w:trPr>
          <w:cantSplit/>
          <w:trHeight w:val="375" w:hRule="atLeast"/>
        </w:trPr>
        <w:tc>
          <w:tcPr>
            <w:tcW w:w="7" w:type="dxa"/>
            <w:tcBorders>
              <w:top w:val="single" w:color="auto" w:sz="4" w:space="0"/>
              <w:left w:val="single" w:color="auto" w:sz="4" w:space="0"/>
              <w:bottom w:val="single" w:color="auto" w:sz="4" w:space="0"/>
              <w:right w:val="single" w:color="auto" w:sz="4" w:space="0"/>
            </w:tcBorders>
            <w:vAlign w:val="center"/>
          </w:tcPr>
          <w:p>
            <w:pPr>
              <w:widowControl/>
              <w:snapToGrid w:val="0"/>
              <w:spacing w:after="0" w:line="240" w:lineRule="auto"/>
              <w:jc w:val="center"/>
              <w:rPr>
                <w:rFonts w:ascii="宋体" w:hAnsi="宋体"/>
                <w:color w:val="000000"/>
                <w:kern w:val="0"/>
                <w:sz w:val="24"/>
                <w:szCs w:val="24"/>
              </w:rPr>
            </w:pPr>
            <w:r>
              <w:rPr>
                <w:rFonts w:ascii="宋体" w:hAnsi="宋体"/>
                <w:color w:val="000000"/>
                <w:kern w:val="0"/>
                <w:sz w:val="24"/>
                <w:szCs w:val="24"/>
              </w:rPr>
              <w:t>5</w:t>
            </w:r>
          </w:p>
        </w:tc>
        <w:tc>
          <w:tcPr>
            <w:tcW w:w="7" w:type="dxa"/>
            <w:tcBorders>
              <w:top w:val="single" w:color="auto" w:sz="4" w:space="0"/>
              <w:left w:val="single" w:color="auto" w:sz="4" w:space="0"/>
              <w:bottom w:val="single" w:color="auto" w:sz="4" w:space="0"/>
              <w:right w:val="single" w:color="auto" w:sz="4" w:space="0"/>
            </w:tcBorders>
            <w:vAlign w:val="center"/>
          </w:tcPr>
          <w:p>
            <w:pPr>
              <w:spacing w:after="0" w:line="240" w:lineRule="auto"/>
              <w:jc w:val="left"/>
            </w:pPr>
            <w:r>
              <w:rPr>
                <w:rFonts w:ascii="宋体" w:hAnsi="宋体"/>
                <w:color w:val="000000"/>
                <w:kern w:val="0"/>
                <w:sz w:val="25"/>
                <w:szCs w:val="24"/>
              </w:rPr>
              <w:t>应收申购款</w:t>
            </w:r>
          </w:p>
        </w:tc>
        <w:tc>
          <w:tcPr>
            <w:tcW w:w="7" w:type="dxa"/>
            <w:tcBorders>
              <w:top w:val="single" w:color="auto" w:sz="4" w:space="0"/>
              <w:left w:val="single" w:color="auto" w:sz="4" w:space="0"/>
              <w:bottom w:val="single" w:color="auto" w:sz="4" w:space="0"/>
              <w:right w:val="single" w:color="auto" w:sz="4" w:space="0"/>
            </w:tcBorders>
            <w:vAlign w:val="center"/>
          </w:tcPr>
          <w:p>
            <w:pPr>
              <w:widowControl/>
              <w:snapToGrid w:val="0"/>
              <w:spacing w:after="0" w:line="240" w:lineRule="auto"/>
              <w:jc w:val="right"/>
              <w:rPr>
                <w:rFonts w:ascii="宋体" w:hAnsi="宋体"/>
                <w:color w:val="000000"/>
                <w:kern w:val="0"/>
                <w:sz w:val="24"/>
                <w:szCs w:val="24"/>
              </w:rPr>
            </w:pPr>
            <w:r>
              <w:rPr>
                <w:rFonts w:ascii="宋体" w:hAnsi="宋体"/>
                <w:color w:val="000000"/>
                <w:kern w:val="0"/>
                <w:sz w:val="24"/>
                <w:szCs w:val="24"/>
              </w:rPr>
              <w:t>25,959,904.58</w:t>
            </w:r>
          </w:p>
        </w:tc>
      </w:tr>
      <w:tr>
        <w:tblPrEx>
          <w:tblCellMar>
            <w:top w:w="0" w:type="dxa"/>
            <w:left w:w="0" w:type="dxa"/>
            <w:bottom w:w="0" w:type="dxa"/>
            <w:right w:w="0" w:type="dxa"/>
          </w:tblCellMar>
        </w:tblPrEx>
        <w:trPr>
          <w:cantSplit/>
          <w:trHeight w:val="375" w:hRule="atLeast"/>
        </w:trPr>
        <w:tc>
          <w:tcPr>
            <w:tcW w:w="7" w:type="dxa"/>
            <w:tcBorders>
              <w:top w:val="single" w:color="auto" w:sz="4" w:space="0"/>
              <w:left w:val="single" w:color="auto" w:sz="4" w:space="0"/>
              <w:bottom w:val="single" w:color="auto" w:sz="4" w:space="0"/>
              <w:right w:val="single" w:color="auto" w:sz="4" w:space="0"/>
            </w:tcBorders>
            <w:vAlign w:val="center"/>
          </w:tcPr>
          <w:p>
            <w:pPr>
              <w:widowControl/>
              <w:snapToGrid w:val="0"/>
              <w:spacing w:after="0" w:line="240" w:lineRule="auto"/>
              <w:jc w:val="center"/>
              <w:rPr>
                <w:rFonts w:ascii="宋体" w:hAnsi="宋体"/>
                <w:color w:val="000000"/>
                <w:kern w:val="0"/>
                <w:sz w:val="24"/>
                <w:szCs w:val="24"/>
              </w:rPr>
            </w:pPr>
            <w:r>
              <w:rPr>
                <w:rFonts w:ascii="宋体" w:hAnsi="宋体"/>
                <w:color w:val="000000"/>
                <w:kern w:val="0"/>
                <w:sz w:val="24"/>
                <w:szCs w:val="24"/>
              </w:rPr>
              <w:t>6</w:t>
            </w:r>
          </w:p>
        </w:tc>
        <w:tc>
          <w:tcPr>
            <w:tcW w:w="7" w:type="dxa"/>
            <w:tcBorders>
              <w:top w:val="single" w:color="auto" w:sz="4" w:space="0"/>
              <w:left w:val="single" w:color="auto" w:sz="4" w:space="0"/>
              <w:bottom w:val="single" w:color="auto" w:sz="4" w:space="0"/>
              <w:right w:val="single" w:color="auto" w:sz="4" w:space="0"/>
            </w:tcBorders>
            <w:vAlign w:val="center"/>
          </w:tcPr>
          <w:p>
            <w:pPr>
              <w:spacing w:after="0" w:line="240" w:lineRule="auto"/>
              <w:jc w:val="left"/>
            </w:pPr>
            <w:r>
              <w:rPr>
                <w:rFonts w:ascii="宋体" w:hAnsi="宋体"/>
                <w:color w:val="000000"/>
                <w:kern w:val="0"/>
                <w:sz w:val="25"/>
                <w:szCs w:val="24"/>
              </w:rPr>
              <w:t>其他应收款</w:t>
            </w:r>
          </w:p>
        </w:tc>
        <w:tc>
          <w:tcPr>
            <w:tcW w:w="7" w:type="dxa"/>
            <w:tcBorders>
              <w:top w:val="single" w:color="auto" w:sz="4" w:space="0"/>
              <w:left w:val="single" w:color="auto" w:sz="4" w:space="0"/>
              <w:bottom w:val="single" w:color="auto" w:sz="4" w:space="0"/>
              <w:right w:val="single" w:color="auto" w:sz="4" w:space="0"/>
            </w:tcBorders>
            <w:vAlign w:val="center"/>
          </w:tcPr>
          <w:p>
            <w:pPr>
              <w:widowControl/>
              <w:snapToGrid w:val="0"/>
              <w:spacing w:after="0" w:line="240" w:lineRule="auto"/>
              <w:jc w:val="right"/>
              <w:rPr>
                <w:rFonts w:ascii="宋体" w:hAnsi="宋体"/>
                <w:color w:val="000000"/>
                <w:kern w:val="0"/>
                <w:sz w:val="24"/>
                <w:szCs w:val="24"/>
              </w:rPr>
            </w:pPr>
            <w:r>
              <w:rPr>
                <w:rFonts w:ascii="宋体" w:hAnsi="宋体"/>
                <w:color w:val="000000"/>
                <w:kern w:val="0"/>
                <w:sz w:val="24"/>
                <w:szCs w:val="24"/>
              </w:rPr>
              <w:t>-</w:t>
            </w:r>
          </w:p>
        </w:tc>
      </w:tr>
      <w:tr>
        <w:trPr>
          <w:cantSplit/>
          <w:trHeight w:val="375" w:hRule="atLeast"/>
        </w:trPr>
        <w:tc>
          <w:tcPr>
            <w:tcW w:w="7" w:type="dxa"/>
            <w:tcBorders>
              <w:top w:val="single" w:color="auto" w:sz="4" w:space="0"/>
              <w:left w:val="single" w:color="auto" w:sz="4" w:space="0"/>
              <w:bottom w:val="single" w:color="auto" w:sz="4" w:space="0"/>
              <w:right w:val="single" w:color="auto" w:sz="4" w:space="0"/>
            </w:tcBorders>
            <w:vAlign w:val="center"/>
          </w:tcPr>
          <w:p>
            <w:pPr>
              <w:widowControl/>
              <w:snapToGrid w:val="0"/>
              <w:spacing w:after="0" w:line="240" w:lineRule="auto"/>
              <w:jc w:val="center"/>
              <w:rPr>
                <w:rFonts w:ascii="宋体" w:hAnsi="宋体"/>
                <w:color w:val="000000"/>
                <w:kern w:val="0"/>
                <w:sz w:val="24"/>
                <w:szCs w:val="24"/>
              </w:rPr>
            </w:pPr>
            <w:r>
              <w:rPr>
                <w:rFonts w:ascii="宋体" w:hAnsi="宋体"/>
                <w:color w:val="000000"/>
                <w:kern w:val="0"/>
                <w:sz w:val="24"/>
                <w:szCs w:val="24"/>
              </w:rPr>
              <w:t>7</w:t>
            </w:r>
          </w:p>
        </w:tc>
        <w:tc>
          <w:tcPr>
            <w:tcW w:w="7" w:type="dxa"/>
            <w:tcBorders>
              <w:top w:val="single" w:color="auto" w:sz="4" w:space="0"/>
              <w:left w:val="single" w:color="auto" w:sz="4" w:space="0"/>
              <w:bottom w:val="single" w:color="auto" w:sz="4" w:space="0"/>
              <w:right w:val="single" w:color="auto" w:sz="4" w:space="0"/>
            </w:tcBorders>
            <w:vAlign w:val="center"/>
          </w:tcPr>
          <w:p>
            <w:pPr>
              <w:spacing w:after="0" w:line="240" w:lineRule="auto"/>
              <w:jc w:val="left"/>
            </w:pPr>
            <w:r>
              <w:rPr>
                <w:rFonts w:ascii="宋体" w:hAnsi="宋体"/>
                <w:color w:val="000000"/>
                <w:kern w:val="0"/>
                <w:sz w:val="25"/>
                <w:szCs w:val="24"/>
              </w:rPr>
              <w:t>其他</w:t>
            </w:r>
          </w:p>
        </w:tc>
        <w:tc>
          <w:tcPr>
            <w:tcW w:w="7" w:type="dxa"/>
            <w:tcBorders>
              <w:top w:val="single" w:color="auto" w:sz="4" w:space="0"/>
              <w:left w:val="single" w:color="auto" w:sz="4" w:space="0"/>
              <w:bottom w:val="single" w:color="auto" w:sz="4" w:space="0"/>
              <w:right w:val="single" w:color="auto" w:sz="4" w:space="0"/>
            </w:tcBorders>
            <w:vAlign w:val="center"/>
          </w:tcPr>
          <w:p>
            <w:pPr>
              <w:widowControl/>
              <w:snapToGrid w:val="0"/>
              <w:spacing w:after="0" w:line="240" w:lineRule="auto"/>
              <w:jc w:val="right"/>
              <w:rPr>
                <w:rFonts w:ascii="宋体" w:hAnsi="宋体"/>
                <w:color w:val="000000"/>
                <w:kern w:val="0"/>
                <w:sz w:val="24"/>
                <w:szCs w:val="24"/>
              </w:rPr>
            </w:pPr>
            <w:r>
              <w:rPr>
                <w:rFonts w:ascii="宋体" w:hAnsi="宋体"/>
                <w:color w:val="000000"/>
                <w:kern w:val="0"/>
                <w:sz w:val="24"/>
                <w:szCs w:val="24"/>
              </w:rPr>
              <w:t>-</w:t>
            </w:r>
          </w:p>
        </w:tc>
      </w:tr>
      <w:tr>
        <w:trPr>
          <w:cantSplit/>
          <w:trHeight w:val="375" w:hRule="atLeast"/>
        </w:trPr>
        <w:tc>
          <w:tcPr>
            <w:tcW w:w="7" w:type="dxa"/>
            <w:tcBorders>
              <w:top w:val="single" w:color="auto" w:sz="4" w:space="0"/>
              <w:left w:val="single" w:color="auto" w:sz="4" w:space="0"/>
              <w:bottom w:val="single" w:color="auto" w:sz="4" w:space="0"/>
              <w:right w:val="single" w:color="auto" w:sz="4" w:space="0"/>
            </w:tcBorders>
            <w:vAlign w:val="center"/>
          </w:tcPr>
          <w:p>
            <w:pPr>
              <w:widowControl/>
              <w:snapToGrid w:val="0"/>
              <w:spacing w:after="0" w:line="240" w:lineRule="auto"/>
              <w:jc w:val="center"/>
              <w:rPr>
                <w:rFonts w:ascii="宋体" w:hAnsi="宋体"/>
                <w:color w:val="000000"/>
                <w:kern w:val="0"/>
                <w:sz w:val="24"/>
                <w:szCs w:val="24"/>
              </w:rPr>
            </w:pPr>
            <w:r>
              <w:rPr>
                <w:rFonts w:ascii="宋体" w:hAnsi="宋体"/>
                <w:color w:val="000000"/>
                <w:kern w:val="0"/>
                <w:sz w:val="24"/>
                <w:szCs w:val="24"/>
              </w:rPr>
              <w:t>8</w:t>
            </w:r>
          </w:p>
        </w:tc>
        <w:tc>
          <w:tcPr>
            <w:tcW w:w="7" w:type="dxa"/>
            <w:tcBorders>
              <w:top w:val="single" w:color="auto" w:sz="4" w:space="0"/>
              <w:left w:val="single" w:color="auto" w:sz="4" w:space="0"/>
              <w:bottom w:val="single" w:color="auto" w:sz="4" w:space="0"/>
              <w:right w:val="single" w:color="auto" w:sz="4" w:space="0"/>
            </w:tcBorders>
            <w:vAlign w:val="center"/>
          </w:tcPr>
          <w:p>
            <w:pPr>
              <w:spacing w:after="0" w:line="240" w:lineRule="auto"/>
              <w:jc w:val="left"/>
            </w:pPr>
            <w:r>
              <w:rPr>
                <w:rFonts w:ascii="宋体" w:hAnsi="宋体"/>
                <w:color w:val="000000"/>
                <w:kern w:val="0"/>
                <w:sz w:val="25"/>
                <w:szCs w:val="24"/>
              </w:rPr>
              <w:t>合计</w:t>
            </w:r>
          </w:p>
        </w:tc>
        <w:tc>
          <w:tcPr>
            <w:tcW w:w="7" w:type="dxa"/>
            <w:tcBorders>
              <w:top w:val="single" w:color="auto" w:sz="4" w:space="0"/>
              <w:left w:val="single" w:color="auto" w:sz="4" w:space="0"/>
              <w:bottom w:val="single" w:color="auto" w:sz="4" w:space="0"/>
              <w:right w:val="single" w:color="auto" w:sz="4" w:space="0"/>
            </w:tcBorders>
            <w:vAlign w:val="center"/>
          </w:tcPr>
          <w:p>
            <w:pPr>
              <w:widowControl/>
              <w:snapToGrid w:val="0"/>
              <w:spacing w:after="0" w:line="240" w:lineRule="auto"/>
              <w:jc w:val="right"/>
              <w:rPr>
                <w:rFonts w:ascii="宋体" w:hAnsi="宋体"/>
                <w:color w:val="000000"/>
                <w:kern w:val="0"/>
                <w:sz w:val="24"/>
                <w:szCs w:val="24"/>
              </w:rPr>
            </w:pPr>
            <w:r>
              <w:rPr>
                <w:rFonts w:ascii="宋体" w:hAnsi="宋体"/>
                <w:color w:val="000000"/>
                <w:kern w:val="0"/>
                <w:sz w:val="24"/>
                <w:szCs w:val="24"/>
              </w:rPr>
              <w:t>53,200,899.04</w:t>
            </w:r>
          </w:p>
        </w:tc>
      </w:tr>
    </w:tbl>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11.4 报告期末持有的处于转股期的可转换债券明细</w:t>
      </w:r>
    </w:p>
    <w:tbl>
      <w:tblPr>
        <w:tblStyle w:val="14"/>
        <w:tblW w:w="5000" w:type="pct"/>
        <w:tblInd w:w="0" w:type="dxa"/>
        <w:tblLayout w:type="fixed"/>
        <w:tblCellMar>
          <w:top w:w="0" w:type="dxa"/>
          <w:left w:w="0" w:type="dxa"/>
          <w:bottom w:w="0" w:type="dxa"/>
          <w:right w:w="0" w:type="dxa"/>
        </w:tblCellMar>
      </w:tblPr>
      <w:tblGrid>
        <w:gridCol w:w="1734"/>
        <w:gridCol w:w="1734"/>
        <w:gridCol w:w="1734"/>
        <w:gridCol w:w="1734"/>
        <w:gridCol w:w="1734"/>
      </w:tblGrid>
      <w:tr>
        <w:trPr>
          <w:cantSplit/>
          <w:trHeight w:val="375" w:hRule="atLeast"/>
        </w:trPr>
        <w:tc>
          <w:tcPr>
            <w:tcW w:w="7" w:type="dxa"/>
            <w:tcBorders>
              <w:top w:val="single" w:color="auto" w:sz="4" w:space="0"/>
              <w:left w:val="single" w:color="auto" w:sz="4" w:space="0"/>
              <w:bottom w:val="single" w:color="auto" w:sz="4" w:space="0"/>
              <w:right w:val="single" w:color="auto" w:sz="4" w:space="0"/>
            </w:tcBorders>
            <w:vAlign w:val="center"/>
          </w:tcPr>
          <w:p>
            <w:pPr>
              <w:widowControl/>
              <w:snapToGrid w:val="0"/>
              <w:spacing w:after="0" w:line="240" w:lineRule="auto"/>
              <w:jc w:val="center"/>
              <w:rPr>
                <w:rFonts w:ascii="宋体" w:hAnsi="宋体"/>
                <w:color w:val="000000"/>
                <w:kern w:val="0"/>
                <w:sz w:val="24"/>
                <w:szCs w:val="24"/>
              </w:rPr>
            </w:pPr>
            <w:r>
              <w:rPr>
                <w:rFonts w:ascii="宋体" w:hAnsi="宋体"/>
                <w:color w:val="000000"/>
                <w:kern w:val="0"/>
                <w:sz w:val="24"/>
                <w:szCs w:val="24"/>
              </w:rPr>
              <w:t>序号</w:t>
            </w:r>
          </w:p>
        </w:tc>
        <w:tc>
          <w:tcPr>
            <w:tcW w:w="7" w:type="dxa"/>
            <w:tcBorders>
              <w:top w:val="single" w:color="auto" w:sz="4" w:space="0"/>
              <w:left w:val="single" w:color="auto" w:sz="4" w:space="0"/>
              <w:bottom w:val="single" w:color="auto" w:sz="4" w:space="0"/>
              <w:right w:val="single" w:color="auto" w:sz="4" w:space="0"/>
            </w:tcBorders>
            <w:vAlign w:val="center"/>
          </w:tcPr>
          <w:p>
            <w:pPr>
              <w:widowControl/>
              <w:snapToGrid w:val="0"/>
              <w:spacing w:after="0" w:line="240" w:lineRule="auto"/>
              <w:jc w:val="center"/>
              <w:rPr>
                <w:rFonts w:ascii="宋体" w:hAnsi="宋体"/>
                <w:color w:val="000000"/>
                <w:kern w:val="0"/>
                <w:sz w:val="24"/>
                <w:szCs w:val="24"/>
              </w:rPr>
            </w:pPr>
            <w:r>
              <w:rPr>
                <w:rFonts w:ascii="宋体" w:hAnsi="宋体"/>
                <w:color w:val="000000"/>
                <w:kern w:val="0"/>
                <w:sz w:val="24"/>
                <w:szCs w:val="24"/>
              </w:rPr>
              <w:t>债券代码</w:t>
            </w:r>
          </w:p>
        </w:tc>
        <w:tc>
          <w:tcPr>
            <w:tcW w:w="7" w:type="dxa"/>
            <w:tcBorders>
              <w:top w:val="single" w:color="auto" w:sz="4" w:space="0"/>
              <w:left w:val="single" w:color="auto" w:sz="4" w:space="0"/>
              <w:bottom w:val="single" w:color="auto" w:sz="4" w:space="0"/>
              <w:right w:val="single" w:color="auto" w:sz="4" w:space="0"/>
            </w:tcBorders>
            <w:vAlign w:val="center"/>
          </w:tcPr>
          <w:p>
            <w:pPr>
              <w:widowControl/>
              <w:snapToGrid w:val="0"/>
              <w:spacing w:after="0" w:line="240" w:lineRule="auto"/>
              <w:jc w:val="center"/>
              <w:rPr>
                <w:rFonts w:ascii="宋体" w:hAnsi="宋体"/>
                <w:color w:val="000000"/>
                <w:kern w:val="0"/>
                <w:sz w:val="24"/>
                <w:szCs w:val="24"/>
              </w:rPr>
            </w:pPr>
            <w:r>
              <w:rPr>
                <w:rFonts w:ascii="宋体" w:hAnsi="宋体"/>
                <w:color w:val="000000"/>
                <w:kern w:val="0"/>
                <w:sz w:val="24"/>
                <w:szCs w:val="24"/>
              </w:rPr>
              <w:t>债券名称</w:t>
            </w:r>
          </w:p>
        </w:tc>
        <w:tc>
          <w:tcPr>
            <w:tcW w:w="7" w:type="dxa"/>
            <w:tcBorders>
              <w:top w:val="single" w:color="auto" w:sz="4" w:space="0"/>
              <w:left w:val="single" w:color="auto" w:sz="4" w:space="0"/>
              <w:bottom w:val="single" w:color="auto" w:sz="4" w:space="0"/>
              <w:right w:val="single" w:color="auto" w:sz="4" w:space="0"/>
            </w:tcBorders>
            <w:vAlign w:val="center"/>
          </w:tcPr>
          <w:p>
            <w:pPr>
              <w:widowControl/>
              <w:snapToGrid w:val="0"/>
              <w:spacing w:after="0" w:line="240" w:lineRule="auto"/>
              <w:jc w:val="center"/>
              <w:rPr>
                <w:rFonts w:ascii="宋体" w:hAnsi="宋体"/>
                <w:color w:val="000000"/>
                <w:kern w:val="0"/>
                <w:sz w:val="24"/>
                <w:szCs w:val="24"/>
              </w:rPr>
            </w:pPr>
            <w:r>
              <w:rPr>
                <w:rFonts w:ascii="宋体" w:hAnsi="宋体"/>
                <w:color w:val="000000"/>
                <w:kern w:val="0"/>
                <w:sz w:val="24"/>
                <w:szCs w:val="24"/>
              </w:rPr>
              <w:t>公允价值（元）</w:t>
            </w:r>
          </w:p>
        </w:tc>
        <w:tc>
          <w:tcPr>
            <w:tcW w:w="7" w:type="dxa"/>
            <w:tcBorders>
              <w:top w:val="single" w:color="auto" w:sz="4" w:space="0"/>
              <w:left w:val="single" w:color="auto" w:sz="4" w:space="0"/>
              <w:bottom w:val="single" w:color="auto" w:sz="4" w:space="0"/>
              <w:right w:val="single" w:color="auto" w:sz="4" w:space="0"/>
            </w:tcBorders>
            <w:vAlign w:val="center"/>
          </w:tcPr>
          <w:p>
            <w:pPr>
              <w:widowControl/>
              <w:snapToGrid w:val="0"/>
              <w:spacing w:after="0" w:line="240" w:lineRule="auto"/>
              <w:jc w:val="center"/>
              <w:rPr>
                <w:rFonts w:ascii="宋体" w:hAnsi="宋体"/>
                <w:color w:val="000000"/>
                <w:kern w:val="0"/>
                <w:sz w:val="24"/>
                <w:szCs w:val="24"/>
              </w:rPr>
            </w:pPr>
            <w:r>
              <w:rPr>
                <w:rFonts w:ascii="宋体" w:hAnsi="宋体"/>
                <w:color w:val="000000"/>
                <w:kern w:val="0"/>
                <w:sz w:val="24"/>
                <w:szCs w:val="24"/>
              </w:rPr>
              <w:t>占基金资产净值比例（%）</w:t>
            </w:r>
          </w:p>
        </w:tc>
      </w:tr>
      <w:tr>
        <w:tblPrEx>
          <w:tblCellMar>
            <w:top w:w="0" w:type="dxa"/>
            <w:left w:w="0" w:type="dxa"/>
            <w:bottom w:w="0" w:type="dxa"/>
            <w:right w:w="0" w:type="dxa"/>
          </w:tblCellMar>
        </w:tblPrEx>
        <w:trPr>
          <w:cantSplit/>
          <w:trHeight w:val="375" w:hRule="atLeast"/>
        </w:trPr>
        <w:tc>
          <w:tcPr>
            <w:tcW w:w="7" w:type="dxa"/>
            <w:tcBorders>
              <w:top w:val="single" w:color="auto" w:sz="4" w:space="0"/>
              <w:left w:val="single" w:color="auto" w:sz="4" w:space="0"/>
              <w:bottom w:val="single" w:color="auto" w:sz="4" w:space="0"/>
              <w:right w:val="single" w:color="auto" w:sz="4" w:space="0"/>
            </w:tcBorders>
            <w:vAlign w:val="center"/>
          </w:tcPr>
          <w:p>
            <w:pPr>
              <w:widowControl/>
              <w:snapToGrid w:val="0"/>
              <w:spacing w:after="0" w:line="240" w:lineRule="auto"/>
              <w:jc w:val="center"/>
              <w:rPr>
                <w:rFonts w:ascii="宋体" w:hAnsi="宋体"/>
                <w:color w:val="000000"/>
                <w:kern w:val="0"/>
                <w:sz w:val="24"/>
                <w:szCs w:val="24"/>
              </w:rPr>
            </w:pPr>
            <w:r>
              <w:rPr>
                <w:rFonts w:ascii="宋体" w:hAnsi="宋体"/>
                <w:color w:val="000000"/>
                <w:kern w:val="0"/>
                <w:sz w:val="24"/>
                <w:szCs w:val="24"/>
              </w:rPr>
              <w:t>1</w:t>
            </w:r>
          </w:p>
        </w:tc>
        <w:tc>
          <w:tcPr>
            <w:tcW w:w="7" w:type="dxa"/>
            <w:tcBorders>
              <w:top w:val="single" w:color="auto" w:sz="4" w:space="0"/>
              <w:left w:val="single" w:color="auto" w:sz="4" w:space="0"/>
              <w:bottom w:val="single" w:color="auto" w:sz="4" w:space="0"/>
              <w:right w:val="single" w:color="auto" w:sz="4" w:space="0"/>
            </w:tcBorders>
            <w:vAlign w:val="center"/>
          </w:tcPr>
          <w:p>
            <w:pPr>
              <w:widowControl/>
              <w:snapToGrid w:val="0"/>
              <w:spacing w:after="0" w:line="240" w:lineRule="auto"/>
              <w:jc w:val="center"/>
              <w:rPr>
                <w:rFonts w:ascii="宋体" w:hAnsi="宋体"/>
                <w:color w:val="000000"/>
                <w:kern w:val="0"/>
                <w:sz w:val="24"/>
                <w:szCs w:val="24"/>
              </w:rPr>
            </w:pPr>
            <w:r>
              <w:rPr>
                <w:rFonts w:ascii="宋体" w:hAnsi="宋体"/>
                <w:color w:val="000000"/>
                <w:kern w:val="0"/>
                <w:sz w:val="24"/>
                <w:szCs w:val="24"/>
              </w:rPr>
              <w:t>118034</w:t>
            </w:r>
          </w:p>
        </w:tc>
        <w:tc>
          <w:tcPr>
            <w:tcW w:w="7" w:type="dxa"/>
            <w:tcBorders>
              <w:top w:val="single" w:color="auto" w:sz="4" w:space="0"/>
              <w:left w:val="single" w:color="auto" w:sz="4" w:space="0"/>
              <w:bottom w:val="single" w:color="auto" w:sz="4" w:space="0"/>
              <w:right w:val="single" w:color="auto" w:sz="4" w:space="0"/>
            </w:tcBorders>
            <w:vAlign w:val="center"/>
          </w:tcPr>
          <w:p>
            <w:pPr>
              <w:widowControl/>
              <w:snapToGrid w:val="0"/>
              <w:spacing w:after="0" w:line="240" w:lineRule="auto"/>
              <w:jc w:val="center"/>
              <w:rPr>
                <w:rFonts w:ascii="宋体" w:hAnsi="宋体"/>
                <w:color w:val="000000"/>
                <w:kern w:val="0"/>
                <w:sz w:val="24"/>
                <w:szCs w:val="24"/>
              </w:rPr>
            </w:pPr>
            <w:r>
              <w:rPr>
                <w:rFonts w:ascii="宋体" w:hAnsi="宋体"/>
                <w:color w:val="000000"/>
                <w:kern w:val="0"/>
                <w:sz w:val="24"/>
                <w:szCs w:val="24"/>
              </w:rPr>
              <w:t>晶能转债</w:t>
            </w:r>
          </w:p>
        </w:tc>
        <w:tc>
          <w:tcPr>
            <w:tcW w:w="7" w:type="dxa"/>
            <w:tcBorders>
              <w:top w:val="single" w:color="auto" w:sz="4" w:space="0"/>
              <w:left w:val="single" w:color="auto" w:sz="4" w:space="0"/>
              <w:bottom w:val="single" w:color="auto" w:sz="4" w:space="0"/>
              <w:right w:val="single" w:color="auto" w:sz="4" w:space="0"/>
            </w:tcBorders>
            <w:vAlign w:val="center"/>
          </w:tcPr>
          <w:p>
            <w:pPr>
              <w:widowControl/>
              <w:snapToGrid w:val="0"/>
              <w:spacing w:after="0" w:line="240" w:lineRule="auto"/>
              <w:jc w:val="right"/>
              <w:rPr>
                <w:rFonts w:ascii="宋体" w:hAnsi="宋体"/>
                <w:color w:val="000000"/>
                <w:kern w:val="0"/>
                <w:sz w:val="24"/>
                <w:szCs w:val="24"/>
              </w:rPr>
            </w:pPr>
            <w:r>
              <w:rPr>
                <w:rFonts w:ascii="宋体" w:hAnsi="宋体"/>
                <w:color w:val="000000"/>
                <w:kern w:val="0"/>
                <w:sz w:val="24"/>
                <w:szCs w:val="24"/>
              </w:rPr>
              <w:t>35,438,000.60</w:t>
            </w:r>
          </w:p>
        </w:tc>
        <w:tc>
          <w:tcPr>
            <w:tcW w:w="7" w:type="dxa"/>
            <w:tcBorders>
              <w:top w:val="single" w:color="auto" w:sz="4" w:space="0"/>
              <w:left w:val="single" w:color="auto" w:sz="4" w:space="0"/>
              <w:bottom w:val="single" w:color="auto" w:sz="4" w:space="0"/>
              <w:right w:val="single" w:color="auto" w:sz="4" w:space="0"/>
            </w:tcBorders>
            <w:vAlign w:val="center"/>
          </w:tcPr>
          <w:p>
            <w:pPr>
              <w:widowControl/>
              <w:snapToGrid w:val="0"/>
              <w:spacing w:after="0" w:line="240" w:lineRule="auto"/>
              <w:jc w:val="right"/>
              <w:rPr>
                <w:rFonts w:ascii="宋体" w:hAnsi="宋体"/>
                <w:color w:val="000000"/>
                <w:kern w:val="0"/>
                <w:sz w:val="24"/>
                <w:szCs w:val="24"/>
              </w:rPr>
            </w:pPr>
            <w:r>
              <w:rPr>
                <w:rFonts w:ascii="宋体" w:hAnsi="宋体"/>
                <w:color w:val="000000"/>
                <w:kern w:val="0"/>
                <w:sz w:val="24"/>
                <w:szCs w:val="24"/>
              </w:rPr>
              <w:t>0.87</w:t>
            </w:r>
          </w:p>
        </w:tc>
      </w:tr>
      <w:tr>
        <w:tblPrEx>
          <w:tblCellMar>
            <w:top w:w="0" w:type="dxa"/>
            <w:left w:w="0" w:type="dxa"/>
            <w:bottom w:w="0" w:type="dxa"/>
            <w:right w:w="0" w:type="dxa"/>
          </w:tblCellMar>
        </w:tblPrEx>
        <w:trPr>
          <w:cantSplit/>
          <w:trHeight w:val="375" w:hRule="atLeast"/>
        </w:trPr>
        <w:tc>
          <w:tcPr>
            <w:tcW w:w="7" w:type="dxa"/>
            <w:tcBorders>
              <w:top w:val="single" w:color="auto" w:sz="4" w:space="0"/>
              <w:left w:val="single" w:color="auto" w:sz="4" w:space="0"/>
              <w:bottom w:val="single" w:color="auto" w:sz="4" w:space="0"/>
              <w:right w:val="single" w:color="auto" w:sz="4" w:space="0"/>
            </w:tcBorders>
            <w:vAlign w:val="center"/>
          </w:tcPr>
          <w:p>
            <w:pPr>
              <w:widowControl/>
              <w:snapToGrid w:val="0"/>
              <w:spacing w:after="0" w:line="240" w:lineRule="auto"/>
              <w:jc w:val="center"/>
              <w:rPr>
                <w:rFonts w:ascii="宋体" w:hAnsi="宋体"/>
                <w:color w:val="000000"/>
                <w:kern w:val="0"/>
                <w:sz w:val="24"/>
                <w:szCs w:val="24"/>
              </w:rPr>
            </w:pPr>
            <w:r>
              <w:rPr>
                <w:rFonts w:ascii="宋体" w:hAnsi="宋体"/>
                <w:color w:val="000000"/>
                <w:kern w:val="0"/>
                <w:sz w:val="24"/>
                <w:szCs w:val="24"/>
              </w:rPr>
              <w:t>2</w:t>
            </w:r>
          </w:p>
        </w:tc>
        <w:tc>
          <w:tcPr>
            <w:tcW w:w="7" w:type="dxa"/>
            <w:tcBorders>
              <w:top w:val="single" w:color="auto" w:sz="4" w:space="0"/>
              <w:left w:val="single" w:color="auto" w:sz="4" w:space="0"/>
              <w:bottom w:val="single" w:color="auto" w:sz="4" w:space="0"/>
              <w:right w:val="single" w:color="auto" w:sz="4" w:space="0"/>
            </w:tcBorders>
            <w:vAlign w:val="center"/>
          </w:tcPr>
          <w:p>
            <w:pPr>
              <w:widowControl/>
              <w:snapToGrid w:val="0"/>
              <w:spacing w:after="0" w:line="240" w:lineRule="auto"/>
              <w:jc w:val="center"/>
              <w:rPr>
                <w:rFonts w:ascii="宋体" w:hAnsi="宋体"/>
                <w:color w:val="000000"/>
                <w:kern w:val="0"/>
                <w:sz w:val="24"/>
                <w:szCs w:val="24"/>
              </w:rPr>
            </w:pPr>
            <w:r>
              <w:rPr>
                <w:rFonts w:ascii="宋体" w:hAnsi="宋体"/>
                <w:color w:val="000000"/>
                <w:kern w:val="0"/>
                <w:sz w:val="24"/>
                <w:szCs w:val="24"/>
              </w:rPr>
              <w:t>110085</w:t>
            </w:r>
          </w:p>
        </w:tc>
        <w:tc>
          <w:tcPr>
            <w:tcW w:w="7" w:type="dxa"/>
            <w:tcBorders>
              <w:top w:val="single" w:color="auto" w:sz="4" w:space="0"/>
              <w:left w:val="single" w:color="auto" w:sz="4" w:space="0"/>
              <w:bottom w:val="single" w:color="auto" w:sz="4" w:space="0"/>
              <w:right w:val="single" w:color="auto" w:sz="4" w:space="0"/>
            </w:tcBorders>
            <w:vAlign w:val="center"/>
          </w:tcPr>
          <w:p>
            <w:pPr>
              <w:widowControl/>
              <w:snapToGrid w:val="0"/>
              <w:spacing w:after="0" w:line="240" w:lineRule="auto"/>
              <w:jc w:val="center"/>
              <w:rPr>
                <w:rFonts w:ascii="宋体" w:hAnsi="宋体"/>
                <w:color w:val="000000"/>
                <w:kern w:val="0"/>
                <w:sz w:val="24"/>
                <w:szCs w:val="24"/>
              </w:rPr>
            </w:pPr>
            <w:r>
              <w:rPr>
                <w:rFonts w:ascii="宋体" w:hAnsi="宋体"/>
                <w:color w:val="000000"/>
                <w:kern w:val="0"/>
                <w:sz w:val="24"/>
                <w:szCs w:val="24"/>
              </w:rPr>
              <w:t>通22转债</w:t>
            </w:r>
          </w:p>
        </w:tc>
        <w:tc>
          <w:tcPr>
            <w:tcW w:w="7" w:type="dxa"/>
            <w:tcBorders>
              <w:top w:val="single" w:color="auto" w:sz="4" w:space="0"/>
              <w:left w:val="single" w:color="auto" w:sz="4" w:space="0"/>
              <w:bottom w:val="single" w:color="auto" w:sz="4" w:space="0"/>
              <w:right w:val="single" w:color="auto" w:sz="4" w:space="0"/>
            </w:tcBorders>
            <w:vAlign w:val="center"/>
          </w:tcPr>
          <w:p>
            <w:pPr>
              <w:widowControl/>
              <w:snapToGrid w:val="0"/>
              <w:spacing w:after="0" w:line="240" w:lineRule="auto"/>
              <w:jc w:val="right"/>
              <w:rPr>
                <w:rFonts w:ascii="宋体" w:hAnsi="宋体"/>
                <w:color w:val="000000"/>
                <w:kern w:val="0"/>
                <w:sz w:val="24"/>
                <w:szCs w:val="24"/>
              </w:rPr>
            </w:pPr>
            <w:r>
              <w:rPr>
                <w:rFonts w:ascii="宋体" w:hAnsi="宋体"/>
                <w:color w:val="000000"/>
                <w:kern w:val="0"/>
                <w:sz w:val="24"/>
                <w:szCs w:val="24"/>
              </w:rPr>
              <w:t>33,117,356.98</w:t>
            </w:r>
          </w:p>
        </w:tc>
        <w:tc>
          <w:tcPr>
            <w:tcW w:w="7" w:type="dxa"/>
            <w:tcBorders>
              <w:top w:val="single" w:color="auto" w:sz="4" w:space="0"/>
              <w:left w:val="single" w:color="auto" w:sz="4" w:space="0"/>
              <w:bottom w:val="single" w:color="auto" w:sz="4" w:space="0"/>
              <w:right w:val="single" w:color="auto" w:sz="4" w:space="0"/>
            </w:tcBorders>
            <w:vAlign w:val="center"/>
          </w:tcPr>
          <w:p>
            <w:pPr>
              <w:widowControl/>
              <w:snapToGrid w:val="0"/>
              <w:spacing w:after="0" w:line="240" w:lineRule="auto"/>
              <w:jc w:val="right"/>
              <w:rPr>
                <w:rFonts w:ascii="宋体" w:hAnsi="宋体"/>
                <w:color w:val="000000"/>
                <w:kern w:val="0"/>
                <w:sz w:val="24"/>
                <w:szCs w:val="24"/>
              </w:rPr>
            </w:pPr>
            <w:r>
              <w:rPr>
                <w:rFonts w:ascii="宋体" w:hAnsi="宋体"/>
                <w:color w:val="000000"/>
                <w:kern w:val="0"/>
                <w:sz w:val="24"/>
                <w:szCs w:val="24"/>
              </w:rPr>
              <w:t>0.81</w:t>
            </w:r>
          </w:p>
        </w:tc>
      </w:tr>
      <w:tr>
        <w:tblPrEx>
          <w:tblCellMar>
            <w:top w:w="0" w:type="dxa"/>
            <w:left w:w="0" w:type="dxa"/>
            <w:bottom w:w="0" w:type="dxa"/>
            <w:right w:w="0" w:type="dxa"/>
          </w:tblCellMar>
        </w:tblPrEx>
        <w:trPr>
          <w:cantSplit/>
          <w:trHeight w:val="375" w:hRule="atLeast"/>
        </w:trPr>
        <w:tc>
          <w:tcPr>
            <w:tcW w:w="7" w:type="dxa"/>
            <w:tcBorders>
              <w:top w:val="single" w:color="auto" w:sz="4" w:space="0"/>
              <w:left w:val="single" w:color="auto" w:sz="4" w:space="0"/>
              <w:bottom w:val="single" w:color="auto" w:sz="4" w:space="0"/>
              <w:right w:val="single" w:color="auto" w:sz="4" w:space="0"/>
            </w:tcBorders>
            <w:vAlign w:val="center"/>
          </w:tcPr>
          <w:p>
            <w:pPr>
              <w:widowControl/>
              <w:snapToGrid w:val="0"/>
              <w:spacing w:after="0" w:line="240" w:lineRule="auto"/>
              <w:jc w:val="center"/>
              <w:rPr>
                <w:rFonts w:ascii="宋体" w:hAnsi="宋体"/>
                <w:color w:val="000000"/>
                <w:kern w:val="0"/>
                <w:sz w:val="24"/>
                <w:szCs w:val="24"/>
              </w:rPr>
            </w:pPr>
            <w:r>
              <w:rPr>
                <w:rFonts w:ascii="宋体" w:hAnsi="宋体"/>
                <w:color w:val="000000"/>
                <w:kern w:val="0"/>
                <w:sz w:val="24"/>
                <w:szCs w:val="24"/>
              </w:rPr>
              <w:t>3</w:t>
            </w:r>
          </w:p>
        </w:tc>
        <w:tc>
          <w:tcPr>
            <w:tcW w:w="7" w:type="dxa"/>
            <w:tcBorders>
              <w:top w:val="single" w:color="auto" w:sz="4" w:space="0"/>
              <w:left w:val="single" w:color="auto" w:sz="4" w:space="0"/>
              <w:bottom w:val="single" w:color="auto" w:sz="4" w:space="0"/>
              <w:right w:val="single" w:color="auto" w:sz="4" w:space="0"/>
            </w:tcBorders>
            <w:vAlign w:val="center"/>
          </w:tcPr>
          <w:p>
            <w:pPr>
              <w:widowControl/>
              <w:snapToGrid w:val="0"/>
              <w:spacing w:after="0" w:line="240" w:lineRule="auto"/>
              <w:jc w:val="center"/>
              <w:rPr>
                <w:rFonts w:ascii="宋体" w:hAnsi="宋体"/>
                <w:color w:val="000000"/>
                <w:kern w:val="0"/>
                <w:sz w:val="24"/>
                <w:szCs w:val="24"/>
              </w:rPr>
            </w:pPr>
            <w:r>
              <w:rPr>
                <w:rFonts w:ascii="宋体" w:hAnsi="宋体"/>
                <w:color w:val="000000"/>
                <w:kern w:val="0"/>
                <w:sz w:val="24"/>
                <w:szCs w:val="24"/>
              </w:rPr>
              <w:t>123241</w:t>
            </w:r>
          </w:p>
        </w:tc>
        <w:tc>
          <w:tcPr>
            <w:tcW w:w="7" w:type="dxa"/>
            <w:tcBorders>
              <w:top w:val="single" w:color="auto" w:sz="4" w:space="0"/>
              <w:left w:val="single" w:color="auto" w:sz="4" w:space="0"/>
              <w:bottom w:val="single" w:color="auto" w:sz="4" w:space="0"/>
              <w:right w:val="single" w:color="auto" w:sz="4" w:space="0"/>
            </w:tcBorders>
            <w:vAlign w:val="center"/>
          </w:tcPr>
          <w:p>
            <w:pPr>
              <w:widowControl/>
              <w:snapToGrid w:val="0"/>
              <w:spacing w:after="0" w:line="240" w:lineRule="auto"/>
              <w:jc w:val="center"/>
              <w:rPr>
                <w:rFonts w:ascii="宋体" w:hAnsi="宋体"/>
                <w:color w:val="000000"/>
                <w:kern w:val="0"/>
                <w:sz w:val="24"/>
                <w:szCs w:val="24"/>
              </w:rPr>
            </w:pPr>
            <w:r>
              <w:rPr>
                <w:rFonts w:ascii="宋体" w:hAnsi="宋体"/>
                <w:color w:val="000000"/>
                <w:kern w:val="0"/>
                <w:sz w:val="24"/>
                <w:szCs w:val="24"/>
              </w:rPr>
              <w:t>欧通转债</w:t>
            </w:r>
          </w:p>
        </w:tc>
        <w:tc>
          <w:tcPr>
            <w:tcW w:w="7" w:type="dxa"/>
            <w:tcBorders>
              <w:top w:val="single" w:color="auto" w:sz="4" w:space="0"/>
              <w:left w:val="single" w:color="auto" w:sz="4" w:space="0"/>
              <w:bottom w:val="single" w:color="auto" w:sz="4" w:space="0"/>
              <w:right w:val="single" w:color="auto" w:sz="4" w:space="0"/>
            </w:tcBorders>
            <w:vAlign w:val="center"/>
          </w:tcPr>
          <w:p>
            <w:pPr>
              <w:widowControl/>
              <w:snapToGrid w:val="0"/>
              <w:spacing w:after="0" w:line="240" w:lineRule="auto"/>
              <w:jc w:val="right"/>
              <w:rPr>
                <w:rFonts w:ascii="宋体" w:hAnsi="宋体"/>
                <w:color w:val="000000"/>
                <w:kern w:val="0"/>
                <w:sz w:val="24"/>
                <w:szCs w:val="24"/>
              </w:rPr>
            </w:pPr>
            <w:r>
              <w:rPr>
                <w:rFonts w:ascii="宋体" w:hAnsi="宋体"/>
                <w:color w:val="000000"/>
                <w:kern w:val="0"/>
                <w:sz w:val="24"/>
                <w:szCs w:val="24"/>
              </w:rPr>
              <w:t>24,777,027.95</w:t>
            </w:r>
          </w:p>
        </w:tc>
        <w:tc>
          <w:tcPr>
            <w:tcW w:w="7" w:type="dxa"/>
            <w:tcBorders>
              <w:top w:val="single" w:color="auto" w:sz="4" w:space="0"/>
              <w:left w:val="single" w:color="auto" w:sz="4" w:space="0"/>
              <w:bottom w:val="single" w:color="auto" w:sz="4" w:space="0"/>
              <w:right w:val="single" w:color="auto" w:sz="4" w:space="0"/>
            </w:tcBorders>
            <w:vAlign w:val="center"/>
          </w:tcPr>
          <w:p>
            <w:pPr>
              <w:widowControl/>
              <w:snapToGrid w:val="0"/>
              <w:spacing w:after="0" w:line="240" w:lineRule="auto"/>
              <w:jc w:val="right"/>
              <w:rPr>
                <w:rFonts w:ascii="宋体" w:hAnsi="宋体"/>
                <w:color w:val="000000"/>
                <w:kern w:val="0"/>
                <w:sz w:val="24"/>
                <w:szCs w:val="24"/>
              </w:rPr>
            </w:pPr>
            <w:r>
              <w:rPr>
                <w:rFonts w:ascii="宋体" w:hAnsi="宋体"/>
                <w:color w:val="000000"/>
                <w:kern w:val="0"/>
                <w:sz w:val="24"/>
                <w:szCs w:val="24"/>
              </w:rPr>
              <w:t>0.61</w:t>
            </w:r>
          </w:p>
        </w:tc>
      </w:tr>
      <w:tr>
        <w:tblPrEx>
          <w:tblCellMar>
            <w:top w:w="0" w:type="dxa"/>
            <w:left w:w="0" w:type="dxa"/>
            <w:bottom w:w="0" w:type="dxa"/>
            <w:right w:w="0" w:type="dxa"/>
          </w:tblCellMar>
        </w:tblPrEx>
        <w:trPr>
          <w:cantSplit/>
          <w:trHeight w:val="375" w:hRule="atLeast"/>
        </w:trPr>
        <w:tc>
          <w:tcPr>
            <w:tcW w:w="7" w:type="dxa"/>
            <w:tcBorders>
              <w:top w:val="single" w:color="auto" w:sz="4" w:space="0"/>
              <w:left w:val="single" w:color="auto" w:sz="4" w:space="0"/>
              <w:bottom w:val="single" w:color="auto" w:sz="4" w:space="0"/>
              <w:right w:val="single" w:color="auto" w:sz="4" w:space="0"/>
            </w:tcBorders>
            <w:vAlign w:val="center"/>
          </w:tcPr>
          <w:p>
            <w:pPr>
              <w:widowControl/>
              <w:snapToGrid w:val="0"/>
              <w:spacing w:after="0" w:line="240" w:lineRule="auto"/>
              <w:jc w:val="center"/>
              <w:rPr>
                <w:rFonts w:ascii="宋体" w:hAnsi="宋体"/>
                <w:color w:val="000000"/>
                <w:kern w:val="0"/>
                <w:sz w:val="24"/>
                <w:szCs w:val="24"/>
              </w:rPr>
            </w:pPr>
            <w:r>
              <w:rPr>
                <w:rFonts w:ascii="宋体" w:hAnsi="宋体"/>
                <w:color w:val="000000"/>
                <w:kern w:val="0"/>
                <w:sz w:val="24"/>
                <w:szCs w:val="24"/>
              </w:rPr>
              <w:t>4</w:t>
            </w:r>
          </w:p>
        </w:tc>
        <w:tc>
          <w:tcPr>
            <w:tcW w:w="7" w:type="dxa"/>
            <w:tcBorders>
              <w:top w:val="single" w:color="auto" w:sz="4" w:space="0"/>
              <w:left w:val="single" w:color="auto" w:sz="4" w:space="0"/>
              <w:bottom w:val="single" w:color="auto" w:sz="4" w:space="0"/>
              <w:right w:val="single" w:color="auto" w:sz="4" w:space="0"/>
            </w:tcBorders>
            <w:vAlign w:val="center"/>
          </w:tcPr>
          <w:p>
            <w:pPr>
              <w:widowControl/>
              <w:snapToGrid w:val="0"/>
              <w:spacing w:after="0" w:line="240" w:lineRule="auto"/>
              <w:jc w:val="center"/>
              <w:rPr>
                <w:rFonts w:ascii="宋体" w:hAnsi="宋体"/>
                <w:color w:val="000000"/>
                <w:kern w:val="0"/>
                <w:sz w:val="24"/>
                <w:szCs w:val="24"/>
              </w:rPr>
            </w:pPr>
            <w:r>
              <w:rPr>
                <w:rFonts w:ascii="宋体" w:hAnsi="宋体"/>
                <w:color w:val="000000"/>
                <w:kern w:val="0"/>
                <w:sz w:val="24"/>
                <w:szCs w:val="24"/>
              </w:rPr>
              <w:t>123107</w:t>
            </w:r>
          </w:p>
        </w:tc>
        <w:tc>
          <w:tcPr>
            <w:tcW w:w="7" w:type="dxa"/>
            <w:tcBorders>
              <w:top w:val="single" w:color="auto" w:sz="4" w:space="0"/>
              <w:left w:val="single" w:color="auto" w:sz="4" w:space="0"/>
              <w:bottom w:val="single" w:color="auto" w:sz="4" w:space="0"/>
              <w:right w:val="single" w:color="auto" w:sz="4" w:space="0"/>
            </w:tcBorders>
            <w:vAlign w:val="center"/>
          </w:tcPr>
          <w:p>
            <w:pPr>
              <w:widowControl/>
              <w:snapToGrid w:val="0"/>
              <w:spacing w:after="0" w:line="240" w:lineRule="auto"/>
              <w:jc w:val="center"/>
              <w:rPr>
                <w:rFonts w:ascii="宋体" w:hAnsi="宋体"/>
                <w:color w:val="000000"/>
                <w:kern w:val="0"/>
                <w:sz w:val="24"/>
                <w:szCs w:val="24"/>
              </w:rPr>
            </w:pPr>
            <w:r>
              <w:rPr>
                <w:rFonts w:ascii="宋体" w:hAnsi="宋体"/>
                <w:color w:val="000000"/>
                <w:kern w:val="0"/>
                <w:sz w:val="24"/>
                <w:szCs w:val="24"/>
              </w:rPr>
              <w:t>温氏转债</w:t>
            </w:r>
          </w:p>
        </w:tc>
        <w:tc>
          <w:tcPr>
            <w:tcW w:w="7" w:type="dxa"/>
            <w:tcBorders>
              <w:top w:val="single" w:color="auto" w:sz="4" w:space="0"/>
              <w:left w:val="single" w:color="auto" w:sz="4" w:space="0"/>
              <w:bottom w:val="single" w:color="auto" w:sz="4" w:space="0"/>
              <w:right w:val="single" w:color="auto" w:sz="4" w:space="0"/>
            </w:tcBorders>
            <w:vAlign w:val="center"/>
          </w:tcPr>
          <w:p>
            <w:pPr>
              <w:widowControl/>
              <w:snapToGrid w:val="0"/>
              <w:spacing w:after="0" w:line="240" w:lineRule="auto"/>
              <w:jc w:val="right"/>
              <w:rPr>
                <w:rFonts w:ascii="宋体" w:hAnsi="宋体"/>
                <w:color w:val="000000"/>
                <w:kern w:val="0"/>
                <w:sz w:val="24"/>
                <w:szCs w:val="24"/>
              </w:rPr>
            </w:pPr>
            <w:r>
              <w:rPr>
                <w:rFonts w:ascii="宋体" w:hAnsi="宋体"/>
                <w:color w:val="000000"/>
                <w:kern w:val="0"/>
                <w:sz w:val="24"/>
                <w:szCs w:val="24"/>
              </w:rPr>
              <w:t>16,311,360.29</w:t>
            </w:r>
          </w:p>
        </w:tc>
        <w:tc>
          <w:tcPr>
            <w:tcW w:w="7" w:type="dxa"/>
            <w:tcBorders>
              <w:top w:val="single" w:color="auto" w:sz="4" w:space="0"/>
              <w:left w:val="single" w:color="auto" w:sz="4" w:space="0"/>
              <w:bottom w:val="single" w:color="auto" w:sz="4" w:space="0"/>
              <w:right w:val="single" w:color="auto" w:sz="4" w:space="0"/>
            </w:tcBorders>
            <w:vAlign w:val="center"/>
          </w:tcPr>
          <w:p>
            <w:pPr>
              <w:widowControl/>
              <w:snapToGrid w:val="0"/>
              <w:spacing w:after="0" w:line="240" w:lineRule="auto"/>
              <w:jc w:val="right"/>
              <w:rPr>
                <w:rFonts w:ascii="宋体" w:hAnsi="宋体"/>
                <w:color w:val="000000"/>
                <w:kern w:val="0"/>
                <w:sz w:val="24"/>
                <w:szCs w:val="24"/>
              </w:rPr>
            </w:pPr>
            <w:r>
              <w:rPr>
                <w:rFonts w:ascii="宋体" w:hAnsi="宋体"/>
                <w:color w:val="000000"/>
                <w:kern w:val="0"/>
                <w:sz w:val="24"/>
                <w:szCs w:val="24"/>
              </w:rPr>
              <w:t>0.40</w:t>
            </w:r>
          </w:p>
        </w:tc>
      </w:tr>
      <w:tr>
        <w:tblPrEx>
          <w:tblCellMar>
            <w:top w:w="0" w:type="dxa"/>
            <w:left w:w="0" w:type="dxa"/>
            <w:bottom w:w="0" w:type="dxa"/>
            <w:right w:w="0" w:type="dxa"/>
          </w:tblCellMar>
        </w:tblPrEx>
        <w:trPr>
          <w:cantSplit/>
          <w:trHeight w:val="375" w:hRule="atLeast"/>
        </w:trPr>
        <w:tc>
          <w:tcPr>
            <w:tcW w:w="7" w:type="dxa"/>
            <w:tcBorders>
              <w:top w:val="single" w:color="auto" w:sz="4" w:space="0"/>
              <w:left w:val="single" w:color="auto" w:sz="4" w:space="0"/>
              <w:bottom w:val="single" w:color="auto" w:sz="4" w:space="0"/>
              <w:right w:val="single" w:color="auto" w:sz="4" w:space="0"/>
            </w:tcBorders>
            <w:vAlign w:val="center"/>
          </w:tcPr>
          <w:p>
            <w:pPr>
              <w:widowControl/>
              <w:snapToGrid w:val="0"/>
              <w:spacing w:after="0" w:line="240" w:lineRule="auto"/>
              <w:jc w:val="center"/>
              <w:rPr>
                <w:rFonts w:ascii="宋体" w:hAnsi="宋体"/>
                <w:color w:val="000000"/>
                <w:kern w:val="0"/>
                <w:sz w:val="24"/>
                <w:szCs w:val="24"/>
              </w:rPr>
            </w:pPr>
            <w:r>
              <w:rPr>
                <w:rFonts w:ascii="宋体" w:hAnsi="宋体"/>
                <w:color w:val="000000"/>
                <w:kern w:val="0"/>
                <w:sz w:val="24"/>
                <w:szCs w:val="24"/>
              </w:rPr>
              <w:t>5</w:t>
            </w:r>
          </w:p>
        </w:tc>
        <w:tc>
          <w:tcPr>
            <w:tcW w:w="7" w:type="dxa"/>
            <w:tcBorders>
              <w:top w:val="single" w:color="auto" w:sz="4" w:space="0"/>
              <w:left w:val="single" w:color="auto" w:sz="4" w:space="0"/>
              <w:bottom w:val="single" w:color="auto" w:sz="4" w:space="0"/>
              <w:right w:val="single" w:color="auto" w:sz="4" w:space="0"/>
            </w:tcBorders>
            <w:vAlign w:val="center"/>
          </w:tcPr>
          <w:p>
            <w:pPr>
              <w:widowControl/>
              <w:snapToGrid w:val="0"/>
              <w:spacing w:after="0" w:line="240" w:lineRule="auto"/>
              <w:jc w:val="center"/>
              <w:rPr>
                <w:rFonts w:ascii="宋体" w:hAnsi="宋体"/>
                <w:color w:val="000000"/>
                <w:kern w:val="0"/>
                <w:sz w:val="24"/>
                <w:szCs w:val="24"/>
              </w:rPr>
            </w:pPr>
            <w:r>
              <w:rPr>
                <w:rFonts w:ascii="宋体" w:hAnsi="宋体"/>
                <w:color w:val="000000"/>
                <w:kern w:val="0"/>
                <w:sz w:val="24"/>
                <w:szCs w:val="24"/>
              </w:rPr>
              <w:t>113648</w:t>
            </w:r>
          </w:p>
        </w:tc>
        <w:tc>
          <w:tcPr>
            <w:tcW w:w="7" w:type="dxa"/>
            <w:tcBorders>
              <w:top w:val="single" w:color="auto" w:sz="4" w:space="0"/>
              <w:left w:val="single" w:color="auto" w:sz="4" w:space="0"/>
              <w:bottom w:val="single" w:color="auto" w:sz="4" w:space="0"/>
              <w:right w:val="single" w:color="auto" w:sz="4" w:space="0"/>
            </w:tcBorders>
            <w:vAlign w:val="center"/>
          </w:tcPr>
          <w:p>
            <w:pPr>
              <w:widowControl/>
              <w:snapToGrid w:val="0"/>
              <w:spacing w:after="0" w:line="240" w:lineRule="auto"/>
              <w:jc w:val="center"/>
              <w:rPr>
                <w:rFonts w:ascii="宋体" w:hAnsi="宋体"/>
                <w:color w:val="000000"/>
                <w:kern w:val="0"/>
                <w:sz w:val="24"/>
                <w:szCs w:val="24"/>
              </w:rPr>
            </w:pPr>
            <w:r>
              <w:rPr>
                <w:rFonts w:ascii="宋体" w:hAnsi="宋体"/>
                <w:color w:val="000000"/>
                <w:kern w:val="0"/>
                <w:sz w:val="24"/>
                <w:szCs w:val="24"/>
              </w:rPr>
              <w:t>巨星转债</w:t>
            </w:r>
          </w:p>
        </w:tc>
        <w:tc>
          <w:tcPr>
            <w:tcW w:w="7" w:type="dxa"/>
            <w:tcBorders>
              <w:top w:val="single" w:color="auto" w:sz="4" w:space="0"/>
              <w:left w:val="single" w:color="auto" w:sz="4" w:space="0"/>
              <w:bottom w:val="single" w:color="auto" w:sz="4" w:space="0"/>
              <w:right w:val="single" w:color="auto" w:sz="4" w:space="0"/>
            </w:tcBorders>
            <w:vAlign w:val="center"/>
          </w:tcPr>
          <w:p>
            <w:pPr>
              <w:widowControl/>
              <w:snapToGrid w:val="0"/>
              <w:spacing w:after="0" w:line="240" w:lineRule="auto"/>
              <w:jc w:val="right"/>
              <w:rPr>
                <w:rFonts w:ascii="宋体" w:hAnsi="宋体"/>
                <w:color w:val="000000"/>
                <w:kern w:val="0"/>
                <w:sz w:val="24"/>
                <w:szCs w:val="24"/>
              </w:rPr>
            </w:pPr>
            <w:r>
              <w:rPr>
                <w:rFonts w:ascii="宋体" w:hAnsi="宋体"/>
                <w:color w:val="000000"/>
                <w:kern w:val="0"/>
                <w:sz w:val="24"/>
                <w:szCs w:val="24"/>
              </w:rPr>
              <w:t>12,937,145.21</w:t>
            </w:r>
          </w:p>
        </w:tc>
        <w:tc>
          <w:tcPr>
            <w:tcW w:w="7" w:type="dxa"/>
            <w:tcBorders>
              <w:top w:val="single" w:color="auto" w:sz="4" w:space="0"/>
              <w:left w:val="single" w:color="auto" w:sz="4" w:space="0"/>
              <w:bottom w:val="single" w:color="auto" w:sz="4" w:space="0"/>
              <w:right w:val="single" w:color="auto" w:sz="4" w:space="0"/>
            </w:tcBorders>
            <w:vAlign w:val="center"/>
          </w:tcPr>
          <w:p>
            <w:pPr>
              <w:widowControl/>
              <w:snapToGrid w:val="0"/>
              <w:spacing w:after="0" w:line="240" w:lineRule="auto"/>
              <w:jc w:val="right"/>
              <w:rPr>
                <w:rFonts w:ascii="宋体" w:hAnsi="宋体"/>
                <w:color w:val="000000"/>
                <w:kern w:val="0"/>
                <w:sz w:val="24"/>
                <w:szCs w:val="24"/>
              </w:rPr>
            </w:pPr>
            <w:r>
              <w:rPr>
                <w:rFonts w:ascii="宋体" w:hAnsi="宋体"/>
                <w:color w:val="000000"/>
                <w:kern w:val="0"/>
                <w:sz w:val="24"/>
                <w:szCs w:val="24"/>
              </w:rPr>
              <w:t>0.32</w:t>
            </w:r>
          </w:p>
        </w:tc>
      </w:tr>
      <w:tr>
        <w:tblPrEx>
          <w:tblCellMar>
            <w:top w:w="0" w:type="dxa"/>
            <w:left w:w="0" w:type="dxa"/>
            <w:bottom w:w="0" w:type="dxa"/>
            <w:right w:w="0" w:type="dxa"/>
          </w:tblCellMar>
        </w:tblPrEx>
        <w:trPr>
          <w:cantSplit/>
          <w:trHeight w:val="375" w:hRule="atLeast"/>
        </w:trPr>
        <w:tc>
          <w:tcPr>
            <w:tcW w:w="7" w:type="dxa"/>
            <w:tcBorders>
              <w:top w:val="single" w:color="auto" w:sz="4" w:space="0"/>
              <w:left w:val="single" w:color="auto" w:sz="4" w:space="0"/>
              <w:bottom w:val="single" w:color="auto" w:sz="4" w:space="0"/>
              <w:right w:val="single" w:color="auto" w:sz="4" w:space="0"/>
            </w:tcBorders>
            <w:vAlign w:val="center"/>
          </w:tcPr>
          <w:p>
            <w:pPr>
              <w:widowControl/>
              <w:snapToGrid w:val="0"/>
              <w:spacing w:after="0" w:line="240" w:lineRule="auto"/>
              <w:jc w:val="center"/>
              <w:rPr>
                <w:rFonts w:ascii="宋体" w:hAnsi="宋体"/>
                <w:color w:val="000000"/>
                <w:kern w:val="0"/>
                <w:sz w:val="24"/>
                <w:szCs w:val="24"/>
              </w:rPr>
            </w:pPr>
            <w:r>
              <w:rPr>
                <w:rFonts w:ascii="宋体" w:hAnsi="宋体"/>
                <w:color w:val="000000"/>
                <w:kern w:val="0"/>
                <w:sz w:val="24"/>
                <w:szCs w:val="24"/>
              </w:rPr>
              <w:t>6</w:t>
            </w:r>
          </w:p>
        </w:tc>
        <w:tc>
          <w:tcPr>
            <w:tcW w:w="7" w:type="dxa"/>
            <w:tcBorders>
              <w:top w:val="single" w:color="auto" w:sz="4" w:space="0"/>
              <w:left w:val="single" w:color="auto" w:sz="4" w:space="0"/>
              <w:bottom w:val="single" w:color="auto" w:sz="4" w:space="0"/>
              <w:right w:val="single" w:color="auto" w:sz="4" w:space="0"/>
            </w:tcBorders>
            <w:vAlign w:val="center"/>
          </w:tcPr>
          <w:p>
            <w:pPr>
              <w:widowControl/>
              <w:snapToGrid w:val="0"/>
              <w:spacing w:after="0" w:line="240" w:lineRule="auto"/>
              <w:jc w:val="center"/>
              <w:rPr>
                <w:rFonts w:ascii="宋体" w:hAnsi="宋体"/>
                <w:color w:val="000000"/>
                <w:kern w:val="0"/>
                <w:sz w:val="24"/>
                <w:szCs w:val="24"/>
              </w:rPr>
            </w:pPr>
            <w:r>
              <w:rPr>
                <w:rFonts w:ascii="宋体" w:hAnsi="宋体"/>
                <w:color w:val="000000"/>
                <w:kern w:val="0"/>
                <w:sz w:val="24"/>
                <w:szCs w:val="24"/>
              </w:rPr>
              <w:t>127089</w:t>
            </w:r>
          </w:p>
        </w:tc>
        <w:tc>
          <w:tcPr>
            <w:tcW w:w="7" w:type="dxa"/>
            <w:tcBorders>
              <w:top w:val="single" w:color="auto" w:sz="4" w:space="0"/>
              <w:left w:val="single" w:color="auto" w:sz="4" w:space="0"/>
              <w:bottom w:val="single" w:color="auto" w:sz="4" w:space="0"/>
              <w:right w:val="single" w:color="auto" w:sz="4" w:space="0"/>
            </w:tcBorders>
            <w:vAlign w:val="center"/>
          </w:tcPr>
          <w:p>
            <w:pPr>
              <w:widowControl/>
              <w:snapToGrid w:val="0"/>
              <w:spacing w:after="0" w:line="240" w:lineRule="auto"/>
              <w:jc w:val="center"/>
              <w:rPr>
                <w:rFonts w:ascii="宋体" w:hAnsi="宋体"/>
                <w:color w:val="000000"/>
                <w:kern w:val="0"/>
                <w:sz w:val="24"/>
                <w:szCs w:val="24"/>
              </w:rPr>
            </w:pPr>
            <w:r>
              <w:rPr>
                <w:rFonts w:ascii="宋体" w:hAnsi="宋体"/>
                <w:color w:val="000000"/>
                <w:kern w:val="0"/>
                <w:sz w:val="24"/>
                <w:szCs w:val="24"/>
              </w:rPr>
              <w:t>晶澳转债</w:t>
            </w:r>
          </w:p>
        </w:tc>
        <w:tc>
          <w:tcPr>
            <w:tcW w:w="7" w:type="dxa"/>
            <w:tcBorders>
              <w:top w:val="single" w:color="auto" w:sz="4" w:space="0"/>
              <w:left w:val="single" w:color="auto" w:sz="4" w:space="0"/>
              <w:bottom w:val="single" w:color="auto" w:sz="4" w:space="0"/>
              <w:right w:val="single" w:color="auto" w:sz="4" w:space="0"/>
            </w:tcBorders>
            <w:vAlign w:val="center"/>
          </w:tcPr>
          <w:p>
            <w:pPr>
              <w:widowControl/>
              <w:snapToGrid w:val="0"/>
              <w:spacing w:after="0" w:line="240" w:lineRule="auto"/>
              <w:jc w:val="right"/>
              <w:rPr>
                <w:rFonts w:ascii="宋体" w:hAnsi="宋体"/>
                <w:color w:val="000000"/>
                <w:kern w:val="0"/>
                <w:sz w:val="24"/>
                <w:szCs w:val="24"/>
              </w:rPr>
            </w:pPr>
            <w:r>
              <w:rPr>
                <w:rFonts w:ascii="宋体" w:hAnsi="宋体"/>
                <w:color w:val="000000"/>
                <w:kern w:val="0"/>
                <w:sz w:val="24"/>
                <w:szCs w:val="24"/>
              </w:rPr>
              <w:t>12,825,274.54</w:t>
            </w:r>
          </w:p>
        </w:tc>
        <w:tc>
          <w:tcPr>
            <w:tcW w:w="7" w:type="dxa"/>
            <w:tcBorders>
              <w:top w:val="single" w:color="auto" w:sz="4" w:space="0"/>
              <w:left w:val="single" w:color="auto" w:sz="4" w:space="0"/>
              <w:bottom w:val="single" w:color="auto" w:sz="4" w:space="0"/>
              <w:right w:val="single" w:color="auto" w:sz="4" w:space="0"/>
            </w:tcBorders>
            <w:vAlign w:val="center"/>
          </w:tcPr>
          <w:p>
            <w:pPr>
              <w:widowControl/>
              <w:snapToGrid w:val="0"/>
              <w:spacing w:after="0" w:line="240" w:lineRule="auto"/>
              <w:jc w:val="right"/>
              <w:rPr>
                <w:rFonts w:ascii="宋体" w:hAnsi="宋体"/>
                <w:color w:val="000000"/>
                <w:kern w:val="0"/>
                <w:sz w:val="24"/>
                <w:szCs w:val="24"/>
              </w:rPr>
            </w:pPr>
            <w:r>
              <w:rPr>
                <w:rFonts w:ascii="宋体" w:hAnsi="宋体"/>
                <w:color w:val="000000"/>
                <w:kern w:val="0"/>
                <w:sz w:val="24"/>
                <w:szCs w:val="24"/>
              </w:rPr>
              <w:t>0.32</w:t>
            </w:r>
          </w:p>
        </w:tc>
      </w:tr>
    </w:tbl>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11.5 报告期末前十名股票中存在流通受限情况的说明</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无。</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11.6 投资组合报告附注的其他文字描述部分</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由于四舍五入的原因，分项之和与合计项之间可能存在尾差。</w:t>
      </w:r>
    </w:p>
    <w:p>
      <w:pPr>
        <w:pStyle w:val="2"/>
        <w:snapToGrid w:val="0"/>
        <w:spacing w:before="240" w:beforeLines="0" w:after="0"/>
        <w:rPr>
          <w:rFonts w:ascii="宋体" w:hAnsi="宋体"/>
          <w:szCs w:val="30"/>
        </w:rPr>
      </w:pPr>
      <w:r>
        <w:br w:type="page"/>
      </w:r>
      <w:bookmarkStart w:id="26" w:name="_Toc256000039"/>
      <w:bookmarkStart w:id="27" w:name="_Toc256000012"/>
      <w:r>
        <w:rPr>
          <w:rFonts w:ascii="宋体" w:hAnsi="宋体"/>
          <w:sz w:val="30"/>
        </w:rPr>
        <w:t>十二、基金的业绩</w:t>
      </w:r>
      <w:bookmarkEnd w:id="26"/>
      <w:bookmarkEnd w:id="27"/>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基金业绩截止日为2026年06月30日，所载财务数据未经审计。</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基金管理人依照恪尽职守、诚实信用、谨慎勤勉的原则管理和运用基金财产，但不保证基金一定盈利，也不保证最低收益。基金的过往业绩并不代表其未来表现。投资有风险，投资者在做出投资决策前应仔细阅读本基金的招募说明书。</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1、基金份额净值增长率及其与同期业绩比较基准收益率的比较</w:t>
      </w:r>
    </w:p>
    <w:tbl>
      <w:tblPr>
        <w:tblStyle w:val="14"/>
        <w:tblW w:w="5000" w:type="pct"/>
        <w:tblInd w:w="0" w:type="dxa"/>
        <w:tblLayout w:type="fixed"/>
        <w:tblCellMar>
          <w:top w:w="0" w:type="dxa"/>
          <w:left w:w="0" w:type="dxa"/>
          <w:bottom w:w="0" w:type="dxa"/>
          <w:right w:w="0" w:type="dxa"/>
        </w:tblCellMar>
      </w:tblPr>
      <w:tblGrid>
        <w:gridCol w:w="1238"/>
        <w:gridCol w:w="1238"/>
        <w:gridCol w:w="1238"/>
        <w:gridCol w:w="1239"/>
        <w:gridCol w:w="1239"/>
        <w:gridCol w:w="1239"/>
        <w:gridCol w:w="1239"/>
      </w:tblGrid>
      <w:tr>
        <w:tblPrEx>
          <w:tblCellMar>
            <w:top w:w="0" w:type="dxa"/>
            <w:left w:w="0" w:type="dxa"/>
            <w:bottom w:w="0" w:type="dxa"/>
            <w:right w:w="0" w:type="dxa"/>
          </w:tblCellMar>
        </w:tblPrEx>
        <w:trPr>
          <w:cantSplit/>
          <w:trHeight w:val="375" w:hRule="atLeast"/>
        </w:trPr>
        <w:tc>
          <w:tcPr>
            <w:tcW w:w="7" w:type="dxa"/>
            <w:vMerge w:val="restart"/>
            <w:tcBorders>
              <w:top w:val="single" w:color="auto" w:sz="4" w:space="0"/>
              <w:left w:val="single" w:color="auto" w:sz="4" w:space="0"/>
              <w:bottom w:val="single" w:color="auto" w:sz="4" w:space="0"/>
              <w:right w:val="single" w:color="auto" w:sz="4" w:space="0"/>
            </w:tcBorders>
            <w:vAlign w:val="center"/>
          </w:tcPr>
          <w:p>
            <w:pPr>
              <w:spacing w:after="0" w:line="240" w:lineRule="auto"/>
              <w:jc w:val="center"/>
            </w:pPr>
            <w:r>
              <w:rPr>
                <w:rFonts w:ascii="宋体" w:hAnsi="宋体"/>
                <w:color w:val="000000"/>
                <w:kern w:val="0"/>
                <w:sz w:val="25"/>
                <w:szCs w:val="24"/>
              </w:rPr>
              <w:t>阶段</w:t>
            </w:r>
          </w:p>
        </w:tc>
        <w:tc>
          <w:tcPr>
            <w:tcW w:w="7" w:type="dxa"/>
            <w:vMerge w:val="restart"/>
            <w:tcBorders>
              <w:top w:val="single" w:color="auto" w:sz="4" w:space="0"/>
              <w:left w:val="single" w:color="auto" w:sz="4" w:space="0"/>
              <w:bottom w:val="single" w:color="auto" w:sz="4" w:space="0"/>
              <w:right w:val="single" w:color="auto" w:sz="4" w:space="0"/>
            </w:tcBorders>
            <w:vAlign w:val="center"/>
          </w:tcPr>
          <w:p>
            <w:pPr>
              <w:spacing w:after="0" w:line="240" w:lineRule="auto"/>
              <w:jc w:val="center"/>
            </w:pPr>
            <w:r>
              <w:rPr>
                <w:rFonts w:ascii="宋体" w:hAnsi="宋体"/>
                <w:color w:val="000000"/>
                <w:kern w:val="0"/>
                <w:sz w:val="25"/>
                <w:szCs w:val="24"/>
              </w:rPr>
              <w:t>净值增长率①</w:t>
            </w:r>
          </w:p>
        </w:tc>
        <w:tc>
          <w:tcPr>
            <w:tcW w:w="7" w:type="dxa"/>
            <w:vMerge w:val="restart"/>
            <w:tcBorders>
              <w:top w:val="single" w:color="auto" w:sz="4" w:space="0"/>
              <w:left w:val="single" w:color="auto" w:sz="4" w:space="0"/>
              <w:bottom w:val="single" w:color="auto" w:sz="4" w:space="0"/>
              <w:right w:val="single" w:color="auto" w:sz="4" w:space="0"/>
            </w:tcBorders>
            <w:vAlign w:val="center"/>
          </w:tcPr>
          <w:p>
            <w:pPr>
              <w:spacing w:after="0" w:line="240" w:lineRule="auto"/>
              <w:jc w:val="center"/>
            </w:pPr>
            <w:r>
              <w:rPr>
                <w:rFonts w:ascii="宋体" w:hAnsi="宋体"/>
                <w:color w:val="000000"/>
                <w:kern w:val="0"/>
                <w:sz w:val="25"/>
                <w:szCs w:val="24"/>
              </w:rPr>
              <w:t>净值增长率标准差②</w:t>
            </w:r>
          </w:p>
        </w:tc>
        <w:tc>
          <w:tcPr>
            <w:tcW w:w="7" w:type="dxa"/>
            <w:vMerge w:val="restart"/>
            <w:tcBorders>
              <w:top w:val="single" w:color="auto" w:sz="4" w:space="0"/>
              <w:left w:val="single" w:color="auto" w:sz="4" w:space="0"/>
              <w:bottom w:val="single" w:color="auto" w:sz="4" w:space="0"/>
              <w:right w:val="single" w:color="auto" w:sz="4" w:space="0"/>
            </w:tcBorders>
            <w:vAlign w:val="center"/>
          </w:tcPr>
          <w:p>
            <w:pPr>
              <w:spacing w:after="0" w:line="240" w:lineRule="auto"/>
              <w:jc w:val="center"/>
            </w:pPr>
            <w:r>
              <w:rPr>
                <w:rFonts w:ascii="宋体" w:hAnsi="宋体"/>
                <w:color w:val="000000"/>
                <w:kern w:val="0"/>
                <w:sz w:val="25"/>
                <w:szCs w:val="24"/>
              </w:rPr>
              <w:t>业绩比较基准收益率③</w:t>
            </w:r>
          </w:p>
        </w:tc>
        <w:tc>
          <w:tcPr>
            <w:tcW w:w="7" w:type="dxa"/>
            <w:vMerge w:val="restart"/>
            <w:tcBorders>
              <w:top w:val="single" w:color="auto" w:sz="4" w:space="0"/>
              <w:left w:val="single" w:color="auto" w:sz="4" w:space="0"/>
              <w:bottom w:val="single" w:color="auto" w:sz="4" w:space="0"/>
              <w:right w:val="single" w:color="auto" w:sz="4" w:space="0"/>
            </w:tcBorders>
            <w:vAlign w:val="center"/>
          </w:tcPr>
          <w:p>
            <w:pPr>
              <w:spacing w:after="0" w:line="240" w:lineRule="auto"/>
              <w:jc w:val="center"/>
            </w:pPr>
            <w:r>
              <w:rPr>
                <w:rFonts w:ascii="宋体" w:hAnsi="宋体"/>
                <w:color w:val="000000"/>
                <w:kern w:val="0"/>
                <w:sz w:val="25"/>
                <w:szCs w:val="24"/>
              </w:rPr>
              <w:t>业绩比较基准收益率标准差④</w:t>
            </w:r>
          </w:p>
        </w:tc>
        <w:tc>
          <w:tcPr>
            <w:tcW w:w="7" w:type="dxa"/>
            <w:vMerge w:val="restart"/>
            <w:tcBorders>
              <w:top w:val="single" w:color="auto" w:sz="4" w:space="0"/>
              <w:left w:val="single" w:color="auto" w:sz="4" w:space="0"/>
              <w:bottom w:val="single" w:color="auto" w:sz="4" w:space="0"/>
              <w:right w:val="single" w:color="auto" w:sz="4" w:space="0"/>
            </w:tcBorders>
            <w:vAlign w:val="center"/>
          </w:tcPr>
          <w:p>
            <w:pPr>
              <w:spacing w:after="0" w:line="240" w:lineRule="auto"/>
              <w:jc w:val="center"/>
            </w:pPr>
            <w:r>
              <w:rPr>
                <w:rFonts w:ascii="宋体" w:hAnsi="宋体"/>
                <w:color w:val="000000"/>
                <w:kern w:val="0"/>
                <w:sz w:val="25"/>
                <w:szCs w:val="24"/>
              </w:rPr>
              <w:t>①-③</w:t>
            </w:r>
          </w:p>
        </w:tc>
        <w:tc>
          <w:tcPr>
            <w:tcW w:w="7" w:type="dxa"/>
            <w:vMerge w:val="restart"/>
            <w:tcBorders>
              <w:top w:val="single" w:color="auto" w:sz="4" w:space="0"/>
              <w:left w:val="single" w:color="auto" w:sz="4" w:space="0"/>
              <w:bottom w:val="single" w:color="auto" w:sz="4" w:space="0"/>
              <w:right w:val="single" w:color="auto" w:sz="4" w:space="0"/>
            </w:tcBorders>
            <w:vAlign w:val="center"/>
          </w:tcPr>
          <w:p>
            <w:pPr>
              <w:spacing w:after="0" w:line="240" w:lineRule="auto"/>
              <w:jc w:val="center"/>
            </w:pPr>
            <w:r>
              <w:rPr>
                <w:rFonts w:ascii="宋体" w:hAnsi="宋体"/>
                <w:color w:val="000000"/>
                <w:kern w:val="0"/>
                <w:sz w:val="25"/>
                <w:szCs w:val="24"/>
              </w:rPr>
              <w:t>②-④</w:t>
            </w:r>
          </w:p>
        </w:tc>
      </w:tr>
      <w:tr>
        <w:tblPrEx>
          <w:tblCellMar>
            <w:top w:w="0" w:type="dxa"/>
            <w:left w:w="0" w:type="dxa"/>
            <w:bottom w:w="0" w:type="dxa"/>
            <w:right w:w="0" w:type="dxa"/>
          </w:tblCellMar>
        </w:tblPrEx>
        <w:trPr>
          <w:cantSplit/>
          <w:trHeight w:val="375" w:hRule="atLeast"/>
        </w:trPr>
        <w:tc>
          <w:tcPr>
            <w:tcW w:w="7" w:type="dxa"/>
            <w:vMerge w:val="restart"/>
            <w:tcBorders>
              <w:top w:val="single" w:color="auto" w:sz="4" w:space="0"/>
              <w:left w:val="single" w:color="auto" w:sz="4" w:space="0"/>
              <w:bottom w:val="single" w:color="auto" w:sz="4" w:space="0"/>
              <w:right w:val="single" w:color="auto" w:sz="4" w:space="0"/>
            </w:tcBorders>
            <w:vAlign w:val="center"/>
          </w:tcPr>
          <w:p>
            <w:pPr>
              <w:spacing w:after="0" w:line="240" w:lineRule="auto"/>
              <w:jc w:val="center"/>
            </w:pPr>
            <w:r>
              <w:rPr>
                <w:rFonts w:ascii="宋体" w:hAnsi="宋体"/>
                <w:color w:val="000000"/>
                <w:kern w:val="0"/>
                <w:sz w:val="25"/>
                <w:szCs w:val="24"/>
              </w:rPr>
              <w:t>过去三个月</w:t>
            </w:r>
          </w:p>
        </w:tc>
        <w:tc>
          <w:tcPr>
            <w:tcW w:w="7" w:type="dxa"/>
            <w:vMerge w:val="restart"/>
            <w:tcBorders>
              <w:top w:val="single" w:color="auto" w:sz="4" w:space="0"/>
              <w:left w:val="single" w:color="auto" w:sz="4" w:space="0"/>
              <w:bottom w:val="single" w:color="auto" w:sz="4" w:space="0"/>
              <w:right w:val="single" w:color="auto" w:sz="4" w:space="0"/>
            </w:tcBorders>
            <w:vAlign w:val="center"/>
          </w:tcPr>
          <w:p>
            <w:pPr>
              <w:spacing w:after="0" w:line="240" w:lineRule="auto"/>
              <w:jc w:val="center"/>
            </w:pPr>
            <w:r>
              <w:rPr>
                <w:rFonts w:ascii="宋体" w:hAnsi="宋体"/>
                <w:color w:val="000000"/>
                <w:kern w:val="0"/>
                <w:sz w:val="25"/>
                <w:szCs w:val="24"/>
              </w:rPr>
              <w:t>58.28%</w:t>
            </w:r>
          </w:p>
        </w:tc>
        <w:tc>
          <w:tcPr>
            <w:tcW w:w="7" w:type="dxa"/>
            <w:vMerge w:val="restart"/>
            <w:tcBorders>
              <w:top w:val="single" w:color="auto" w:sz="4" w:space="0"/>
              <w:left w:val="single" w:color="auto" w:sz="4" w:space="0"/>
              <w:bottom w:val="single" w:color="auto" w:sz="4" w:space="0"/>
              <w:right w:val="single" w:color="auto" w:sz="4" w:space="0"/>
            </w:tcBorders>
            <w:vAlign w:val="center"/>
          </w:tcPr>
          <w:p>
            <w:pPr>
              <w:spacing w:after="0" w:line="240" w:lineRule="auto"/>
              <w:jc w:val="center"/>
            </w:pPr>
            <w:r>
              <w:rPr>
                <w:rFonts w:ascii="宋体" w:hAnsi="宋体"/>
                <w:color w:val="000000"/>
                <w:kern w:val="0"/>
                <w:sz w:val="25"/>
                <w:szCs w:val="24"/>
              </w:rPr>
              <w:t>2.01%</w:t>
            </w:r>
          </w:p>
        </w:tc>
        <w:tc>
          <w:tcPr>
            <w:tcW w:w="7" w:type="dxa"/>
            <w:vMerge w:val="restart"/>
            <w:tcBorders>
              <w:top w:val="single" w:color="auto" w:sz="4" w:space="0"/>
              <w:left w:val="single" w:color="auto" w:sz="4" w:space="0"/>
              <w:bottom w:val="single" w:color="auto" w:sz="4" w:space="0"/>
              <w:right w:val="single" w:color="auto" w:sz="4" w:space="0"/>
            </w:tcBorders>
            <w:vAlign w:val="center"/>
          </w:tcPr>
          <w:p>
            <w:pPr>
              <w:spacing w:after="0" w:line="240" w:lineRule="auto"/>
              <w:jc w:val="center"/>
            </w:pPr>
            <w:r>
              <w:rPr>
                <w:rFonts w:ascii="宋体" w:hAnsi="宋体"/>
                <w:color w:val="000000"/>
                <w:kern w:val="0"/>
                <w:sz w:val="25"/>
                <w:szCs w:val="24"/>
              </w:rPr>
              <w:t>-6.01%</w:t>
            </w:r>
          </w:p>
        </w:tc>
        <w:tc>
          <w:tcPr>
            <w:tcW w:w="7" w:type="dxa"/>
            <w:vMerge w:val="restart"/>
            <w:tcBorders>
              <w:top w:val="single" w:color="auto" w:sz="4" w:space="0"/>
              <w:left w:val="single" w:color="auto" w:sz="4" w:space="0"/>
              <w:bottom w:val="single" w:color="auto" w:sz="4" w:space="0"/>
              <w:right w:val="single" w:color="auto" w:sz="4" w:space="0"/>
            </w:tcBorders>
            <w:vAlign w:val="center"/>
          </w:tcPr>
          <w:p>
            <w:pPr>
              <w:spacing w:after="0" w:line="240" w:lineRule="auto"/>
              <w:jc w:val="center"/>
            </w:pPr>
            <w:r>
              <w:rPr>
                <w:rFonts w:ascii="宋体" w:hAnsi="宋体"/>
                <w:color w:val="000000"/>
                <w:kern w:val="0"/>
                <w:sz w:val="25"/>
                <w:szCs w:val="24"/>
              </w:rPr>
              <w:t>0.46%</w:t>
            </w:r>
          </w:p>
        </w:tc>
        <w:tc>
          <w:tcPr>
            <w:tcW w:w="7" w:type="dxa"/>
            <w:vMerge w:val="restart"/>
            <w:tcBorders>
              <w:top w:val="single" w:color="auto" w:sz="4" w:space="0"/>
              <w:left w:val="single" w:color="auto" w:sz="4" w:space="0"/>
              <w:bottom w:val="single" w:color="auto" w:sz="4" w:space="0"/>
              <w:right w:val="single" w:color="auto" w:sz="4" w:space="0"/>
            </w:tcBorders>
            <w:vAlign w:val="center"/>
          </w:tcPr>
          <w:p>
            <w:pPr>
              <w:spacing w:after="0" w:line="240" w:lineRule="auto"/>
              <w:jc w:val="center"/>
            </w:pPr>
            <w:r>
              <w:rPr>
                <w:rFonts w:ascii="宋体" w:hAnsi="宋体"/>
                <w:color w:val="000000"/>
                <w:kern w:val="0"/>
                <w:sz w:val="25"/>
                <w:szCs w:val="24"/>
              </w:rPr>
              <w:t>64.29%</w:t>
            </w:r>
          </w:p>
        </w:tc>
        <w:tc>
          <w:tcPr>
            <w:tcW w:w="7" w:type="dxa"/>
            <w:vMerge w:val="restart"/>
            <w:tcBorders>
              <w:top w:val="single" w:color="auto" w:sz="4" w:space="0"/>
              <w:left w:val="single" w:color="auto" w:sz="4" w:space="0"/>
              <w:bottom w:val="single" w:color="auto" w:sz="4" w:space="0"/>
              <w:right w:val="single" w:color="auto" w:sz="4" w:space="0"/>
            </w:tcBorders>
            <w:vAlign w:val="center"/>
          </w:tcPr>
          <w:p>
            <w:pPr>
              <w:spacing w:after="0" w:line="240" w:lineRule="auto"/>
              <w:jc w:val="center"/>
            </w:pPr>
            <w:r>
              <w:rPr>
                <w:rFonts w:ascii="宋体" w:hAnsi="宋体"/>
                <w:color w:val="000000"/>
                <w:kern w:val="0"/>
                <w:sz w:val="25"/>
                <w:szCs w:val="24"/>
              </w:rPr>
              <w:t>1.55%</w:t>
            </w:r>
          </w:p>
        </w:tc>
      </w:tr>
      <w:tr>
        <w:tblPrEx>
          <w:tblCellMar>
            <w:top w:w="0" w:type="dxa"/>
            <w:left w:w="0" w:type="dxa"/>
            <w:bottom w:w="0" w:type="dxa"/>
            <w:right w:w="0" w:type="dxa"/>
          </w:tblCellMar>
        </w:tblPrEx>
        <w:trPr>
          <w:cantSplit/>
          <w:trHeight w:val="375" w:hRule="atLeast"/>
        </w:trPr>
        <w:tc>
          <w:tcPr>
            <w:tcW w:w="7" w:type="dxa"/>
            <w:vMerge w:val="restart"/>
            <w:tcBorders>
              <w:top w:val="single" w:color="auto" w:sz="4" w:space="0"/>
              <w:left w:val="single" w:color="auto" w:sz="4" w:space="0"/>
              <w:bottom w:val="single" w:color="auto" w:sz="4" w:space="0"/>
              <w:right w:val="single" w:color="auto" w:sz="4" w:space="0"/>
            </w:tcBorders>
            <w:vAlign w:val="center"/>
          </w:tcPr>
          <w:p>
            <w:pPr>
              <w:spacing w:after="0" w:line="240" w:lineRule="auto"/>
              <w:jc w:val="center"/>
            </w:pPr>
            <w:r>
              <w:rPr>
                <w:rFonts w:ascii="宋体" w:hAnsi="宋体"/>
                <w:color w:val="000000"/>
                <w:kern w:val="0"/>
                <w:sz w:val="25"/>
                <w:szCs w:val="24"/>
              </w:rPr>
              <w:t>2026年上半年</w:t>
            </w:r>
          </w:p>
        </w:tc>
        <w:tc>
          <w:tcPr>
            <w:tcW w:w="7" w:type="dxa"/>
            <w:vMerge w:val="restart"/>
            <w:tcBorders>
              <w:top w:val="single" w:color="auto" w:sz="4" w:space="0"/>
              <w:left w:val="single" w:color="auto" w:sz="4" w:space="0"/>
              <w:bottom w:val="single" w:color="auto" w:sz="4" w:space="0"/>
              <w:right w:val="single" w:color="auto" w:sz="4" w:space="0"/>
            </w:tcBorders>
            <w:vAlign w:val="center"/>
          </w:tcPr>
          <w:p>
            <w:pPr>
              <w:spacing w:after="0" w:line="240" w:lineRule="auto"/>
              <w:jc w:val="center"/>
            </w:pPr>
            <w:r>
              <w:rPr>
                <w:rFonts w:ascii="宋体" w:hAnsi="宋体"/>
                <w:color w:val="000000"/>
                <w:kern w:val="0"/>
                <w:sz w:val="25"/>
                <w:szCs w:val="24"/>
              </w:rPr>
              <w:t>64.50%</w:t>
            </w:r>
          </w:p>
        </w:tc>
        <w:tc>
          <w:tcPr>
            <w:tcW w:w="7" w:type="dxa"/>
            <w:vMerge w:val="restart"/>
            <w:tcBorders>
              <w:top w:val="single" w:color="auto" w:sz="4" w:space="0"/>
              <w:left w:val="single" w:color="auto" w:sz="4" w:space="0"/>
              <w:bottom w:val="single" w:color="auto" w:sz="4" w:space="0"/>
              <w:right w:val="single" w:color="auto" w:sz="4" w:space="0"/>
            </w:tcBorders>
            <w:vAlign w:val="center"/>
          </w:tcPr>
          <w:p>
            <w:pPr>
              <w:spacing w:after="0" w:line="240" w:lineRule="auto"/>
              <w:jc w:val="center"/>
            </w:pPr>
            <w:r>
              <w:rPr>
                <w:rFonts w:ascii="宋体" w:hAnsi="宋体"/>
                <w:color w:val="000000"/>
                <w:kern w:val="0"/>
                <w:sz w:val="25"/>
                <w:szCs w:val="24"/>
              </w:rPr>
              <w:t>1.82%</w:t>
            </w:r>
          </w:p>
        </w:tc>
        <w:tc>
          <w:tcPr>
            <w:tcW w:w="7" w:type="dxa"/>
            <w:vMerge w:val="restart"/>
            <w:tcBorders>
              <w:top w:val="single" w:color="auto" w:sz="4" w:space="0"/>
              <w:left w:val="single" w:color="auto" w:sz="4" w:space="0"/>
              <w:bottom w:val="single" w:color="auto" w:sz="4" w:space="0"/>
              <w:right w:val="single" w:color="auto" w:sz="4" w:space="0"/>
            </w:tcBorders>
            <w:vAlign w:val="center"/>
          </w:tcPr>
          <w:p>
            <w:pPr>
              <w:spacing w:after="0" w:line="240" w:lineRule="auto"/>
              <w:jc w:val="center"/>
            </w:pPr>
            <w:r>
              <w:rPr>
                <w:rFonts w:ascii="宋体" w:hAnsi="宋体"/>
                <w:color w:val="000000"/>
                <w:kern w:val="0"/>
                <w:sz w:val="25"/>
                <w:szCs w:val="24"/>
              </w:rPr>
              <w:t>-3.90%</w:t>
            </w:r>
          </w:p>
        </w:tc>
        <w:tc>
          <w:tcPr>
            <w:tcW w:w="7" w:type="dxa"/>
            <w:vMerge w:val="restart"/>
            <w:tcBorders>
              <w:top w:val="single" w:color="auto" w:sz="4" w:space="0"/>
              <w:left w:val="single" w:color="auto" w:sz="4" w:space="0"/>
              <w:bottom w:val="single" w:color="auto" w:sz="4" w:space="0"/>
              <w:right w:val="single" w:color="auto" w:sz="4" w:space="0"/>
            </w:tcBorders>
            <w:vAlign w:val="center"/>
          </w:tcPr>
          <w:p>
            <w:pPr>
              <w:spacing w:after="0" w:line="240" w:lineRule="auto"/>
              <w:jc w:val="center"/>
            </w:pPr>
            <w:r>
              <w:rPr>
                <w:rFonts w:ascii="宋体" w:hAnsi="宋体"/>
                <w:color w:val="000000"/>
                <w:kern w:val="0"/>
                <w:sz w:val="25"/>
                <w:szCs w:val="24"/>
              </w:rPr>
              <w:t>0.50%</w:t>
            </w:r>
          </w:p>
        </w:tc>
        <w:tc>
          <w:tcPr>
            <w:tcW w:w="7" w:type="dxa"/>
            <w:vMerge w:val="restart"/>
            <w:tcBorders>
              <w:top w:val="single" w:color="auto" w:sz="4" w:space="0"/>
              <w:left w:val="single" w:color="auto" w:sz="4" w:space="0"/>
              <w:bottom w:val="single" w:color="auto" w:sz="4" w:space="0"/>
              <w:right w:val="single" w:color="auto" w:sz="4" w:space="0"/>
            </w:tcBorders>
            <w:vAlign w:val="center"/>
          </w:tcPr>
          <w:p>
            <w:pPr>
              <w:spacing w:after="0" w:line="240" w:lineRule="auto"/>
              <w:jc w:val="center"/>
            </w:pPr>
            <w:r>
              <w:rPr>
                <w:rFonts w:ascii="宋体" w:hAnsi="宋体"/>
                <w:color w:val="000000"/>
                <w:kern w:val="0"/>
                <w:sz w:val="25"/>
                <w:szCs w:val="24"/>
              </w:rPr>
              <w:t>68.40%</w:t>
            </w:r>
          </w:p>
        </w:tc>
        <w:tc>
          <w:tcPr>
            <w:tcW w:w="7" w:type="dxa"/>
            <w:vMerge w:val="restart"/>
            <w:tcBorders>
              <w:top w:val="single" w:color="auto" w:sz="4" w:space="0"/>
              <w:left w:val="single" w:color="auto" w:sz="4" w:space="0"/>
              <w:bottom w:val="single" w:color="auto" w:sz="4" w:space="0"/>
              <w:right w:val="single" w:color="auto" w:sz="4" w:space="0"/>
            </w:tcBorders>
            <w:vAlign w:val="center"/>
          </w:tcPr>
          <w:p>
            <w:pPr>
              <w:spacing w:after="0" w:line="240" w:lineRule="auto"/>
              <w:jc w:val="center"/>
            </w:pPr>
            <w:r>
              <w:rPr>
                <w:rFonts w:ascii="宋体" w:hAnsi="宋体"/>
                <w:color w:val="000000"/>
                <w:kern w:val="0"/>
                <w:sz w:val="25"/>
                <w:szCs w:val="24"/>
              </w:rPr>
              <w:t>1.32%</w:t>
            </w:r>
          </w:p>
        </w:tc>
      </w:tr>
      <w:tr>
        <w:tblPrEx>
          <w:tblCellMar>
            <w:top w:w="0" w:type="dxa"/>
            <w:left w:w="0" w:type="dxa"/>
            <w:bottom w:w="0" w:type="dxa"/>
            <w:right w:w="0" w:type="dxa"/>
          </w:tblCellMar>
        </w:tblPrEx>
        <w:trPr>
          <w:cantSplit/>
          <w:trHeight w:val="375" w:hRule="atLeast"/>
        </w:trPr>
        <w:tc>
          <w:tcPr>
            <w:tcW w:w="7" w:type="dxa"/>
            <w:vMerge w:val="restart"/>
            <w:tcBorders>
              <w:top w:val="single" w:color="auto" w:sz="4" w:space="0"/>
              <w:left w:val="single" w:color="auto" w:sz="4" w:space="0"/>
              <w:bottom w:val="single" w:color="auto" w:sz="4" w:space="0"/>
              <w:right w:val="single" w:color="auto" w:sz="4" w:space="0"/>
            </w:tcBorders>
            <w:vAlign w:val="center"/>
          </w:tcPr>
          <w:p>
            <w:pPr>
              <w:spacing w:after="0" w:line="240" w:lineRule="auto"/>
              <w:jc w:val="center"/>
            </w:pPr>
            <w:r>
              <w:rPr>
                <w:rFonts w:ascii="宋体" w:hAnsi="宋体"/>
                <w:color w:val="000000"/>
                <w:kern w:val="0"/>
                <w:sz w:val="25"/>
                <w:szCs w:val="24"/>
              </w:rPr>
              <w:t>2025年度</w:t>
            </w:r>
          </w:p>
        </w:tc>
        <w:tc>
          <w:tcPr>
            <w:tcW w:w="7" w:type="dxa"/>
            <w:vMerge w:val="restart"/>
            <w:tcBorders>
              <w:top w:val="single" w:color="auto" w:sz="4" w:space="0"/>
              <w:left w:val="single" w:color="auto" w:sz="4" w:space="0"/>
              <w:bottom w:val="single" w:color="auto" w:sz="4" w:space="0"/>
              <w:right w:val="single" w:color="auto" w:sz="4" w:space="0"/>
            </w:tcBorders>
            <w:vAlign w:val="center"/>
          </w:tcPr>
          <w:p>
            <w:pPr>
              <w:spacing w:after="0" w:line="240" w:lineRule="auto"/>
              <w:jc w:val="center"/>
            </w:pPr>
            <w:r>
              <w:rPr>
                <w:rFonts w:ascii="宋体" w:hAnsi="宋体"/>
                <w:color w:val="000000"/>
                <w:kern w:val="0"/>
                <w:sz w:val="25"/>
                <w:szCs w:val="24"/>
              </w:rPr>
              <w:t>40.68%</w:t>
            </w:r>
          </w:p>
        </w:tc>
        <w:tc>
          <w:tcPr>
            <w:tcW w:w="7" w:type="dxa"/>
            <w:vMerge w:val="restart"/>
            <w:tcBorders>
              <w:top w:val="single" w:color="auto" w:sz="4" w:space="0"/>
              <w:left w:val="single" w:color="auto" w:sz="4" w:space="0"/>
              <w:bottom w:val="single" w:color="auto" w:sz="4" w:space="0"/>
              <w:right w:val="single" w:color="auto" w:sz="4" w:space="0"/>
            </w:tcBorders>
            <w:vAlign w:val="center"/>
          </w:tcPr>
          <w:p>
            <w:pPr>
              <w:spacing w:after="0" w:line="240" w:lineRule="auto"/>
              <w:jc w:val="center"/>
            </w:pPr>
            <w:r>
              <w:rPr>
                <w:rFonts w:ascii="宋体" w:hAnsi="宋体"/>
                <w:color w:val="000000"/>
                <w:kern w:val="0"/>
                <w:sz w:val="25"/>
                <w:szCs w:val="24"/>
              </w:rPr>
              <w:t>1.19%</w:t>
            </w:r>
          </w:p>
        </w:tc>
        <w:tc>
          <w:tcPr>
            <w:tcW w:w="7" w:type="dxa"/>
            <w:vMerge w:val="restart"/>
            <w:tcBorders>
              <w:top w:val="single" w:color="auto" w:sz="4" w:space="0"/>
              <w:left w:val="single" w:color="auto" w:sz="4" w:space="0"/>
              <w:bottom w:val="single" w:color="auto" w:sz="4" w:space="0"/>
              <w:right w:val="single" w:color="auto" w:sz="4" w:space="0"/>
            </w:tcBorders>
            <w:vAlign w:val="center"/>
          </w:tcPr>
          <w:p>
            <w:pPr>
              <w:spacing w:after="0" w:line="240" w:lineRule="auto"/>
              <w:jc w:val="center"/>
            </w:pPr>
            <w:r>
              <w:rPr>
                <w:rFonts w:ascii="宋体" w:hAnsi="宋体"/>
                <w:color w:val="000000"/>
                <w:kern w:val="0"/>
                <w:sz w:val="25"/>
                <w:szCs w:val="24"/>
              </w:rPr>
              <w:t>-1.29%</w:t>
            </w:r>
          </w:p>
        </w:tc>
        <w:tc>
          <w:tcPr>
            <w:tcW w:w="7" w:type="dxa"/>
            <w:vMerge w:val="restart"/>
            <w:tcBorders>
              <w:top w:val="single" w:color="auto" w:sz="4" w:space="0"/>
              <w:left w:val="single" w:color="auto" w:sz="4" w:space="0"/>
              <w:bottom w:val="single" w:color="auto" w:sz="4" w:space="0"/>
              <w:right w:val="single" w:color="auto" w:sz="4" w:space="0"/>
            </w:tcBorders>
            <w:vAlign w:val="center"/>
          </w:tcPr>
          <w:p>
            <w:pPr>
              <w:spacing w:after="0" w:line="240" w:lineRule="auto"/>
              <w:jc w:val="center"/>
            </w:pPr>
            <w:r>
              <w:rPr>
                <w:rFonts w:ascii="宋体" w:hAnsi="宋体"/>
                <w:color w:val="000000"/>
                <w:kern w:val="0"/>
                <w:sz w:val="25"/>
                <w:szCs w:val="24"/>
              </w:rPr>
              <w:t>0.38%</w:t>
            </w:r>
          </w:p>
        </w:tc>
        <w:tc>
          <w:tcPr>
            <w:tcW w:w="7" w:type="dxa"/>
            <w:vMerge w:val="restart"/>
            <w:tcBorders>
              <w:top w:val="single" w:color="auto" w:sz="4" w:space="0"/>
              <w:left w:val="single" w:color="auto" w:sz="4" w:space="0"/>
              <w:bottom w:val="single" w:color="auto" w:sz="4" w:space="0"/>
              <w:right w:val="single" w:color="auto" w:sz="4" w:space="0"/>
            </w:tcBorders>
            <w:vAlign w:val="center"/>
          </w:tcPr>
          <w:p>
            <w:pPr>
              <w:spacing w:after="0" w:line="240" w:lineRule="auto"/>
              <w:jc w:val="center"/>
            </w:pPr>
            <w:r>
              <w:rPr>
                <w:rFonts w:ascii="宋体" w:hAnsi="宋体"/>
                <w:color w:val="000000"/>
                <w:kern w:val="0"/>
                <w:sz w:val="25"/>
                <w:szCs w:val="24"/>
              </w:rPr>
              <w:t>41.97%</w:t>
            </w:r>
          </w:p>
        </w:tc>
        <w:tc>
          <w:tcPr>
            <w:tcW w:w="7" w:type="dxa"/>
            <w:vMerge w:val="restart"/>
            <w:tcBorders>
              <w:top w:val="single" w:color="auto" w:sz="4" w:space="0"/>
              <w:left w:val="single" w:color="auto" w:sz="4" w:space="0"/>
              <w:bottom w:val="single" w:color="auto" w:sz="4" w:space="0"/>
              <w:right w:val="single" w:color="auto" w:sz="4" w:space="0"/>
            </w:tcBorders>
            <w:vAlign w:val="center"/>
          </w:tcPr>
          <w:p>
            <w:pPr>
              <w:spacing w:after="0" w:line="240" w:lineRule="auto"/>
              <w:jc w:val="center"/>
            </w:pPr>
            <w:r>
              <w:rPr>
                <w:rFonts w:ascii="宋体" w:hAnsi="宋体"/>
                <w:color w:val="000000"/>
                <w:kern w:val="0"/>
                <w:sz w:val="25"/>
                <w:szCs w:val="24"/>
              </w:rPr>
              <w:t>0.81%</w:t>
            </w:r>
          </w:p>
        </w:tc>
      </w:tr>
      <w:tr>
        <w:tblPrEx>
          <w:tblCellMar>
            <w:top w:w="0" w:type="dxa"/>
            <w:left w:w="0" w:type="dxa"/>
            <w:bottom w:w="0" w:type="dxa"/>
            <w:right w:w="0" w:type="dxa"/>
          </w:tblCellMar>
        </w:tblPrEx>
        <w:trPr>
          <w:cantSplit/>
          <w:trHeight w:val="375" w:hRule="atLeast"/>
        </w:trPr>
        <w:tc>
          <w:tcPr>
            <w:tcW w:w="7" w:type="dxa"/>
            <w:vMerge w:val="restart"/>
            <w:tcBorders>
              <w:top w:val="single" w:color="auto" w:sz="4" w:space="0"/>
              <w:left w:val="single" w:color="auto" w:sz="4" w:space="0"/>
              <w:bottom w:val="single" w:color="auto" w:sz="4" w:space="0"/>
              <w:right w:val="single" w:color="auto" w:sz="4" w:space="0"/>
            </w:tcBorders>
            <w:vAlign w:val="center"/>
          </w:tcPr>
          <w:p>
            <w:pPr>
              <w:spacing w:after="0" w:line="240" w:lineRule="auto"/>
              <w:jc w:val="center"/>
            </w:pPr>
            <w:r>
              <w:rPr>
                <w:rFonts w:ascii="宋体" w:hAnsi="宋体"/>
                <w:color w:val="000000"/>
                <w:kern w:val="0"/>
                <w:sz w:val="25"/>
                <w:szCs w:val="24"/>
              </w:rPr>
              <w:t>2024年度</w:t>
            </w:r>
          </w:p>
        </w:tc>
        <w:tc>
          <w:tcPr>
            <w:tcW w:w="7" w:type="dxa"/>
            <w:vMerge w:val="restart"/>
            <w:tcBorders>
              <w:top w:val="single" w:color="auto" w:sz="4" w:space="0"/>
              <w:left w:val="single" w:color="auto" w:sz="4" w:space="0"/>
              <w:bottom w:val="single" w:color="auto" w:sz="4" w:space="0"/>
              <w:right w:val="single" w:color="auto" w:sz="4" w:space="0"/>
            </w:tcBorders>
            <w:vAlign w:val="center"/>
          </w:tcPr>
          <w:p>
            <w:pPr>
              <w:spacing w:after="0" w:line="240" w:lineRule="auto"/>
              <w:jc w:val="center"/>
            </w:pPr>
            <w:r>
              <w:rPr>
                <w:rFonts w:ascii="宋体" w:hAnsi="宋体"/>
                <w:color w:val="000000"/>
                <w:kern w:val="0"/>
                <w:sz w:val="25"/>
                <w:szCs w:val="24"/>
              </w:rPr>
              <w:t>8.07%</w:t>
            </w:r>
          </w:p>
        </w:tc>
        <w:tc>
          <w:tcPr>
            <w:tcW w:w="7" w:type="dxa"/>
            <w:vMerge w:val="restart"/>
            <w:tcBorders>
              <w:top w:val="single" w:color="auto" w:sz="4" w:space="0"/>
              <w:left w:val="single" w:color="auto" w:sz="4" w:space="0"/>
              <w:bottom w:val="single" w:color="auto" w:sz="4" w:space="0"/>
              <w:right w:val="single" w:color="auto" w:sz="4" w:space="0"/>
            </w:tcBorders>
            <w:vAlign w:val="center"/>
          </w:tcPr>
          <w:p>
            <w:pPr>
              <w:spacing w:after="0" w:line="240" w:lineRule="auto"/>
              <w:jc w:val="center"/>
            </w:pPr>
            <w:r>
              <w:rPr>
                <w:rFonts w:ascii="宋体" w:hAnsi="宋体"/>
                <w:color w:val="000000"/>
                <w:kern w:val="0"/>
                <w:sz w:val="25"/>
                <w:szCs w:val="24"/>
              </w:rPr>
              <w:t>1.42%</w:t>
            </w:r>
          </w:p>
        </w:tc>
        <w:tc>
          <w:tcPr>
            <w:tcW w:w="7" w:type="dxa"/>
            <w:vMerge w:val="restart"/>
            <w:tcBorders>
              <w:top w:val="single" w:color="auto" w:sz="4" w:space="0"/>
              <w:left w:val="single" w:color="auto" w:sz="4" w:space="0"/>
              <w:bottom w:val="single" w:color="auto" w:sz="4" w:space="0"/>
              <w:right w:val="single" w:color="auto" w:sz="4" w:space="0"/>
            </w:tcBorders>
            <w:vAlign w:val="center"/>
          </w:tcPr>
          <w:p>
            <w:pPr>
              <w:spacing w:after="0" w:line="240" w:lineRule="auto"/>
              <w:jc w:val="center"/>
            </w:pPr>
            <w:r>
              <w:rPr>
                <w:rFonts w:ascii="宋体" w:hAnsi="宋体"/>
                <w:color w:val="000000"/>
                <w:kern w:val="0"/>
                <w:sz w:val="25"/>
                <w:szCs w:val="24"/>
              </w:rPr>
              <w:t>9.08%</w:t>
            </w:r>
          </w:p>
        </w:tc>
        <w:tc>
          <w:tcPr>
            <w:tcW w:w="7" w:type="dxa"/>
            <w:vMerge w:val="restart"/>
            <w:tcBorders>
              <w:top w:val="single" w:color="auto" w:sz="4" w:space="0"/>
              <w:left w:val="single" w:color="auto" w:sz="4" w:space="0"/>
              <w:bottom w:val="single" w:color="auto" w:sz="4" w:space="0"/>
              <w:right w:val="single" w:color="auto" w:sz="4" w:space="0"/>
            </w:tcBorders>
            <w:vAlign w:val="center"/>
          </w:tcPr>
          <w:p>
            <w:pPr>
              <w:spacing w:after="0" w:line="240" w:lineRule="auto"/>
              <w:jc w:val="center"/>
            </w:pPr>
            <w:r>
              <w:rPr>
                <w:rFonts w:ascii="宋体" w:hAnsi="宋体"/>
                <w:color w:val="000000"/>
                <w:kern w:val="0"/>
                <w:sz w:val="25"/>
                <w:szCs w:val="24"/>
              </w:rPr>
              <w:t>0.60%</w:t>
            </w:r>
          </w:p>
        </w:tc>
        <w:tc>
          <w:tcPr>
            <w:tcW w:w="7" w:type="dxa"/>
            <w:vMerge w:val="restart"/>
            <w:tcBorders>
              <w:top w:val="single" w:color="auto" w:sz="4" w:space="0"/>
              <w:left w:val="single" w:color="auto" w:sz="4" w:space="0"/>
              <w:bottom w:val="single" w:color="auto" w:sz="4" w:space="0"/>
              <w:right w:val="single" w:color="auto" w:sz="4" w:space="0"/>
            </w:tcBorders>
            <w:vAlign w:val="center"/>
          </w:tcPr>
          <w:p>
            <w:pPr>
              <w:spacing w:after="0" w:line="240" w:lineRule="auto"/>
              <w:jc w:val="center"/>
            </w:pPr>
            <w:r>
              <w:rPr>
                <w:rFonts w:ascii="宋体" w:hAnsi="宋体"/>
                <w:color w:val="000000"/>
                <w:kern w:val="0"/>
                <w:sz w:val="25"/>
                <w:szCs w:val="24"/>
              </w:rPr>
              <w:t>-1.01%</w:t>
            </w:r>
          </w:p>
        </w:tc>
        <w:tc>
          <w:tcPr>
            <w:tcW w:w="7" w:type="dxa"/>
            <w:vMerge w:val="restart"/>
            <w:tcBorders>
              <w:top w:val="single" w:color="auto" w:sz="4" w:space="0"/>
              <w:left w:val="single" w:color="auto" w:sz="4" w:space="0"/>
              <w:bottom w:val="single" w:color="auto" w:sz="4" w:space="0"/>
              <w:right w:val="single" w:color="auto" w:sz="4" w:space="0"/>
            </w:tcBorders>
            <w:vAlign w:val="center"/>
          </w:tcPr>
          <w:p>
            <w:pPr>
              <w:spacing w:after="0" w:line="240" w:lineRule="auto"/>
              <w:jc w:val="center"/>
            </w:pPr>
            <w:r>
              <w:rPr>
                <w:rFonts w:ascii="宋体" w:hAnsi="宋体"/>
                <w:color w:val="000000"/>
                <w:kern w:val="0"/>
                <w:sz w:val="25"/>
                <w:szCs w:val="24"/>
              </w:rPr>
              <w:t>0.82%</w:t>
            </w:r>
          </w:p>
        </w:tc>
      </w:tr>
      <w:tr>
        <w:tblPrEx>
          <w:tblCellMar>
            <w:top w:w="0" w:type="dxa"/>
            <w:left w:w="0" w:type="dxa"/>
            <w:bottom w:w="0" w:type="dxa"/>
            <w:right w:w="0" w:type="dxa"/>
          </w:tblCellMar>
        </w:tblPrEx>
        <w:trPr>
          <w:cantSplit/>
          <w:trHeight w:val="375" w:hRule="atLeast"/>
        </w:trPr>
        <w:tc>
          <w:tcPr>
            <w:tcW w:w="7" w:type="dxa"/>
            <w:vMerge w:val="restart"/>
            <w:tcBorders>
              <w:top w:val="single" w:color="auto" w:sz="4" w:space="0"/>
              <w:left w:val="single" w:color="auto" w:sz="4" w:space="0"/>
              <w:bottom w:val="single" w:color="auto" w:sz="4" w:space="0"/>
              <w:right w:val="single" w:color="auto" w:sz="4" w:space="0"/>
            </w:tcBorders>
            <w:vAlign w:val="center"/>
          </w:tcPr>
          <w:p>
            <w:pPr>
              <w:spacing w:after="0" w:line="240" w:lineRule="auto"/>
              <w:jc w:val="center"/>
            </w:pPr>
            <w:r>
              <w:rPr>
                <w:rFonts w:ascii="宋体" w:hAnsi="宋体"/>
                <w:color w:val="000000"/>
                <w:kern w:val="0"/>
                <w:sz w:val="25"/>
                <w:szCs w:val="24"/>
              </w:rPr>
              <w:t>2023年度</w:t>
            </w:r>
          </w:p>
        </w:tc>
        <w:tc>
          <w:tcPr>
            <w:tcW w:w="7" w:type="dxa"/>
            <w:vMerge w:val="restart"/>
            <w:tcBorders>
              <w:top w:val="single" w:color="auto" w:sz="4" w:space="0"/>
              <w:left w:val="single" w:color="auto" w:sz="4" w:space="0"/>
              <w:bottom w:val="single" w:color="auto" w:sz="4" w:space="0"/>
              <w:right w:val="single" w:color="auto" w:sz="4" w:space="0"/>
            </w:tcBorders>
            <w:vAlign w:val="center"/>
          </w:tcPr>
          <w:p>
            <w:pPr>
              <w:spacing w:after="0" w:line="240" w:lineRule="auto"/>
              <w:jc w:val="center"/>
            </w:pPr>
            <w:r>
              <w:rPr>
                <w:rFonts w:ascii="宋体" w:hAnsi="宋体"/>
                <w:color w:val="000000"/>
                <w:kern w:val="0"/>
                <w:sz w:val="25"/>
                <w:szCs w:val="24"/>
              </w:rPr>
              <w:t>-4.95%</w:t>
            </w:r>
          </w:p>
        </w:tc>
        <w:tc>
          <w:tcPr>
            <w:tcW w:w="7" w:type="dxa"/>
            <w:vMerge w:val="restart"/>
            <w:tcBorders>
              <w:top w:val="single" w:color="auto" w:sz="4" w:space="0"/>
              <w:left w:val="single" w:color="auto" w:sz="4" w:space="0"/>
              <w:bottom w:val="single" w:color="auto" w:sz="4" w:space="0"/>
              <w:right w:val="single" w:color="auto" w:sz="4" w:space="0"/>
            </w:tcBorders>
            <w:vAlign w:val="center"/>
          </w:tcPr>
          <w:p>
            <w:pPr>
              <w:spacing w:after="0" w:line="240" w:lineRule="auto"/>
              <w:jc w:val="center"/>
            </w:pPr>
            <w:r>
              <w:rPr>
                <w:rFonts w:ascii="宋体" w:hAnsi="宋体"/>
                <w:color w:val="000000"/>
                <w:kern w:val="0"/>
                <w:sz w:val="25"/>
                <w:szCs w:val="24"/>
              </w:rPr>
              <w:t>0.79%</w:t>
            </w:r>
          </w:p>
        </w:tc>
        <w:tc>
          <w:tcPr>
            <w:tcW w:w="7" w:type="dxa"/>
            <w:vMerge w:val="restart"/>
            <w:tcBorders>
              <w:top w:val="single" w:color="auto" w:sz="4" w:space="0"/>
              <w:left w:val="single" w:color="auto" w:sz="4" w:space="0"/>
              <w:bottom w:val="single" w:color="auto" w:sz="4" w:space="0"/>
              <w:right w:val="single" w:color="auto" w:sz="4" w:space="0"/>
            </w:tcBorders>
            <w:vAlign w:val="center"/>
          </w:tcPr>
          <w:p>
            <w:pPr>
              <w:spacing w:after="0" w:line="240" w:lineRule="auto"/>
              <w:jc w:val="center"/>
            </w:pPr>
            <w:r>
              <w:rPr>
                <w:rFonts w:ascii="宋体" w:hAnsi="宋体"/>
                <w:color w:val="000000"/>
                <w:kern w:val="0"/>
                <w:sz w:val="25"/>
                <w:szCs w:val="24"/>
              </w:rPr>
              <w:t>1.63%</w:t>
            </w:r>
          </w:p>
        </w:tc>
        <w:tc>
          <w:tcPr>
            <w:tcW w:w="7" w:type="dxa"/>
            <w:vMerge w:val="restart"/>
            <w:tcBorders>
              <w:top w:val="single" w:color="auto" w:sz="4" w:space="0"/>
              <w:left w:val="single" w:color="auto" w:sz="4" w:space="0"/>
              <w:bottom w:val="single" w:color="auto" w:sz="4" w:space="0"/>
              <w:right w:val="single" w:color="auto" w:sz="4" w:space="0"/>
            </w:tcBorders>
            <w:vAlign w:val="center"/>
          </w:tcPr>
          <w:p>
            <w:pPr>
              <w:spacing w:after="0" w:line="240" w:lineRule="auto"/>
              <w:jc w:val="center"/>
            </w:pPr>
            <w:r>
              <w:rPr>
                <w:rFonts w:ascii="宋体" w:hAnsi="宋体"/>
                <w:color w:val="000000"/>
                <w:kern w:val="0"/>
                <w:sz w:val="25"/>
                <w:szCs w:val="24"/>
              </w:rPr>
              <w:t>0.35%</w:t>
            </w:r>
          </w:p>
        </w:tc>
        <w:tc>
          <w:tcPr>
            <w:tcW w:w="7" w:type="dxa"/>
            <w:vMerge w:val="restart"/>
            <w:tcBorders>
              <w:top w:val="single" w:color="auto" w:sz="4" w:space="0"/>
              <w:left w:val="single" w:color="auto" w:sz="4" w:space="0"/>
              <w:bottom w:val="single" w:color="auto" w:sz="4" w:space="0"/>
              <w:right w:val="single" w:color="auto" w:sz="4" w:space="0"/>
            </w:tcBorders>
            <w:vAlign w:val="center"/>
          </w:tcPr>
          <w:p>
            <w:pPr>
              <w:spacing w:after="0" w:line="240" w:lineRule="auto"/>
              <w:jc w:val="center"/>
            </w:pPr>
            <w:r>
              <w:rPr>
                <w:rFonts w:ascii="宋体" w:hAnsi="宋体"/>
                <w:color w:val="000000"/>
                <w:kern w:val="0"/>
                <w:sz w:val="25"/>
                <w:szCs w:val="24"/>
              </w:rPr>
              <w:t>-6.58%</w:t>
            </w:r>
          </w:p>
        </w:tc>
        <w:tc>
          <w:tcPr>
            <w:tcW w:w="7" w:type="dxa"/>
            <w:vMerge w:val="restart"/>
            <w:tcBorders>
              <w:top w:val="single" w:color="auto" w:sz="4" w:space="0"/>
              <w:left w:val="single" w:color="auto" w:sz="4" w:space="0"/>
              <w:bottom w:val="single" w:color="auto" w:sz="4" w:space="0"/>
              <w:right w:val="single" w:color="auto" w:sz="4" w:space="0"/>
            </w:tcBorders>
            <w:vAlign w:val="center"/>
          </w:tcPr>
          <w:p>
            <w:pPr>
              <w:spacing w:after="0" w:line="240" w:lineRule="auto"/>
              <w:jc w:val="center"/>
            </w:pPr>
            <w:r>
              <w:rPr>
                <w:rFonts w:ascii="宋体" w:hAnsi="宋体"/>
                <w:color w:val="000000"/>
                <w:kern w:val="0"/>
                <w:sz w:val="25"/>
                <w:szCs w:val="24"/>
              </w:rPr>
              <w:t>0.44%</w:t>
            </w:r>
          </w:p>
        </w:tc>
      </w:tr>
      <w:tr>
        <w:tblPrEx>
          <w:tblCellMar>
            <w:top w:w="0" w:type="dxa"/>
            <w:left w:w="0" w:type="dxa"/>
            <w:bottom w:w="0" w:type="dxa"/>
            <w:right w:w="0" w:type="dxa"/>
          </w:tblCellMar>
        </w:tblPrEx>
        <w:trPr>
          <w:cantSplit/>
          <w:trHeight w:val="375" w:hRule="atLeast"/>
        </w:trPr>
        <w:tc>
          <w:tcPr>
            <w:tcW w:w="7" w:type="dxa"/>
            <w:vMerge w:val="restart"/>
            <w:tcBorders>
              <w:top w:val="single" w:color="auto" w:sz="4" w:space="0"/>
              <w:left w:val="single" w:color="auto" w:sz="4" w:space="0"/>
              <w:bottom w:val="single" w:color="auto" w:sz="4" w:space="0"/>
              <w:right w:val="single" w:color="auto" w:sz="4" w:space="0"/>
            </w:tcBorders>
            <w:vAlign w:val="center"/>
          </w:tcPr>
          <w:p>
            <w:pPr>
              <w:spacing w:after="0" w:line="240" w:lineRule="auto"/>
              <w:jc w:val="center"/>
            </w:pPr>
            <w:r>
              <w:rPr>
                <w:rFonts w:ascii="宋体" w:hAnsi="宋体"/>
                <w:color w:val="000000"/>
                <w:kern w:val="0"/>
                <w:sz w:val="25"/>
                <w:szCs w:val="24"/>
              </w:rPr>
              <w:t>2022年度</w:t>
            </w:r>
          </w:p>
        </w:tc>
        <w:tc>
          <w:tcPr>
            <w:tcW w:w="7" w:type="dxa"/>
            <w:vMerge w:val="restart"/>
            <w:tcBorders>
              <w:top w:val="single" w:color="auto" w:sz="4" w:space="0"/>
              <w:left w:val="single" w:color="auto" w:sz="4" w:space="0"/>
              <w:bottom w:val="single" w:color="auto" w:sz="4" w:space="0"/>
              <w:right w:val="single" w:color="auto" w:sz="4" w:space="0"/>
            </w:tcBorders>
            <w:vAlign w:val="center"/>
          </w:tcPr>
          <w:p>
            <w:pPr>
              <w:spacing w:after="0" w:line="240" w:lineRule="auto"/>
              <w:jc w:val="center"/>
            </w:pPr>
            <w:r>
              <w:rPr>
                <w:rFonts w:ascii="宋体" w:hAnsi="宋体"/>
                <w:color w:val="000000"/>
                <w:kern w:val="0"/>
                <w:sz w:val="25"/>
                <w:szCs w:val="24"/>
              </w:rPr>
              <w:t>-9.02%</w:t>
            </w:r>
          </w:p>
        </w:tc>
        <w:tc>
          <w:tcPr>
            <w:tcW w:w="7" w:type="dxa"/>
            <w:vMerge w:val="restart"/>
            <w:tcBorders>
              <w:top w:val="single" w:color="auto" w:sz="4" w:space="0"/>
              <w:left w:val="single" w:color="auto" w:sz="4" w:space="0"/>
              <w:bottom w:val="single" w:color="auto" w:sz="4" w:space="0"/>
              <w:right w:val="single" w:color="auto" w:sz="4" w:space="0"/>
            </w:tcBorders>
            <w:vAlign w:val="center"/>
          </w:tcPr>
          <w:p>
            <w:pPr>
              <w:spacing w:after="0" w:line="240" w:lineRule="auto"/>
              <w:jc w:val="center"/>
            </w:pPr>
            <w:r>
              <w:rPr>
                <w:rFonts w:ascii="宋体" w:hAnsi="宋体"/>
                <w:color w:val="000000"/>
                <w:kern w:val="0"/>
                <w:sz w:val="25"/>
                <w:szCs w:val="24"/>
              </w:rPr>
              <w:t>1.12%</w:t>
            </w:r>
          </w:p>
        </w:tc>
        <w:tc>
          <w:tcPr>
            <w:tcW w:w="7" w:type="dxa"/>
            <w:vMerge w:val="restart"/>
            <w:tcBorders>
              <w:top w:val="single" w:color="auto" w:sz="4" w:space="0"/>
              <w:left w:val="single" w:color="auto" w:sz="4" w:space="0"/>
              <w:bottom w:val="single" w:color="auto" w:sz="4" w:space="0"/>
              <w:right w:val="single" w:color="auto" w:sz="4" w:space="0"/>
            </w:tcBorders>
            <w:vAlign w:val="center"/>
          </w:tcPr>
          <w:p>
            <w:pPr>
              <w:spacing w:after="0" w:line="240" w:lineRule="auto"/>
              <w:jc w:val="center"/>
            </w:pPr>
            <w:r>
              <w:rPr>
                <w:rFonts w:ascii="宋体" w:hAnsi="宋体"/>
                <w:color w:val="000000"/>
                <w:kern w:val="0"/>
                <w:sz w:val="25"/>
                <w:szCs w:val="24"/>
              </w:rPr>
              <w:t>-2.02%</w:t>
            </w:r>
          </w:p>
        </w:tc>
        <w:tc>
          <w:tcPr>
            <w:tcW w:w="7" w:type="dxa"/>
            <w:vMerge w:val="restart"/>
            <w:tcBorders>
              <w:top w:val="single" w:color="auto" w:sz="4" w:space="0"/>
              <w:left w:val="single" w:color="auto" w:sz="4" w:space="0"/>
              <w:bottom w:val="single" w:color="auto" w:sz="4" w:space="0"/>
              <w:right w:val="single" w:color="auto" w:sz="4" w:space="0"/>
            </w:tcBorders>
            <w:vAlign w:val="center"/>
          </w:tcPr>
          <w:p>
            <w:pPr>
              <w:spacing w:after="0" w:line="240" w:lineRule="auto"/>
              <w:jc w:val="center"/>
            </w:pPr>
            <w:r>
              <w:rPr>
                <w:rFonts w:ascii="宋体" w:hAnsi="宋体"/>
                <w:color w:val="000000"/>
                <w:kern w:val="0"/>
                <w:sz w:val="25"/>
                <w:szCs w:val="24"/>
              </w:rPr>
              <w:t>0.64%</w:t>
            </w:r>
          </w:p>
        </w:tc>
        <w:tc>
          <w:tcPr>
            <w:tcW w:w="7" w:type="dxa"/>
            <w:vMerge w:val="restart"/>
            <w:tcBorders>
              <w:top w:val="single" w:color="auto" w:sz="4" w:space="0"/>
              <w:left w:val="single" w:color="auto" w:sz="4" w:space="0"/>
              <w:bottom w:val="single" w:color="auto" w:sz="4" w:space="0"/>
              <w:right w:val="single" w:color="auto" w:sz="4" w:space="0"/>
            </w:tcBorders>
            <w:vAlign w:val="center"/>
          </w:tcPr>
          <w:p>
            <w:pPr>
              <w:spacing w:after="0" w:line="240" w:lineRule="auto"/>
              <w:jc w:val="center"/>
            </w:pPr>
            <w:r>
              <w:rPr>
                <w:rFonts w:ascii="宋体" w:hAnsi="宋体"/>
                <w:color w:val="000000"/>
                <w:kern w:val="0"/>
                <w:sz w:val="25"/>
                <w:szCs w:val="24"/>
              </w:rPr>
              <w:t>-7.00%</w:t>
            </w:r>
          </w:p>
        </w:tc>
        <w:tc>
          <w:tcPr>
            <w:tcW w:w="7" w:type="dxa"/>
            <w:vMerge w:val="restart"/>
            <w:tcBorders>
              <w:top w:val="single" w:color="auto" w:sz="4" w:space="0"/>
              <w:left w:val="single" w:color="auto" w:sz="4" w:space="0"/>
              <w:bottom w:val="single" w:color="auto" w:sz="4" w:space="0"/>
              <w:right w:val="single" w:color="auto" w:sz="4" w:space="0"/>
            </w:tcBorders>
            <w:vAlign w:val="center"/>
          </w:tcPr>
          <w:p>
            <w:pPr>
              <w:spacing w:after="0" w:line="240" w:lineRule="auto"/>
              <w:jc w:val="center"/>
            </w:pPr>
            <w:r>
              <w:rPr>
                <w:rFonts w:ascii="宋体" w:hAnsi="宋体"/>
                <w:color w:val="000000"/>
                <w:kern w:val="0"/>
                <w:sz w:val="25"/>
                <w:szCs w:val="24"/>
              </w:rPr>
              <w:t>0.48%</w:t>
            </w:r>
          </w:p>
        </w:tc>
      </w:tr>
      <w:tr>
        <w:tblPrEx>
          <w:tblCellMar>
            <w:top w:w="0" w:type="dxa"/>
            <w:left w:w="0" w:type="dxa"/>
            <w:bottom w:w="0" w:type="dxa"/>
            <w:right w:w="0" w:type="dxa"/>
          </w:tblCellMar>
        </w:tblPrEx>
        <w:trPr>
          <w:cantSplit/>
          <w:trHeight w:val="375" w:hRule="atLeast"/>
        </w:trPr>
        <w:tc>
          <w:tcPr>
            <w:tcW w:w="7" w:type="dxa"/>
            <w:vMerge w:val="restart"/>
            <w:tcBorders>
              <w:top w:val="single" w:color="auto" w:sz="4" w:space="0"/>
              <w:left w:val="single" w:color="auto" w:sz="4" w:space="0"/>
              <w:bottom w:val="single" w:color="auto" w:sz="4" w:space="0"/>
              <w:right w:val="single" w:color="auto" w:sz="4" w:space="0"/>
            </w:tcBorders>
            <w:vAlign w:val="center"/>
          </w:tcPr>
          <w:p>
            <w:pPr>
              <w:spacing w:after="0" w:line="240" w:lineRule="auto"/>
              <w:jc w:val="center"/>
            </w:pPr>
            <w:r>
              <w:rPr>
                <w:rFonts w:ascii="宋体" w:hAnsi="宋体"/>
                <w:color w:val="000000"/>
                <w:kern w:val="0"/>
                <w:sz w:val="25"/>
                <w:szCs w:val="24"/>
              </w:rPr>
              <w:t>2021年度</w:t>
            </w:r>
          </w:p>
        </w:tc>
        <w:tc>
          <w:tcPr>
            <w:tcW w:w="7" w:type="dxa"/>
            <w:vMerge w:val="restart"/>
            <w:tcBorders>
              <w:top w:val="single" w:color="auto" w:sz="4" w:space="0"/>
              <w:left w:val="single" w:color="auto" w:sz="4" w:space="0"/>
              <w:bottom w:val="single" w:color="auto" w:sz="4" w:space="0"/>
              <w:right w:val="single" w:color="auto" w:sz="4" w:space="0"/>
            </w:tcBorders>
            <w:vAlign w:val="center"/>
          </w:tcPr>
          <w:p>
            <w:pPr>
              <w:spacing w:after="0" w:line="240" w:lineRule="auto"/>
              <w:jc w:val="center"/>
            </w:pPr>
            <w:r>
              <w:rPr>
                <w:rFonts w:ascii="宋体" w:hAnsi="宋体"/>
                <w:color w:val="000000"/>
                <w:kern w:val="0"/>
                <w:sz w:val="25"/>
                <w:szCs w:val="24"/>
              </w:rPr>
              <w:t>-12.65%</w:t>
            </w:r>
          </w:p>
        </w:tc>
        <w:tc>
          <w:tcPr>
            <w:tcW w:w="7" w:type="dxa"/>
            <w:vMerge w:val="restart"/>
            <w:tcBorders>
              <w:top w:val="single" w:color="auto" w:sz="4" w:space="0"/>
              <w:left w:val="single" w:color="auto" w:sz="4" w:space="0"/>
              <w:bottom w:val="single" w:color="auto" w:sz="4" w:space="0"/>
              <w:right w:val="single" w:color="auto" w:sz="4" w:space="0"/>
            </w:tcBorders>
            <w:vAlign w:val="center"/>
          </w:tcPr>
          <w:p>
            <w:pPr>
              <w:spacing w:after="0" w:line="240" w:lineRule="auto"/>
              <w:jc w:val="center"/>
            </w:pPr>
            <w:r>
              <w:rPr>
                <w:rFonts w:ascii="宋体" w:hAnsi="宋体"/>
                <w:color w:val="000000"/>
                <w:kern w:val="0"/>
                <w:sz w:val="25"/>
                <w:szCs w:val="24"/>
              </w:rPr>
              <w:t>0.94%</w:t>
            </w:r>
          </w:p>
        </w:tc>
        <w:tc>
          <w:tcPr>
            <w:tcW w:w="7" w:type="dxa"/>
            <w:vMerge w:val="restart"/>
            <w:tcBorders>
              <w:top w:val="single" w:color="auto" w:sz="4" w:space="0"/>
              <w:left w:val="single" w:color="auto" w:sz="4" w:space="0"/>
              <w:bottom w:val="single" w:color="auto" w:sz="4" w:space="0"/>
              <w:right w:val="single" w:color="auto" w:sz="4" w:space="0"/>
            </w:tcBorders>
            <w:vAlign w:val="center"/>
          </w:tcPr>
          <w:p>
            <w:pPr>
              <w:spacing w:after="0" w:line="240" w:lineRule="auto"/>
              <w:jc w:val="center"/>
            </w:pPr>
            <w:r>
              <w:rPr>
                <w:rFonts w:ascii="宋体" w:hAnsi="宋体"/>
                <w:color w:val="000000"/>
                <w:kern w:val="0"/>
                <w:sz w:val="25"/>
                <w:szCs w:val="24"/>
              </w:rPr>
              <w:t>7.94%</w:t>
            </w:r>
          </w:p>
        </w:tc>
        <w:tc>
          <w:tcPr>
            <w:tcW w:w="7" w:type="dxa"/>
            <w:vMerge w:val="restart"/>
            <w:tcBorders>
              <w:top w:val="single" w:color="auto" w:sz="4" w:space="0"/>
              <w:left w:val="single" w:color="auto" w:sz="4" w:space="0"/>
              <w:bottom w:val="single" w:color="auto" w:sz="4" w:space="0"/>
              <w:right w:val="single" w:color="auto" w:sz="4" w:space="0"/>
            </w:tcBorders>
            <w:vAlign w:val="center"/>
          </w:tcPr>
          <w:p>
            <w:pPr>
              <w:spacing w:after="0" w:line="240" w:lineRule="auto"/>
              <w:jc w:val="center"/>
            </w:pPr>
            <w:r>
              <w:rPr>
                <w:rFonts w:ascii="宋体" w:hAnsi="宋体"/>
                <w:color w:val="000000"/>
                <w:kern w:val="0"/>
                <w:sz w:val="25"/>
                <w:szCs w:val="24"/>
              </w:rPr>
              <w:t>0.51%</w:t>
            </w:r>
          </w:p>
        </w:tc>
        <w:tc>
          <w:tcPr>
            <w:tcW w:w="7" w:type="dxa"/>
            <w:vMerge w:val="restart"/>
            <w:tcBorders>
              <w:top w:val="single" w:color="auto" w:sz="4" w:space="0"/>
              <w:left w:val="single" w:color="auto" w:sz="4" w:space="0"/>
              <w:bottom w:val="single" w:color="auto" w:sz="4" w:space="0"/>
              <w:right w:val="single" w:color="auto" w:sz="4" w:space="0"/>
            </w:tcBorders>
            <w:vAlign w:val="center"/>
          </w:tcPr>
          <w:p>
            <w:pPr>
              <w:spacing w:after="0" w:line="240" w:lineRule="auto"/>
              <w:jc w:val="center"/>
            </w:pPr>
            <w:r>
              <w:rPr>
                <w:rFonts w:ascii="宋体" w:hAnsi="宋体"/>
                <w:color w:val="000000"/>
                <w:kern w:val="0"/>
                <w:sz w:val="25"/>
                <w:szCs w:val="24"/>
              </w:rPr>
              <w:t>-20.59%</w:t>
            </w:r>
          </w:p>
        </w:tc>
        <w:tc>
          <w:tcPr>
            <w:tcW w:w="7" w:type="dxa"/>
            <w:vMerge w:val="restart"/>
            <w:tcBorders>
              <w:top w:val="single" w:color="auto" w:sz="4" w:space="0"/>
              <w:left w:val="single" w:color="auto" w:sz="4" w:space="0"/>
              <w:bottom w:val="single" w:color="auto" w:sz="4" w:space="0"/>
              <w:right w:val="single" w:color="auto" w:sz="4" w:space="0"/>
            </w:tcBorders>
            <w:vAlign w:val="center"/>
          </w:tcPr>
          <w:p>
            <w:pPr>
              <w:spacing w:after="0" w:line="240" w:lineRule="auto"/>
              <w:jc w:val="center"/>
            </w:pPr>
            <w:r>
              <w:rPr>
                <w:rFonts w:ascii="宋体" w:hAnsi="宋体"/>
                <w:color w:val="000000"/>
                <w:kern w:val="0"/>
                <w:sz w:val="25"/>
                <w:szCs w:val="24"/>
              </w:rPr>
              <w:t>0.43%</w:t>
            </w:r>
          </w:p>
        </w:tc>
      </w:tr>
      <w:tr>
        <w:tblPrEx>
          <w:tblCellMar>
            <w:top w:w="0" w:type="dxa"/>
            <w:left w:w="0" w:type="dxa"/>
            <w:bottom w:w="0" w:type="dxa"/>
            <w:right w:w="0" w:type="dxa"/>
          </w:tblCellMar>
        </w:tblPrEx>
        <w:trPr>
          <w:cantSplit/>
          <w:trHeight w:val="375" w:hRule="atLeast"/>
        </w:trPr>
        <w:tc>
          <w:tcPr>
            <w:tcW w:w="7" w:type="dxa"/>
            <w:vMerge w:val="restart"/>
            <w:tcBorders>
              <w:top w:val="single" w:color="auto" w:sz="4" w:space="0"/>
              <w:left w:val="single" w:color="auto" w:sz="4" w:space="0"/>
              <w:bottom w:val="single" w:color="auto" w:sz="4" w:space="0"/>
              <w:right w:val="single" w:color="auto" w:sz="4" w:space="0"/>
            </w:tcBorders>
            <w:vAlign w:val="center"/>
          </w:tcPr>
          <w:p>
            <w:pPr>
              <w:spacing w:after="0" w:line="240" w:lineRule="auto"/>
              <w:jc w:val="center"/>
            </w:pPr>
            <w:r>
              <w:rPr>
                <w:rFonts w:ascii="宋体" w:hAnsi="宋体"/>
                <w:color w:val="000000"/>
                <w:kern w:val="0"/>
                <w:sz w:val="25"/>
                <w:szCs w:val="24"/>
              </w:rPr>
              <w:t>2020年度</w:t>
            </w:r>
          </w:p>
        </w:tc>
        <w:tc>
          <w:tcPr>
            <w:tcW w:w="7" w:type="dxa"/>
            <w:vMerge w:val="restart"/>
            <w:tcBorders>
              <w:top w:val="single" w:color="auto" w:sz="4" w:space="0"/>
              <w:left w:val="single" w:color="auto" w:sz="4" w:space="0"/>
              <w:bottom w:val="single" w:color="auto" w:sz="4" w:space="0"/>
              <w:right w:val="single" w:color="auto" w:sz="4" w:space="0"/>
            </w:tcBorders>
            <w:vAlign w:val="center"/>
          </w:tcPr>
          <w:p>
            <w:pPr>
              <w:spacing w:after="0" w:line="240" w:lineRule="auto"/>
              <w:jc w:val="center"/>
            </w:pPr>
            <w:r>
              <w:rPr>
                <w:rFonts w:ascii="宋体" w:hAnsi="宋体"/>
                <w:color w:val="000000"/>
                <w:kern w:val="0"/>
                <w:sz w:val="25"/>
                <w:szCs w:val="24"/>
              </w:rPr>
              <w:t>51.95%</w:t>
            </w:r>
          </w:p>
        </w:tc>
        <w:tc>
          <w:tcPr>
            <w:tcW w:w="7" w:type="dxa"/>
            <w:vMerge w:val="restart"/>
            <w:tcBorders>
              <w:top w:val="single" w:color="auto" w:sz="4" w:space="0"/>
              <w:left w:val="single" w:color="auto" w:sz="4" w:space="0"/>
              <w:bottom w:val="single" w:color="auto" w:sz="4" w:space="0"/>
              <w:right w:val="single" w:color="auto" w:sz="4" w:space="0"/>
            </w:tcBorders>
            <w:vAlign w:val="center"/>
          </w:tcPr>
          <w:p>
            <w:pPr>
              <w:spacing w:after="0" w:line="240" w:lineRule="auto"/>
              <w:jc w:val="center"/>
            </w:pPr>
            <w:r>
              <w:rPr>
                <w:rFonts w:ascii="宋体" w:hAnsi="宋体"/>
                <w:color w:val="000000"/>
                <w:kern w:val="0"/>
                <w:sz w:val="25"/>
                <w:szCs w:val="24"/>
              </w:rPr>
              <w:t>1.12%</w:t>
            </w:r>
          </w:p>
        </w:tc>
        <w:tc>
          <w:tcPr>
            <w:tcW w:w="7" w:type="dxa"/>
            <w:vMerge w:val="restart"/>
            <w:tcBorders>
              <w:top w:val="single" w:color="auto" w:sz="4" w:space="0"/>
              <w:left w:val="single" w:color="auto" w:sz="4" w:space="0"/>
              <w:bottom w:val="single" w:color="auto" w:sz="4" w:space="0"/>
              <w:right w:val="single" w:color="auto" w:sz="4" w:space="0"/>
            </w:tcBorders>
            <w:vAlign w:val="center"/>
          </w:tcPr>
          <w:p>
            <w:pPr>
              <w:spacing w:after="0" w:line="240" w:lineRule="auto"/>
              <w:jc w:val="center"/>
            </w:pPr>
            <w:r>
              <w:rPr>
                <w:rFonts w:ascii="宋体" w:hAnsi="宋体"/>
                <w:color w:val="000000"/>
                <w:kern w:val="0"/>
                <w:sz w:val="25"/>
                <w:szCs w:val="24"/>
              </w:rPr>
              <w:t>2.28%</w:t>
            </w:r>
          </w:p>
        </w:tc>
        <w:tc>
          <w:tcPr>
            <w:tcW w:w="7" w:type="dxa"/>
            <w:vMerge w:val="restart"/>
            <w:tcBorders>
              <w:top w:val="single" w:color="auto" w:sz="4" w:space="0"/>
              <w:left w:val="single" w:color="auto" w:sz="4" w:space="0"/>
              <w:bottom w:val="single" w:color="auto" w:sz="4" w:space="0"/>
              <w:right w:val="single" w:color="auto" w:sz="4" w:space="0"/>
            </w:tcBorders>
            <w:vAlign w:val="center"/>
          </w:tcPr>
          <w:p>
            <w:pPr>
              <w:spacing w:after="0" w:line="240" w:lineRule="auto"/>
              <w:jc w:val="center"/>
            </w:pPr>
            <w:r>
              <w:rPr>
                <w:rFonts w:ascii="宋体" w:hAnsi="宋体"/>
                <w:color w:val="000000"/>
                <w:kern w:val="0"/>
                <w:sz w:val="25"/>
                <w:szCs w:val="24"/>
              </w:rPr>
              <w:t>0.65%</w:t>
            </w:r>
          </w:p>
        </w:tc>
        <w:tc>
          <w:tcPr>
            <w:tcW w:w="7" w:type="dxa"/>
            <w:vMerge w:val="restart"/>
            <w:tcBorders>
              <w:top w:val="single" w:color="auto" w:sz="4" w:space="0"/>
              <w:left w:val="single" w:color="auto" w:sz="4" w:space="0"/>
              <w:bottom w:val="single" w:color="auto" w:sz="4" w:space="0"/>
              <w:right w:val="single" w:color="auto" w:sz="4" w:space="0"/>
            </w:tcBorders>
            <w:vAlign w:val="center"/>
          </w:tcPr>
          <w:p>
            <w:pPr>
              <w:spacing w:after="0" w:line="240" w:lineRule="auto"/>
              <w:jc w:val="center"/>
            </w:pPr>
            <w:r>
              <w:rPr>
                <w:rFonts w:ascii="宋体" w:hAnsi="宋体"/>
                <w:color w:val="000000"/>
                <w:kern w:val="0"/>
                <w:sz w:val="25"/>
                <w:szCs w:val="24"/>
              </w:rPr>
              <w:t>49.67%</w:t>
            </w:r>
          </w:p>
        </w:tc>
        <w:tc>
          <w:tcPr>
            <w:tcW w:w="7" w:type="dxa"/>
            <w:vMerge w:val="restart"/>
            <w:tcBorders>
              <w:top w:val="single" w:color="auto" w:sz="4" w:space="0"/>
              <w:left w:val="single" w:color="auto" w:sz="4" w:space="0"/>
              <w:bottom w:val="single" w:color="auto" w:sz="4" w:space="0"/>
              <w:right w:val="single" w:color="auto" w:sz="4" w:space="0"/>
            </w:tcBorders>
            <w:vAlign w:val="center"/>
          </w:tcPr>
          <w:p>
            <w:pPr>
              <w:spacing w:after="0" w:line="240" w:lineRule="auto"/>
              <w:jc w:val="center"/>
            </w:pPr>
            <w:r>
              <w:rPr>
                <w:rFonts w:ascii="宋体" w:hAnsi="宋体"/>
                <w:color w:val="000000"/>
                <w:kern w:val="0"/>
                <w:sz w:val="25"/>
                <w:szCs w:val="24"/>
              </w:rPr>
              <w:t>0.47%</w:t>
            </w:r>
          </w:p>
        </w:tc>
      </w:tr>
      <w:tr>
        <w:tblPrEx>
          <w:tblCellMar>
            <w:top w:w="0" w:type="dxa"/>
            <w:left w:w="0" w:type="dxa"/>
            <w:bottom w:w="0" w:type="dxa"/>
            <w:right w:w="0" w:type="dxa"/>
          </w:tblCellMar>
        </w:tblPrEx>
        <w:trPr>
          <w:cantSplit/>
          <w:trHeight w:val="375" w:hRule="atLeast"/>
        </w:trPr>
        <w:tc>
          <w:tcPr>
            <w:tcW w:w="7" w:type="dxa"/>
            <w:vMerge w:val="restart"/>
            <w:tcBorders>
              <w:top w:val="single" w:color="auto" w:sz="4" w:space="0"/>
              <w:left w:val="single" w:color="auto" w:sz="4" w:space="0"/>
              <w:bottom w:val="single" w:color="auto" w:sz="4" w:space="0"/>
              <w:right w:val="single" w:color="auto" w:sz="4" w:space="0"/>
            </w:tcBorders>
            <w:vAlign w:val="center"/>
          </w:tcPr>
          <w:p>
            <w:pPr>
              <w:spacing w:after="0" w:line="240" w:lineRule="auto"/>
              <w:jc w:val="center"/>
            </w:pPr>
            <w:r>
              <w:rPr>
                <w:rFonts w:ascii="宋体" w:hAnsi="宋体"/>
                <w:color w:val="000000"/>
                <w:kern w:val="0"/>
                <w:sz w:val="25"/>
                <w:szCs w:val="24"/>
              </w:rPr>
              <w:t>2019年度</w:t>
            </w:r>
          </w:p>
        </w:tc>
        <w:tc>
          <w:tcPr>
            <w:tcW w:w="7" w:type="dxa"/>
            <w:vMerge w:val="restart"/>
            <w:tcBorders>
              <w:top w:val="single" w:color="auto" w:sz="4" w:space="0"/>
              <w:left w:val="single" w:color="auto" w:sz="4" w:space="0"/>
              <w:bottom w:val="single" w:color="auto" w:sz="4" w:space="0"/>
              <w:right w:val="single" w:color="auto" w:sz="4" w:space="0"/>
            </w:tcBorders>
            <w:vAlign w:val="center"/>
          </w:tcPr>
          <w:p>
            <w:pPr>
              <w:spacing w:after="0" w:line="240" w:lineRule="auto"/>
              <w:jc w:val="center"/>
            </w:pPr>
            <w:r>
              <w:rPr>
                <w:rFonts w:ascii="宋体" w:hAnsi="宋体"/>
                <w:color w:val="000000"/>
                <w:kern w:val="0"/>
                <w:sz w:val="25"/>
                <w:szCs w:val="24"/>
              </w:rPr>
              <w:t>46.29%</w:t>
            </w:r>
          </w:p>
        </w:tc>
        <w:tc>
          <w:tcPr>
            <w:tcW w:w="7" w:type="dxa"/>
            <w:vMerge w:val="restart"/>
            <w:tcBorders>
              <w:top w:val="single" w:color="auto" w:sz="4" w:space="0"/>
              <w:left w:val="single" w:color="auto" w:sz="4" w:space="0"/>
              <w:bottom w:val="single" w:color="auto" w:sz="4" w:space="0"/>
              <w:right w:val="single" w:color="auto" w:sz="4" w:space="0"/>
            </w:tcBorders>
            <w:vAlign w:val="center"/>
          </w:tcPr>
          <w:p>
            <w:pPr>
              <w:spacing w:after="0" w:line="240" w:lineRule="auto"/>
              <w:jc w:val="center"/>
            </w:pPr>
            <w:r>
              <w:rPr>
                <w:rFonts w:ascii="宋体" w:hAnsi="宋体"/>
                <w:color w:val="000000"/>
                <w:kern w:val="0"/>
                <w:sz w:val="25"/>
                <w:szCs w:val="24"/>
              </w:rPr>
              <w:t>1.10%</w:t>
            </w:r>
          </w:p>
        </w:tc>
        <w:tc>
          <w:tcPr>
            <w:tcW w:w="7" w:type="dxa"/>
            <w:vMerge w:val="restart"/>
            <w:tcBorders>
              <w:top w:val="single" w:color="auto" w:sz="4" w:space="0"/>
              <w:left w:val="single" w:color="auto" w:sz="4" w:space="0"/>
              <w:bottom w:val="single" w:color="auto" w:sz="4" w:space="0"/>
              <w:right w:val="single" w:color="auto" w:sz="4" w:space="0"/>
            </w:tcBorders>
            <w:vAlign w:val="center"/>
          </w:tcPr>
          <w:p>
            <w:pPr>
              <w:spacing w:after="0" w:line="240" w:lineRule="auto"/>
              <w:jc w:val="center"/>
            </w:pPr>
            <w:r>
              <w:rPr>
                <w:rFonts w:ascii="宋体" w:hAnsi="宋体"/>
                <w:color w:val="000000"/>
                <w:kern w:val="0"/>
                <w:sz w:val="25"/>
                <w:szCs w:val="24"/>
              </w:rPr>
              <w:t>8.71%</w:t>
            </w:r>
          </w:p>
        </w:tc>
        <w:tc>
          <w:tcPr>
            <w:tcW w:w="7" w:type="dxa"/>
            <w:vMerge w:val="restart"/>
            <w:tcBorders>
              <w:top w:val="single" w:color="auto" w:sz="4" w:space="0"/>
              <w:left w:val="single" w:color="auto" w:sz="4" w:space="0"/>
              <w:bottom w:val="single" w:color="auto" w:sz="4" w:space="0"/>
              <w:right w:val="single" w:color="auto" w:sz="4" w:space="0"/>
            </w:tcBorders>
            <w:vAlign w:val="center"/>
          </w:tcPr>
          <w:p>
            <w:pPr>
              <w:spacing w:after="0" w:line="240" w:lineRule="auto"/>
              <w:jc w:val="center"/>
            </w:pPr>
            <w:r>
              <w:rPr>
                <w:rFonts w:ascii="宋体" w:hAnsi="宋体"/>
                <w:color w:val="000000"/>
                <w:kern w:val="0"/>
                <w:sz w:val="25"/>
                <w:szCs w:val="24"/>
              </w:rPr>
              <w:t>0.55%</w:t>
            </w:r>
          </w:p>
        </w:tc>
        <w:tc>
          <w:tcPr>
            <w:tcW w:w="7" w:type="dxa"/>
            <w:vMerge w:val="restart"/>
            <w:tcBorders>
              <w:top w:val="single" w:color="auto" w:sz="4" w:space="0"/>
              <w:left w:val="single" w:color="auto" w:sz="4" w:space="0"/>
              <w:bottom w:val="single" w:color="auto" w:sz="4" w:space="0"/>
              <w:right w:val="single" w:color="auto" w:sz="4" w:space="0"/>
            </w:tcBorders>
            <w:vAlign w:val="center"/>
          </w:tcPr>
          <w:p>
            <w:pPr>
              <w:spacing w:after="0" w:line="240" w:lineRule="auto"/>
              <w:jc w:val="center"/>
            </w:pPr>
            <w:r>
              <w:rPr>
                <w:rFonts w:ascii="宋体" w:hAnsi="宋体"/>
                <w:color w:val="000000"/>
                <w:kern w:val="0"/>
                <w:sz w:val="25"/>
                <w:szCs w:val="24"/>
              </w:rPr>
              <w:t>37.58%</w:t>
            </w:r>
          </w:p>
        </w:tc>
        <w:tc>
          <w:tcPr>
            <w:tcW w:w="7" w:type="dxa"/>
            <w:vMerge w:val="restart"/>
            <w:tcBorders>
              <w:top w:val="single" w:color="auto" w:sz="4" w:space="0"/>
              <w:left w:val="single" w:color="auto" w:sz="4" w:space="0"/>
              <w:bottom w:val="single" w:color="auto" w:sz="4" w:space="0"/>
              <w:right w:val="single" w:color="auto" w:sz="4" w:space="0"/>
            </w:tcBorders>
            <w:vAlign w:val="center"/>
          </w:tcPr>
          <w:p>
            <w:pPr>
              <w:spacing w:after="0" w:line="240" w:lineRule="auto"/>
              <w:jc w:val="center"/>
            </w:pPr>
            <w:r>
              <w:rPr>
                <w:rFonts w:ascii="宋体" w:hAnsi="宋体"/>
                <w:color w:val="000000"/>
                <w:kern w:val="0"/>
                <w:sz w:val="25"/>
                <w:szCs w:val="24"/>
              </w:rPr>
              <w:t>0.55%</w:t>
            </w:r>
          </w:p>
        </w:tc>
      </w:tr>
      <w:tr>
        <w:tblPrEx>
          <w:tblCellMar>
            <w:top w:w="0" w:type="dxa"/>
            <w:left w:w="0" w:type="dxa"/>
            <w:bottom w:w="0" w:type="dxa"/>
            <w:right w:w="0" w:type="dxa"/>
          </w:tblCellMar>
        </w:tblPrEx>
        <w:trPr>
          <w:cantSplit/>
          <w:trHeight w:val="375" w:hRule="atLeast"/>
        </w:trPr>
        <w:tc>
          <w:tcPr>
            <w:tcW w:w="7" w:type="dxa"/>
            <w:vMerge w:val="restart"/>
            <w:tcBorders>
              <w:top w:val="single" w:color="auto" w:sz="4" w:space="0"/>
              <w:left w:val="single" w:color="auto" w:sz="4" w:space="0"/>
              <w:bottom w:val="single" w:color="auto" w:sz="4" w:space="0"/>
              <w:right w:val="single" w:color="auto" w:sz="4" w:space="0"/>
            </w:tcBorders>
            <w:vAlign w:val="center"/>
          </w:tcPr>
          <w:p>
            <w:pPr>
              <w:spacing w:after="0" w:line="240" w:lineRule="auto"/>
              <w:jc w:val="center"/>
            </w:pPr>
            <w:r>
              <w:rPr>
                <w:rFonts w:ascii="宋体" w:hAnsi="宋体"/>
                <w:color w:val="000000"/>
                <w:kern w:val="0"/>
                <w:sz w:val="25"/>
                <w:szCs w:val="24"/>
              </w:rPr>
              <w:t>2018年度</w:t>
            </w:r>
          </w:p>
        </w:tc>
        <w:tc>
          <w:tcPr>
            <w:tcW w:w="7" w:type="dxa"/>
            <w:vMerge w:val="restart"/>
            <w:tcBorders>
              <w:top w:val="single" w:color="auto" w:sz="4" w:space="0"/>
              <w:left w:val="single" w:color="auto" w:sz="4" w:space="0"/>
              <w:bottom w:val="single" w:color="auto" w:sz="4" w:space="0"/>
              <w:right w:val="single" w:color="auto" w:sz="4" w:space="0"/>
            </w:tcBorders>
            <w:vAlign w:val="center"/>
          </w:tcPr>
          <w:p>
            <w:pPr>
              <w:spacing w:after="0" w:line="240" w:lineRule="auto"/>
              <w:jc w:val="center"/>
            </w:pPr>
            <w:r>
              <w:rPr>
                <w:rFonts w:ascii="宋体" w:hAnsi="宋体"/>
                <w:color w:val="000000"/>
                <w:kern w:val="0"/>
                <w:sz w:val="25"/>
                <w:szCs w:val="24"/>
              </w:rPr>
              <w:t>-6.43%</w:t>
            </w:r>
          </w:p>
        </w:tc>
        <w:tc>
          <w:tcPr>
            <w:tcW w:w="7" w:type="dxa"/>
            <w:vMerge w:val="restart"/>
            <w:tcBorders>
              <w:top w:val="single" w:color="auto" w:sz="4" w:space="0"/>
              <w:left w:val="single" w:color="auto" w:sz="4" w:space="0"/>
              <w:bottom w:val="single" w:color="auto" w:sz="4" w:space="0"/>
              <w:right w:val="single" w:color="auto" w:sz="4" w:space="0"/>
            </w:tcBorders>
            <w:vAlign w:val="center"/>
          </w:tcPr>
          <w:p>
            <w:pPr>
              <w:spacing w:after="0" w:line="240" w:lineRule="auto"/>
              <w:jc w:val="center"/>
            </w:pPr>
            <w:r>
              <w:rPr>
                <w:rFonts w:ascii="宋体" w:hAnsi="宋体"/>
                <w:color w:val="000000"/>
                <w:kern w:val="0"/>
                <w:sz w:val="25"/>
                <w:szCs w:val="24"/>
              </w:rPr>
              <w:t>1.22%</w:t>
            </w:r>
          </w:p>
        </w:tc>
        <w:tc>
          <w:tcPr>
            <w:tcW w:w="7" w:type="dxa"/>
            <w:vMerge w:val="restart"/>
            <w:tcBorders>
              <w:top w:val="single" w:color="auto" w:sz="4" w:space="0"/>
              <w:left w:val="single" w:color="auto" w:sz="4" w:space="0"/>
              <w:bottom w:val="single" w:color="auto" w:sz="4" w:space="0"/>
              <w:right w:val="single" w:color="auto" w:sz="4" w:space="0"/>
            </w:tcBorders>
            <w:vAlign w:val="center"/>
          </w:tcPr>
          <w:p>
            <w:pPr>
              <w:spacing w:after="0" w:line="240" w:lineRule="auto"/>
              <w:jc w:val="center"/>
            </w:pPr>
            <w:r>
              <w:rPr>
                <w:rFonts w:ascii="宋体" w:hAnsi="宋体"/>
                <w:color w:val="000000"/>
                <w:kern w:val="0"/>
                <w:sz w:val="25"/>
                <w:szCs w:val="24"/>
              </w:rPr>
              <w:t>-7.58%</w:t>
            </w:r>
          </w:p>
        </w:tc>
        <w:tc>
          <w:tcPr>
            <w:tcW w:w="7" w:type="dxa"/>
            <w:vMerge w:val="restart"/>
            <w:tcBorders>
              <w:top w:val="single" w:color="auto" w:sz="4" w:space="0"/>
              <w:left w:val="single" w:color="auto" w:sz="4" w:space="0"/>
              <w:bottom w:val="single" w:color="auto" w:sz="4" w:space="0"/>
              <w:right w:val="single" w:color="auto" w:sz="4" w:space="0"/>
            </w:tcBorders>
            <w:vAlign w:val="center"/>
          </w:tcPr>
          <w:p>
            <w:pPr>
              <w:spacing w:after="0" w:line="240" w:lineRule="auto"/>
              <w:jc w:val="center"/>
            </w:pPr>
            <w:r>
              <w:rPr>
                <w:rFonts w:ascii="宋体" w:hAnsi="宋体"/>
                <w:color w:val="000000"/>
                <w:kern w:val="0"/>
                <w:sz w:val="25"/>
                <w:szCs w:val="24"/>
              </w:rPr>
              <w:t>0.60%</w:t>
            </w:r>
          </w:p>
        </w:tc>
        <w:tc>
          <w:tcPr>
            <w:tcW w:w="7" w:type="dxa"/>
            <w:vMerge w:val="restart"/>
            <w:tcBorders>
              <w:top w:val="single" w:color="auto" w:sz="4" w:space="0"/>
              <w:left w:val="single" w:color="auto" w:sz="4" w:space="0"/>
              <w:bottom w:val="single" w:color="auto" w:sz="4" w:space="0"/>
              <w:right w:val="single" w:color="auto" w:sz="4" w:space="0"/>
            </w:tcBorders>
            <w:vAlign w:val="center"/>
          </w:tcPr>
          <w:p>
            <w:pPr>
              <w:spacing w:after="0" w:line="240" w:lineRule="auto"/>
              <w:jc w:val="center"/>
            </w:pPr>
            <w:r>
              <w:rPr>
                <w:rFonts w:ascii="宋体" w:hAnsi="宋体"/>
                <w:color w:val="000000"/>
                <w:kern w:val="0"/>
                <w:sz w:val="25"/>
                <w:szCs w:val="24"/>
              </w:rPr>
              <w:t>1.15%</w:t>
            </w:r>
          </w:p>
        </w:tc>
        <w:tc>
          <w:tcPr>
            <w:tcW w:w="7" w:type="dxa"/>
            <w:vMerge w:val="restart"/>
            <w:tcBorders>
              <w:top w:val="single" w:color="auto" w:sz="4" w:space="0"/>
              <w:left w:val="single" w:color="auto" w:sz="4" w:space="0"/>
              <w:bottom w:val="single" w:color="auto" w:sz="4" w:space="0"/>
              <w:right w:val="single" w:color="auto" w:sz="4" w:space="0"/>
            </w:tcBorders>
            <w:vAlign w:val="center"/>
          </w:tcPr>
          <w:p>
            <w:pPr>
              <w:spacing w:after="0" w:line="240" w:lineRule="auto"/>
              <w:jc w:val="center"/>
            </w:pPr>
            <w:r>
              <w:rPr>
                <w:rFonts w:ascii="宋体" w:hAnsi="宋体"/>
                <w:color w:val="000000"/>
                <w:kern w:val="0"/>
                <w:sz w:val="25"/>
                <w:szCs w:val="24"/>
              </w:rPr>
              <w:t>0.62%</w:t>
            </w:r>
          </w:p>
        </w:tc>
      </w:tr>
      <w:tr>
        <w:tblPrEx>
          <w:tblCellMar>
            <w:top w:w="0" w:type="dxa"/>
            <w:left w:w="0" w:type="dxa"/>
            <w:bottom w:w="0" w:type="dxa"/>
            <w:right w:w="0" w:type="dxa"/>
          </w:tblCellMar>
        </w:tblPrEx>
        <w:trPr>
          <w:cantSplit/>
          <w:trHeight w:val="375" w:hRule="atLeast"/>
        </w:trPr>
        <w:tc>
          <w:tcPr>
            <w:tcW w:w="7" w:type="dxa"/>
            <w:tcBorders>
              <w:top w:val="single" w:color="auto" w:sz="4" w:space="0"/>
              <w:left w:val="single" w:color="auto" w:sz="4" w:space="0"/>
              <w:bottom w:val="single" w:color="auto" w:sz="4" w:space="0"/>
              <w:right w:val="single" w:color="auto" w:sz="4" w:space="0"/>
            </w:tcBorders>
            <w:vAlign w:val="center"/>
          </w:tcPr>
          <w:p>
            <w:pPr>
              <w:spacing w:after="0" w:line="240" w:lineRule="auto"/>
              <w:jc w:val="center"/>
            </w:pPr>
            <w:r>
              <w:rPr>
                <w:rFonts w:ascii="宋体" w:hAnsi="宋体"/>
                <w:color w:val="000000"/>
                <w:kern w:val="0"/>
                <w:sz w:val="25"/>
                <w:szCs w:val="24"/>
              </w:rPr>
              <w:t>2017年度</w:t>
            </w:r>
          </w:p>
        </w:tc>
        <w:tc>
          <w:tcPr>
            <w:tcW w:w="7" w:type="dxa"/>
            <w:tcBorders>
              <w:top w:val="single" w:color="auto" w:sz="4" w:space="0"/>
              <w:left w:val="single" w:color="auto" w:sz="4" w:space="0"/>
              <w:bottom w:val="single" w:color="auto" w:sz="4" w:space="0"/>
              <w:right w:val="single" w:color="auto" w:sz="4" w:space="0"/>
            </w:tcBorders>
            <w:vAlign w:val="center"/>
          </w:tcPr>
          <w:p>
            <w:pPr>
              <w:spacing w:after="0" w:line="240" w:lineRule="auto"/>
              <w:jc w:val="center"/>
            </w:pPr>
            <w:r>
              <w:rPr>
                <w:rFonts w:ascii="宋体" w:hAnsi="宋体"/>
                <w:color w:val="000000"/>
                <w:kern w:val="0"/>
                <w:sz w:val="25"/>
                <w:szCs w:val="24"/>
              </w:rPr>
              <w:t>32.50%</w:t>
            </w:r>
          </w:p>
        </w:tc>
        <w:tc>
          <w:tcPr>
            <w:tcW w:w="7" w:type="dxa"/>
            <w:tcBorders>
              <w:top w:val="single" w:color="auto" w:sz="4" w:space="0"/>
              <w:left w:val="single" w:color="auto" w:sz="4" w:space="0"/>
              <w:bottom w:val="single" w:color="auto" w:sz="4" w:space="0"/>
              <w:right w:val="single" w:color="auto" w:sz="4" w:space="0"/>
            </w:tcBorders>
            <w:vAlign w:val="center"/>
          </w:tcPr>
          <w:p>
            <w:pPr>
              <w:spacing w:after="0" w:line="240" w:lineRule="auto"/>
              <w:jc w:val="center"/>
            </w:pPr>
            <w:r>
              <w:rPr>
                <w:rFonts w:ascii="宋体" w:hAnsi="宋体"/>
                <w:color w:val="000000"/>
                <w:kern w:val="0"/>
                <w:sz w:val="25"/>
                <w:szCs w:val="24"/>
              </w:rPr>
              <w:t>0.80%</w:t>
            </w:r>
          </w:p>
        </w:tc>
        <w:tc>
          <w:tcPr>
            <w:tcW w:w="7" w:type="dxa"/>
            <w:tcBorders>
              <w:top w:val="single" w:color="auto" w:sz="4" w:space="0"/>
              <w:left w:val="single" w:color="auto" w:sz="4" w:space="0"/>
              <w:bottom w:val="single" w:color="auto" w:sz="4" w:space="0"/>
              <w:right w:val="single" w:color="auto" w:sz="4" w:space="0"/>
            </w:tcBorders>
            <w:vAlign w:val="center"/>
          </w:tcPr>
          <w:p>
            <w:pPr>
              <w:spacing w:after="0" w:line="240" w:lineRule="auto"/>
              <w:jc w:val="center"/>
            </w:pPr>
            <w:r>
              <w:rPr>
                <w:rFonts w:ascii="宋体" w:hAnsi="宋体"/>
                <w:color w:val="000000"/>
                <w:kern w:val="0"/>
                <w:sz w:val="25"/>
                <w:szCs w:val="24"/>
              </w:rPr>
              <w:t>6.69%</w:t>
            </w:r>
          </w:p>
        </w:tc>
        <w:tc>
          <w:tcPr>
            <w:tcW w:w="7" w:type="dxa"/>
            <w:tcBorders>
              <w:top w:val="single" w:color="auto" w:sz="4" w:space="0"/>
              <w:left w:val="single" w:color="auto" w:sz="4" w:space="0"/>
              <w:bottom w:val="single" w:color="auto" w:sz="4" w:space="0"/>
              <w:right w:val="single" w:color="auto" w:sz="4" w:space="0"/>
            </w:tcBorders>
            <w:vAlign w:val="center"/>
          </w:tcPr>
          <w:p>
            <w:pPr>
              <w:spacing w:after="0" w:line="240" w:lineRule="auto"/>
              <w:jc w:val="center"/>
            </w:pPr>
            <w:r>
              <w:rPr>
                <w:rFonts w:ascii="宋体" w:hAnsi="宋体"/>
                <w:color w:val="000000"/>
                <w:kern w:val="0"/>
                <w:sz w:val="25"/>
                <w:szCs w:val="24"/>
              </w:rPr>
              <w:t>0.30%</w:t>
            </w:r>
          </w:p>
        </w:tc>
        <w:tc>
          <w:tcPr>
            <w:tcW w:w="7" w:type="dxa"/>
            <w:tcBorders>
              <w:top w:val="single" w:color="auto" w:sz="4" w:space="0"/>
              <w:left w:val="single" w:color="auto" w:sz="4" w:space="0"/>
              <w:bottom w:val="single" w:color="auto" w:sz="4" w:space="0"/>
              <w:right w:val="single" w:color="auto" w:sz="4" w:space="0"/>
            </w:tcBorders>
            <w:vAlign w:val="center"/>
          </w:tcPr>
          <w:p>
            <w:pPr>
              <w:spacing w:after="0" w:line="240" w:lineRule="auto"/>
              <w:jc w:val="center"/>
            </w:pPr>
            <w:r>
              <w:rPr>
                <w:rFonts w:ascii="宋体" w:hAnsi="宋体"/>
                <w:color w:val="000000"/>
                <w:kern w:val="0"/>
                <w:sz w:val="25"/>
                <w:szCs w:val="24"/>
              </w:rPr>
              <w:t>25.81%</w:t>
            </w:r>
          </w:p>
        </w:tc>
        <w:tc>
          <w:tcPr>
            <w:tcW w:w="7" w:type="dxa"/>
            <w:tcBorders>
              <w:top w:val="single" w:color="auto" w:sz="4" w:space="0"/>
              <w:left w:val="single" w:color="auto" w:sz="4" w:space="0"/>
              <w:bottom w:val="single" w:color="auto" w:sz="4" w:space="0"/>
              <w:right w:val="single" w:color="auto" w:sz="4" w:space="0"/>
            </w:tcBorders>
            <w:vAlign w:val="center"/>
          </w:tcPr>
          <w:p>
            <w:pPr>
              <w:spacing w:after="0" w:line="240" w:lineRule="auto"/>
              <w:jc w:val="center"/>
            </w:pPr>
            <w:r>
              <w:rPr>
                <w:rFonts w:ascii="宋体" w:hAnsi="宋体"/>
                <w:color w:val="000000"/>
                <w:kern w:val="0"/>
                <w:sz w:val="25"/>
                <w:szCs w:val="24"/>
              </w:rPr>
              <w:t>0.50%</w:t>
            </w:r>
          </w:p>
        </w:tc>
      </w:tr>
      <w:tr>
        <w:tblPrEx>
          <w:tblCellMar>
            <w:top w:w="0" w:type="dxa"/>
            <w:left w:w="0" w:type="dxa"/>
            <w:bottom w:w="0" w:type="dxa"/>
            <w:right w:w="0" w:type="dxa"/>
          </w:tblCellMar>
        </w:tblPrEx>
        <w:trPr>
          <w:cantSplit/>
          <w:trHeight w:val="375" w:hRule="atLeast"/>
        </w:trPr>
        <w:tc>
          <w:tcPr>
            <w:tcW w:w="7" w:type="dxa"/>
            <w:tcBorders>
              <w:top w:val="single" w:color="auto" w:sz="4" w:space="0"/>
              <w:left w:val="single" w:color="auto" w:sz="4" w:space="0"/>
              <w:bottom w:val="single" w:color="auto" w:sz="4" w:space="0"/>
              <w:right w:val="single" w:color="auto" w:sz="4" w:space="0"/>
            </w:tcBorders>
            <w:vAlign w:val="center"/>
          </w:tcPr>
          <w:p>
            <w:pPr>
              <w:spacing w:after="0" w:line="240" w:lineRule="auto"/>
              <w:jc w:val="center"/>
            </w:pPr>
            <w:r>
              <w:rPr>
                <w:rFonts w:ascii="宋体" w:hAnsi="宋体"/>
                <w:color w:val="000000"/>
                <w:kern w:val="0"/>
                <w:sz w:val="25"/>
                <w:szCs w:val="24"/>
              </w:rPr>
              <w:t>2016年度</w:t>
            </w:r>
          </w:p>
        </w:tc>
        <w:tc>
          <w:tcPr>
            <w:tcW w:w="7" w:type="dxa"/>
            <w:tcBorders>
              <w:top w:val="single" w:color="auto" w:sz="4" w:space="0"/>
              <w:left w:val="single" w:color="auto" w:sz="4" w:space="0"/>
              <w:bottom w:val="single" w:color="auto" w:sz="4" w:space="0"/>
              <w:right w:val="single" w:color="auto" w:sz="4" w:space="0"/>
            </w:tcBorders>
            <w:vAlign w:val="center"/>
          </w:tcPr>
          <w:p>
            <w:pPr>
              <w:spacing w:after="0" w:line="240" w:lineRule="auto"/>
              <w:jc w:val="center"/>
            </w:pPr>
            <w:r>
              <w:rPr>
                <w:rFonts w:ascii="宋体" w:hAnsi="宋体"/>
                <w:color w:val="000000"/>
                <w:kern w:val="0"/>
                <w:sz w:val="25"/>
                <w:szCs w:val="24"/>
              </w:rPr>
              <w:t>0.05%</w:t>
            </w:r>
          </w:p>
        </w:tc>
        <w:tc>
          <w:tcPr>
            <w:tcW w:w="7" w:type="dxa"/>
            <w:tcBorders>
              <w:top w:val="single" w:color="auto" w:sz="4" w:space="0"/>
              <w:left w:val="single" w:color="auto" w:sz="4" w:space="0"/>
              <w:bottom w:val="single" w:color="auto" w:sz="4" w:space="0"/>
              <w:right w:val="single" w:color="auto" w:sz="4" w:space="0"/>
            </w:tcBorders>
            <w:vAlign w:val="center"/>
          </w:tcPr>
          <w:p>
            <w:pPr>
              <w:spacing w:after="0" w:line="240" w:lineRule="auto"/>
              <w:jc w:val="center"/>
            </w:pPr>
            <w:r>
              <w:rPr>
                <w:rFonts w:ascii="宋体" w:hAnsi="宋体"/>
                <w:color w:val="000000"/>
                <w:kern w:val="0"/>
                <w:sz w:val="25"/>
                <w:szCs w:val="24"/>
              </w:rPr>
              <w:t>1.29%</w:t>
            </w:r>
          </w:p>
        </w:tc>
        <w:tc>
          <w:tcPr>
            <w:tcW w:w="7" w:type="dxa"/>
            <w:tcBorders>
              <w:top w:val="single" w:color="auto" w:sz="4" w:space="0"/>
              <w:left w:val="single" w:color="auto" w:sz="4" w:space="0"/>
              <w:bottom w:val="single" w:color="auto" w:sz="4" w:space="0"/>
              <w:right w:val="single" w:color="auto" w:sz="4" w:space="0"/>
            </w:tcBorders>
            <w:vAlign w:val="center"/>
          </w:tcPr>
          <w:p>
            <w:pPr>
              <w:spacing w:after="0" w:line="240" w:lineRule="auto"/>
              <w:jc w:val="center"/>
            </w:pPr>
            <w:r>
              <w:rPr>
                <w:rFonts w:ascii="宋体" w:hAnsi="宋体"/>
                <w:color w:val="000000"/>
                <w:kern w:val="0"/>
                <w:sz w:val="25"/>
                <w:szCs w:val="24"/>
              </w:rPr>
              <w:t>-4.08%</w:t>
            </w:r>
          </w:p>
        </w:tc>
        <w:tc>
          <w:tcPr>
            <w:tcW w:w="7" w:type="dxa"/>
            <w:tcBorders>
              <w:top w:val="single" w:color="auto" w:sz="4" w:space="0"/>
              <w:left w:val="single" w:color="auto" w:sz="4" w:space="0"/>
              <w:bottom w:val="single" w:color="auto" w:sz="4" w:space="0"/>
              <w:right w:val="single" w:color="auto" w:sz="4" w:space="0"/>
            </w:tcBorders>
            <w:vAlign w:val="center"/>
          </w:tcPr>
          <w:p>
            <w:pPr>
              <w:spacing w:after="0" w:line="240" w:lineRule="auto"/>
              <w:jc w:val="center"/>
            </w:pPr>
            <w:r>
              <w:rPr>
                <w:rFonts w:ascii="宋体" w:hAnsi="宋体"/>
                <w:color w:val="000000"/>
                <w:kern w:val="0"/>
                <w:sz w:val="25"/>
                <w:szCs w:val="24"/>
              </w:rPr>
              <w:t>0.72%</w:t>
            </w:r>
          </w:p>
        </w:tc>
        <w:tc>
          <w:tcPr>
            <w:tcW w:w="7" w:type="dxa"/>
            <w:tcBorders>
              <w:top w:val="single" w:color="auto" w:sz="4" w:space="0"/>
              <w:left w:val="single" w:color="auto" w:sz="4" w:space="0"/>
              <w:bottom w:val="single" w:color="auto" w:sz="4" w:space="0"/>
              <w:right w:val="single" w:color="auto" w:sz="4" w:space="0"/>
            </w:tcBorders>
            <w:vAlign w:val="center"/>
          </w:tcPr>
          <w:p>
            <w:pPr>
              <w:spacing w:after="0" w:line="240" w:lineRule="auto"/>
              <w:jc w:val="center"/>
            </w:pPr>
            <w:r>
              <w:rPr>
                <w:rFonts w:ascii="宋体" w:hAnsi="宋体"/>
                <w:color w:val="000000"/>
                <w:kern w:val="0"/>
                <w:sz w:val="25"/>
                <w:szCs w:val="24"/>
              </w:rPr>
              <w:t>4.13%</w:t>
            </w:r>
          </w:p>
        </w:tc>
        <w:tc>
          <w:tcPr>
            <w:tcW w:w="7" w:type="dxa"/>
            <w:tcBorders>
              <w:top w:val="single" w:color="auto" w:sz="4" w:space="0"/>
              <w:left w:val="single" w:color="auto" w:sz="4" w:space="0"/>
              <w:bottom w:val="single" w:color="auto" w:sz="4" w:space="0"/>
              <w:right w:val="single" w:color="auto" w:sz="4" w:space="0"/>
            </w:tcBorders>
            <w:vAlign w:val="center"/>
          </w:tcPr>
          <w:p>
            <w:pPr>
              <w:spacing w:after="0" w:line="240" w:lineRule="auto"/>
              <w:jc w:val="center"/>
            </w:pPr>
            <w:r>
              <w:rPr>
                <w:rFonts w:ascii="宋体" w:hAnsi="宋体"/>
                <w:color w:val="000000"/>
                <w:kern w:val="0"/>
                <w:sz w:val="25"/>
                <w:szCs w:val="24"/>
              </w:rPr>
              <w:t>0.57%</w:t>
            </w:r>
          </w:p>
        </w:tc>
      </w:tr>
      <w:tr>
        <w:tblPrEx>
          <w:tblCellMar>
            <w:top w:w="0" w:type="dxa"/>
            <w:left w:w="0" w:type="dxa"/>
            <w:bottom w:w="0" w:type="dxa"/>
            <w:right w:w="0" w:type="dxa"/>
          </w:tblCellMar>
        </w:tblPrEx>
        <w:trPr>
          <w:cantSplit/>
          <w:trHeight w:val="375" w:hRule="atLeast"/>
        </w:trPr>
        <w:tc>
          <w:tcPr>
            <w:tcW w:w="7" w:type="dxa"/>
            <w:tcBorders>
              <w:top w:val="single" w:color="auto" w:sz="4" w:space="0"/>
              <w:left w:val="single" w:color="auto" w:sz="4" w:space="0"/>
              <w:bottom w:val="single" w:color="auto" w:sz="4" w:space="0"/>
              <w:right w:val="single" w:color="auto" w:sz="4" w:space="0"/>
            </w:tcBorders>
            <w:vAlign w:val="center"/>
          </w:tcPr>
          <w:p>
            <w:pPr>
              <w:spacing w:after="0" w:line="240" w:lineRule="auto"/>
              <w:jc w:val="center"/>
            </w:pPr>
            <w:r>
              <w:rPr>
                <w:rFonts w:ascii="宋体" w:hAnsi="宋体"/>
                <w:color w:val="000000"/>
                <w:kern w:val="0"/>
                <w:sz w:val="25"/>
                <w:szCs w:val="24"/>
              </w:rPr>
              <w:t>2015年度</w:t>
            </w:r>
          </w:p>
        </w:tc>
        <w:tc>
          <w:tcPr>
            <w:tcW w:w="7" w:type="dxa"/>
            <w:tcBorders>
              <w:top w:val="single" w:color="auto" w:sz="4" w:space="0"/>
              <w:left w:val="single" w:color="auto" w:sz="4" w:space="0"/>
              <w:bottom w:val="single" w:color="auto" w:sz="4" w:space="0"/>
              <w:right w:val="single" w:color="auto" w:sz="4" w:space="0"/>
            </w:tcBorders>
            <w:vAlign w:val="center"/>
          </w:tcPr>
          <w:p>
            <w:pPr>
              <w:spacing w:after="0" w:line="240" w:lineRule="auto"/>
              <w:jc w:val="center"/>
            </w:pPr>
            <w:r>
              <w:rPr>
                <w:rFonts w:ascii="宋体" w:hAnsi="宋体"/>
                <w:color w:val="000000"/>
                <w:kern w:val="0"/>
                <w:sz w:val="25"/>
                <w:szCs w:val="24"/>
              </w:rPr>
              <w:t>59.94%</w:t>
            </w:r>
          </w:p>
        </w:tc>
        <w:tc>
          <w:tcPr>
            <w:tcW w:w="7" w:type="dxa"/>
            <w:tcBorders>
              <w:top w:val="single" w:color="auto" w:sz="4" w:space="0"/>
              <w:left w:val="single" w:color="auto" w:sz="4" w:space="0"/>
              <w:bottom w:val="single" w:color="auto" w:sz="4" w:space="0"/>
              <w:right w:val="single" w:color="auto" w:sz="4" w:space="0"/>
            </w:tcBorders>
            <w:vAlign w:val="center"/>
          </w:tcPr>
          <w:p>
            <w:pPr>
              <w:spacing w:after="0" w:line="240" w:lineRule="auto"/>
              <w:jc w:val="center"/>
            </w:pPr>
            <w:r>
              <w:rPr>
                <w:rFonts w:ascii="宋体" w:hAnsi="宋体"/>
                <w:color w:val="000000"/>
                <w:kern w:val="0"/>
                <w:sz w:val="25"/>
                <w:szCs w:val="24"/>
              </w:rPr>
              <w:t>2.08%</w:t>
            </w:r>
          </w:p>
        </w:tc>
        <w:tc>
          <w:tcPr>
            <w:tcW w:w="7" w:type="dxa"/>
            <w:tcBorders>
              <w:top w:val="single" w:color="auto" w:sz="4" w:space="0"/>
              <w:left w:val="single" w:color="auto" w:sz="4" w:space="0"/>
              <w:bottom w:val="single" w:color="auto" w:sz="4" w:space="0"/>
              <w:right w:val="single" w:color="auto" w:sz="4" w:space="0"/>
            </w:tcBorders>
            <w:vAlign w:val="center"/>
          </w:tcPr>
          <w:p>
            <w:pPr>
              <w:spacing w:after="0" w:line="240" w:lineRule="auto"/>
              <w:jc w:val="center"/>
            </w:pPr>
            <w:r>
              <w:rPr>
                <w:rFonts w:ascii="宋体" w:hAnsi="宋体"/>
                <w:color w:val="000000"/>
                <w:kern w:val="0"/>
                <w:sz w:val="25"/>
                <w:szCs w:val="24"/>
              </w:rPr>
              <w:t>17.50%</w:t>
            </w:r>
          </w:p>
        </w:tc>
        <w:tc>
          <w:tcPr>
            <w:tcW w:w="7" w:type="dxa"/>
            <w:tcBorders>
              <w:top w:val="single" w:color="auto" w:sz="4" w:space="0"/>
              <w:left w:val="single" w:color="auto" w:sz="4" w:space="0"/>
              <w:bottom w:val="single" w:color="auto" w:sz="4" w:space="0"/>
              <w:right w:val="single" w:color="auto" w:sz="4" w:space="0"/>
            </w:tcBorders>
            <w:vAlign w:val="center"/>
          </w:tcPr>
          <w:p>
            <w:pPr>
              <w:spacing w:after="0" w:line="240" w:lineRule="auto"/>
              <w:jc w:val="center"/>
            </w:pPr>
            <w:r>
              <w:rPr>
                <w:rFonts w:ascii="宋体" w:hAnsi="宋体"/>
                <w:color w:val="000000"/>
                <w:kern w:val="0"/>
                <w:sz w:val="25"/>
                <w:szCs w:val="24"/>
              </w:rPr>
              <w:t>1.32%</w:t>
            </w:r>
          </w:p>
        </w:tc>
        <w:tc>
          <w:tcPr>
            <w:tcW w:w="7" w:type="dxa"/>
            <w:tcBorders>
              <w:top w:val="single" w:color="auto" w:sz="4" w:space="0"/>
              <w:left w:val="single" w:color="auto" w:sz="4" w:space="0"/>
              <w:bottom w:val="single" w:color="auto" w:sz="4" w:space="0"/>
              <w:right w:val="single" w:color="auto" w:sz="4" w:space="0"/>
            </w:tcBorders>
            <w:vAlign w:val="center"/>
          </w:tcPr>
          <w:p>
            <w:pPr>
              <w:spacing w:after="0" w:line="240" w:lineRule="auto"/>
              <w:jc w:val="center"/>
            </w:pPr>
            <w:r>
              <w:rPr>
                <w:rFonts w:ascii="宋体" w:hAnsi="宋体"/>
                <w:color w:val="000000"/>
                <w:kern w:val="0"/>
                <w:sz w:val="25"/>
                <w:szCs w:val="24"/>
              </w:rPr>
              <w:t>42.44%</w:t>
            </w:r>
          </w:p>
        </w:tc>
        <w:tc>
          <w:tcPr>
            <w:tcW w:w="7" w:type="dxa"/>
            <w:tcBorders>
              <w:top w:val="single" w:color="auto" w:sz="4" w:space="0"/>
              <w:left w:val="single" w:color="auto" w:sz="4" w:space="0"/>
              <w:bottom w:val="single" w:color="auto" w:sz="4" w:space="0"/>
              <w:right w:val="single" w:color="auto" w:sz="4" w:space="0"/>
            </w:tcBorders>
            <w:vAlign w:val="center"/>
          </w:tcPr>
          <w:p>
            <w:pPr>
              <w:spacing w:after="0" w:line="240" w:lineRule="auto"/>
              <w:jc w:val="center"/>
            </w:pPr>
            <w:r>
              <w:rPr>
                <w:rFonts w:ascii="宋体" w:hAnsi="宋体"/>
                <w:color w:val="000000"/>
                <w:kern w:val="0"/>
                <w:sz w:val="25"/>
                <w:szCs w:val="24"/>
              </w:rPr>
              <w:t>0.76%</w:t>
            </w:r>
          </w:p>
        </w:tc>
      </w:tr>
      <w:tr>
        <w:tblPrEx>
          <w:tblCellMar>
            <w:top w:w="0" w:type="dxa"/>
            <w:left w:w="0" w:type="dxa"/>
            <w:bottom w:w="0" w:type="dxa"/>
            <w:right w:w="0" w:type="dxa"/>
          </w:tblCellMar>
        </w:tblPrEx>
        <w:trPr>
          <w:cantSplit/>
          <w:trHeight w:val="375" w:hRule="atLeast"/>
        </w:trPr>
        <w:tc>
          <w:tcPr>
            <w:tcW w:w="7" w:type="dxa"/>
            <w:tcBorders>
              <w:top w:val="single" w:color="auto" w:sz="4" w:space="0"/>
              <w:left w:val="single" w:color="auto" w:sz="4" w:space="0"/>
              <w:bottom w:val="single" w:color="auto" w:sz="4" w:space="0"/>
              <w:right w:val="single" w:color="auto" w:sz="4" w:space="0"/>
            </w:tcBorders>
            <w:vAlign w:val="center"/>
          </w:tcPr>
          <w:p>
            <w:pPr>
              <w:spacing w:after="0" w:line="240" w:lineRule="auto"/>
              <w:jc w:val="center"/>
            </w:pPr>
            <w:r>
              <w:rPr>
                <w:rFonts w:ascii="宋体" w:hAnsi="宋体"/>
                <w:color w:val="000000"/>
                <w:kern w:val="0"/>
                <w:sz w:val="25"/>
                <w:szCs w:val="24"/>
              </w:rPr>
              <w:t>2014年度</w:t>
            </w:r>
          </w:p>
        </w:tc>
        <w:tc>
          <w:tcPr>
            <w:tcW w:w="7" w:type="dxa"/>
            <w:tcBorders>
              <w:top w:val="single" w:color="auto" w:sz="4" w:space="0"/>
              <w:left w:val="single" w:color="auto" w:sz="4" w:space="0"/>
              <w:bottom w:val="single" w:color="auto" w:sz="4" w:space="0"/>
              <w:right w:val="single" w:color="auto" w:sz="4" w:space="0"/>
            </w:tcBorders>
            <w:vAlign w:val="center"/>
          </w:tcPr>
          <w:p>
            <w:pPr>
              <w:spacing w:after="0" w:line="240" w:lineRule="auto"/>
              <w:jc w:val="center"/>
            </w:pPr>
            <w:r>
              <w:rPr>
                <w:rFonts w:ascii="宋体" w:hAnsi="宋体"/>
                <w:color w:val="000000"/>
                <w:kern w:val="0"/>
                <w:sz w:val="25"/>
                <w:szCs w:val="24"/>
              </w:rPr>
              <w:t>28.13%</w:t>
            </w:r>
          </w:p>
        </w:tc>
        <w:tc>
          <w:tcPr>
            <w:tcW w:w="7" w:type="dxa"/>
            <w:tcBorders>
              <w:top w:val="single" w:color="auto" w:sz="4" w:space="0"/>
              <w:left w:val="single" w:color="auto" w:sz="4" w:space="0"/>
              <w:bottom w:val="single" w:color="auto" w:sz="4" w:space="0"/>
              <w:right w:val="single" w:color="auto" w:sz="4" w:space="0"/>
            </w:tcBorders>
            <w:vAlign w:val="center"/>
          </w:tcPr>
          <w:p>
            <w:pPr>
              <w:spacing w:after="0" w:line="240" w:lineRule="auto"/>
              <w:jc w:val="center"/>
            </w:pPr>
            <w:r>
              <w:rPr>
                <w:rFonts w:ascii="宋体" w:hAnsi="宋体"/>
                <w:color w:val="000000"/>
                <w:kern w:val="0"/>
                <w:sz w:val="25"/>
                <w:szCs w:val="24"/>
              </w:rPr>
              <w:t>0.85%</w:t>
            </w:r>
          </w:p>
        </w:tc>
        <w:tc>
          <w:tcPr>
            <w:tcW w:w="7" w:type="dxa"/>
            <w:tcBorders>
              <w:top w:val="single" w:color="auto" w:sz="4" w:space="0"/>
              <w:left w:val="single" w:color="auto" w:sz="4" w:space="0"/>
              <w:bottom w:val="single" w:color="auto" w:sz="4" w:space="0"/>
              <w:right w:val="single" w:color="auto" w:sz="4" w:space="0"/>
            </w:tcBorders>
            <w:vAlign w:val="center"/>
          </w:tcPr>
          <w:p>
            <w:pPr>
              <w:spacing w:after="0" w:line="240" w:lineRule="auto"/>
              <w:jc w:val="center"/>
            </w:pPr>
            <w:r>
              <w:rPr>
                <w:rFonts w:ascii="宋体" w:hAnsi="宋体"/>
                <w:color w:val="000000"/>
                <w:kern w:val="0"/>
                <w:sz w:val="25"/>
                <w:szCs w:val="24"/>
              </w:rPr>
              <w:t>27.64%</w:t>
            </w:r>
          </w:p>
        </w:tc>
        <w:tc>
          <w:tcPr>
            <w:tcW w:w="7" w:type="dxa"/>
            <w:tcBorders>
              <w:top w:val="single" w:color="auto" w:sz="4" w:space="0"/>
              <w:left w:val="single" w:color="auto" w:sz="4" w:space="0"/>
              <w:bottom w:val="single" w:color="auto" w:sz="4" w:space="0"/>
              <w:right w:val="single" w:color="auto" w:sz="4" w:space="0"/>
            </w:tcBorders>
            <w:vAlign w:val="center"/>
          </w:tcPr>
          <w:p>
            <w:pPr>
              <w:spacing w:after="0" w:line="240" w:lineRule="auto"/>
              <w:jc w:val="center"/>
            </w:pPr>
            <w:r>
              <w:rPr>
                <w:rFonts w:ascii="宋体" w:hAnsi="宋体"/>
                <w:color w:val="000000"/>
                <w:kern w:val="0"/>
                <w:sz w:val="25"/>
                <w:szCs w:val="24"/>
              </w:rPr>
              <w:t>0.57%</w:t>
            </w:r>
          </w:p>
        </w:tc>
        <w:tc>
          <w:tcPr>
            <w:tcW w:w="7" w:type="dxa"/>
            <w:tcBorders>
              <w:top w:val="single" w:color="auto" w:sz="4" w:space="0"/>
              <w:left w:val="single" w:color="auto" w:sz="4" w:space="0"/>
              <w:bottom w:val="single" w:color="auto" w:sz="4" w:space="0"/>
              <w:right w:val="single" w:color="auto" w:sz="4" w:space="0"/>
            </w:tcBorders>
            <w:vAlign w:val="center"/>
          </w:tcPr>
          <w:p>
            <w:pPr>
              <w:spacing w:after="0" w:line="240" w:lineRule="auto"/>
              <w:jc w:val="center"/>
            </w:pPr>
            <w:r>
              <w:rPr>
                <w:rFonts w:ascii="宋体" w:hAnsi="宋体"/>
                <w:color w:val="000000"/>
                <w:kern w:val="0"/>
                <w:sz w:val="25"/>
                <w:szCs w:val="24"/>
              </w:rPr>
              <w:t>0.49%</w:t>
            </w:r>
          </w:p>
        </w:tc>
        <w:tc>
          <w:tcPr>
            <w:tcW w:w="7" w:type="dxa"/>
            <w:tcBorders>
              <w:top w:val="single" w:color="auto" w:sz="4" w:space="0"/>
              <w:left w:val="single" w:color="auto" w:sz="4" w:space="0"/>
              <w:bottom w:val="single" w:color="auto" w:sz="4" w:space="0"/>
              <w:right w:val="single" w:color="auto" w:sz="4" w:space="0"/>
            </w:tcBorders>
            <w:vAlign w:val="center"/>
          </w:tcPr>
          <w:p>
            <w:pPr>
              <w:spacing w:after="0" w:line="240" w:lineRule="auto"/>
              <w:jc w:val="center"/>
            </w:pPr>
            <w:r>
              <w:rPr>
                <w:rFonts w:ascii="宋体" w:hAnsi="宋体"/>
                <w:color w:val="000000"/>
                <w:kern w:val="0"/>
                <w:sz w:val="25"/>
                <w:szCs w:val="24"/>
              </w:rPr>
              <w:t>0.28%</w:t>
            </w:r>
          </w:p>
        </w:tc>
      </w:tr>
      <w:tr>
        <w:tblPrEx>
          <w:tblCellMar>
            <w:top w:w="0" w:type="dxa"/>
            <w:left w:w="0" w:type="dxa"/>
            <w:bottom w:w="0" w:type="dxa"/>
            <w:right w:w="0" w:type="dxa"/>
          </w:tblCellMar>
        </w:tblPrEx>
        <w:trPr>
          <w:cantSplit/>
          <w:trHeight w:val="375" w:hRule="atLeast"/>
        </w:trPr>
        <w:tc>
          <w:tcPr>
            <w:tcW w:w="7" w:type="dxa"/>
            <w:tcBorders>
              <w:top w:val="single" w:color="auto" w:sz="4" w:space="0"/>
              <w:left w:val="single" w:color="auto" w:sz="4" w:space="0"/>
              <w:bottom w:val="single" w:color="auto" w:sz="4" w:space="0"/>
              <w:right w:val="single" w:color="auto" w:sz="4" w:space="0"/>
            </w:tcBorders>
            <w:vAlign w:val="center"/>
          </w:tcPr>
          <w:p>
            <w:pPr>
              <w:spacing w:after="0" w:line="240" w:lineRule="auto"/>
              <w:jc w:val="center"/>
            </w:pPr>
            <w:r>
              <w:rPr>
                <w:rFonts w:ascii="宋体" w:hAnsi="宋体"/>
                <w:color w:val="000000"/>
                <w:kern w:val="0"/>
                <w:sz w:val="25"/>
                <w:szCs w:val="24"/>
              </w:rPr>
              <w:t>2013年度（自基金合同生效起至2013年12月31日）</w:t>
            </w:r>
          </w:p>
        </w:tc>
        <w:tc>
          <w:tcPr>
            <w:tcW w:w="7" w:type="dxa"/>
            <w:tcBorders>
              <w:top w:val="single" w:color="auto" w:sz="4" w:space="0"/>
              <w:left w:val="single" w:color="auto" w:sz="4" w:space="0"/>
              <w:bottom w:val="single" w:color="auto" w:sz="4" w:space="0"/>
              <w:right w:val="single" w:color="auto" w:sz="4" w:space="0"/>
            </w:tcBorders>
            <w:vAlign w:val="center"/>
          </w:tcPr>
          <w:p>
            <w:pPr>
              <w:spacing w:after="0" w:line="240" w:lineRule="auto"/>
              <w:jc w:val="center"/>
            </w:pPr>
            <w:r>
              <w:rPr>
                <w:rFonts w:ascii="宋体" w:hAnsi="宋体"/>
                <w:color w:val="000000"/>
                <w:kern w:val="0"/>
                <w:sz w:val="25"/>
                <w:szCs w:val="24"/>
              </w:rPr>
              <w:t>1.30%</w:t>
            </w:r>
          </w:p>
        </w:tc>
        <w:tc>
          <w:tcPr>
            <w:tcW w:w="7" w:type="dxa"/>
            <w:tcBorders>
              <w:top w:val="single" w:color="auto" w:sz="4" w:space="0"/>
              <w:left w:val="single" w:color="auto" w:sz="4" w:space="0"/>
              <w:bottom w:val="single" w:color="auto" w:sz="4" w:space="0"/>
              <w:right w:val="single" w:color="auto" w:sz="4" w:space="0"/>
            </w:tcBorders>
            <w:vAlign w:val="center"/>
          </w:tcPr>
          <w:p>
            <w:pPr>
              <w:spacing w:after="0" w:line="240" w:lineRule="auto"/>
              <w:jc w:val="center"/>
            </w:pPr>
            <w:r>
              <w:rPr>
                <w:rFonts w:ascii="宋体" w:hAnsi="宋体"/>
                <w:color w:val="000000"/>
                <w:kern w:val="0"/>
                <w:sz w:val="25"/>
                <w:szCs w:val="24"/>
              </w:rPr>
              <w:t>0.13%</w:t>
            </w:r>
          </w:p>
        </w:tc>
        <w:tc>
          <w:tcPr>
            <w:tcW w:w="7" w:type="dxa"/>
            <w:tcBorders>
              <w:top w:val="single" w:color="auto" w:sz="4" w:space="0"/>
              <w:left w:val="single" w:color="auto" w:sz="4" w:space="0"/>
              <w:bottom w:val="single" w:color="auto" w:sz="4" w:space="0"/>
              <w:right w:val="single" w:color="auto" w:sz="4" w:space="0"/>
            </w:tcBorders>
            <w:vAlign w:val="center"/>
          </w:tcPr>
          <w:p>
            <w:pPr>
              <w:spacing w:after="0" w:line="240" w:lineRule="auto"/>
              <w:jc w:val="center"/>
            </w:pPr>
            <w:r>
              <w:rPr>
                <w:rFonts w:ascii="宋体" w:hAnsi="宋体"/>
                <w:color w:val="000000"/>
                <w:kern w:val="0"/>
                <w:sz w:val="25"/>
                <w:szCs w:val="24"/>
              </w:rPr>
              <w:t>-2.15%</w:t>
            </w:r>
          </w:p>
        </w:tc>
        <w:tc>
          <w:tcPr>
            <w:tcW w:w="7" w:type="dxa"/>
            <w:tcBorders>
              <w:top w:val="single" w:color="auto" w:sz="4" w:space="0"/>
              <w:left w:val="single" w:color="auto" w:sz="4" w:space="0"/>
              <w:bottom w:val="single" w:color="auto" w:sz="4" w:space="0"/>
              <w:right w:val="single" w:color="auto" w:sz="4" w:space="0"/>
            </w:tcBorders>
            <w:vAlign w:val="center"/>
          </w:tcPr>
          <w:p>
            <w:pPr>
              <w:spacing w:after="0" w:line="240" w:lineRule="auto"/>
              <w:jc w:val="center"/>
            </w:pPr>
            <w:r>
              <w:rPr>
                <w:rFonts w:ascii="宋体" w:hAnsi="宋体"/>
                <w:color w:val="000000"/>
                <w:kern w:val="0"/>
                <w:sz w:val="25"/>
                <w:szCs w:val="24"/>
              </w:rPr>
              <w:t>0.63%</w:t>
            </w:r>
          </w:p>
        </w:tc>
        <w:tc>
          <w:tcPr>
            <w:tcW w:w="7" w:type="dxa"/>
            <w:tcBorders>
              <w:top w:val="single" w:color="auto" w:sz="4" w:space="0"/>
              <w:left w:val="single" w:color="auto" w:sz="4" w:space="0"/>
              <w:bottom w:val="single" w:color="auto" w:sz="4" w:space="0"/>
              <w:right w:val="single" w:color="auto" w:sz="4" w:space="0"/>
            </w:tcBorders>
            <w:vAlign w:val="center"/>
          </w:tcPr>
          <w:p>
            <w:pPr>
              <w:spacing w:after="0" w:line="240" w:lineRule="auto"/>
              <w:jc w:val="center"/>
            </w:pPr>
            <w:r>
              <w:rPr>
                <w:rFonts w:ascii="宋体" w:hAnsi="宋体"/>
                <w:color w:val="000000"/>
                <w:kern w:val="0"/>
                <w:sz w:val="25"/>
                <w:szCs w:val="24"/>
              </w:rPr>
              <w:t>3.45%</w:t>
            </w:r>
          </w:p>
        </w:tc>
        <w:tc>
          <w:tcPr>
            <w:tcW w:w="7" w:type="dxa"/>
            <w:tcBorders>
              <w:top w:val="single" w:color="auto" w:sz="4" w:space="0"/>
              <w:left w:val="single" w:color="auto" w:sz="4" w:space="0"/>
              <w:bottom w:val="single" w:color="auto" w:sz="4" w:space="0"/>
              <w:right w:val="single" w:color="auto" w:sz="4" w:space="0"/>
            </w:tcBorders>
            <w:vAlign w:val="center"/>
          </w:tcPr>
          <w:p>
            <w:pPr>
              <w:spacing w:after="0" w:line="240" w:lineRule="auto"/>
              <w:jc w:val="center"/>
            </w:pPr>
            <w:r>
              <w:rPr>
                <w:rFonts w:ascii="宋体" w:hAnsi="宋体"/>
                <w:color w:val="000000"/>
                <w:kern w:val="0"/>
                <w:sz w:val="25"/>
                <w:szCs w:val="24"/>
              </w:rPr>
              <w:t>-0.50%</w:t>
            </w:r>
          </w:p>
        </w:tc>
      </w:tr>
    </w:tbl>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注：本基金的业绩比较基准为50%×中证红利指数收益率+50%×中债综合全价指数收益率，每日进行再平衡过程。</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2、自基金合同生效以来基金份额累计净值增长率变动及其与同期业绩比较基准收益率变动的比较</w:t>
      </w:r>
    </w:p>
    <w:p>
      <w:pPr>
        <w:autoSpaceDE w:val="0"/>
        <w:autoSpaceDN w:val="0"/>
        <w:adjustRightInd w:val="0"/>
        <w:snapToGrid w:val="0"/>
        <w:spacing w:after="0" w:line="360" w:lineRule="auto"/>
        <w:ind w:firstLine="480" w:firstLineChars="200"/>
        <w:jc w:val="center"/>
        <w:rPr>
          <w:rFonts w:ascii="宋体" w:hAnsi="宋体"/>
          <w:szCs w:val="24"/>
        </w:rPr>
      </w:pPr>
      <w:r>
        <w:rPr>
          <w:rFonts w:hint="eastAsia" w:ascii="宋体" w:hAnsi="宋体"/>
          <w:kern w:val="0"/>
          <w:sz w:val="24"/>
        </w:rPr>
        <w:t>交银施罗德定期支付双息平衡混合型证券投资基金</w:t>
      </w:r>
    </w:p>
    <w:p>
      <w:pPr>
        <w:autoSpaceDE w:val="0"/>
        <w:autoSpaceDN w:val="0"/>
        <w:adjustRightInd w:val="0"/>
        <w:snapToGrid w:val="0"/>
        <w:spacing w:after="0" w:line="360" w:lineRule="auto"/>
        <w:ind w:firstLine="480" w:firstLineChars="200"/>
        <w:jc w:val="center"/>
        <w:rPr>
          <w:rFonts w:ascii="宋体" w:hAnsi="宋体"/>
          <w:szCs w:val="24"/>
        </w:rPr>
      </w:pPr>
      <w:r>
        <w:rPr>
          <w:rFonts w:hint="eastAsia" w:ascii="宋体" w:hAnsi="宋体"/>
          <w:kern w:val="0"/>
          <w:sz w:val="24"/>
        </w:rPr>
        <w:t>份额累计净值增长率与业绩比较基准收益率的历史走势对比图</w:t>
      </w:r>
    </w:p>
    <w:p>
      <w:pPr>
        <w:autoSpaceDE w:val="0"/>
        <w:autoSpaceDN w:val="0"/>
        <w:adjustRightInd w:val="0"/>
        <w:snapToGrid w:val="0"/>
        <w:spacing w:after="0" w:line="360" w:lineRule="auto"/>
        <w:ind w:firstLine="480" w:firstLineChars="200"/>
        <w:jc w:val="center"/>
        <w:rPr>
          <w:rFonts w:ascii="宋体" w:hAnsi="宋体"/>
          <w:szCs w:val="24"/>
        </w:rPr>
      </w:pPr>
      <w:r>
        <w:rPr>
          <w:rFonts w:hint="eastAsia" w:ascii="宋体" w:hAnsi="宋体"/>
          <w:kern w:val="0"/>
          <w:sz w:val="24"/>
        </w:rPr>
        <w:t>(2013年09月04日至2026年06月30日)</w:t>
      </w:r>
    </w:p>
    <w:p>
      <w:pPr>
        <w:autoSpaceDE w:val="0"/>
        <w:autoSpaceDN w:val="0"/>
        <w:adjustRightInd w:val="0"/>
        <w:snapToGrid w:val="0"/>
        <w:spacing w:after="0" w:line="360" w:lineRule="auto"/>
        <w:jc w:val="center"/>
        <w:rPr>
          <w:rFonts w:ascii="宋体" w:hAnsi="宋体"/>
          <w:szCs w:val="24"/>
        </w:rPr>
      </w:pPr>
      <w:r>
        <w:rPr>
          <w:rFonts w:ascii="宋体" w:hAnsi="宋体"/>
          <w:kern w:val="0"/>
          <w:sz w:val="24"/>
        </w:rPr>
        <w:pict>
          <v:shape id="_x0000_i1028" o:spt="75" type="#_x0000_t75" style="height:268.25pt;width:439.5pt;" filled="f" o:preferrelative="t" stroked="f" coordsize="21600,21600">
            <v:path/>
            <v:fill on="f" focussize="0,0"/>
            <v:stroke on="f" joinstyle="miter"/>
            <v:imagedata r:id="rId18" o:title=""/>
            <o:lock v:ext="edit" aspectratio="t"/>
            <w10:wrap type="none"/>
            <w10:anchorlock/>
          </v:shape>
        </w:pic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注：本基金建仓期为自基金合同生效日起的6个月。截至建仓期结束，本基金各项资产配置比例符合基金合同及招募说明书有关投资比例的约定。</w:t>
      </w:r>
    </w:p>
    <w:p>
      <w:pPr>
        <w:pStyle w:val="2"/>
        <w:snapToGrid w:val="0"/>
        <w:spacing w:before="240" w:beforeLines="0" w:after="0"/>
        <w:rPr>
          <w:rFonts w:ascii="宋体" w:hAnsi="宋体"/>
          <w:szCs w:val="30"/>
        </w:rPr>
      </w:pPr>
      <w:r>
        <w:br w:type="page"/>
      </w:r>
      <w:bookmarkStart w:id="28" w:name="_Toc256000040"/>
      <w:bookmarkStart w:id="29" w:name="_Toc256000013"/>
      <w:r>
        <w:rPr>
          <w:rFonts w:ascii="宋体" w:hAnsi="宋体"/>
          <w:sz w:val="30"/>
        </w:rPr>
        <w:t>十三、基金的财产</w:t>
      </w:r>
      <w:bookmarkEnd w:id="28"/>
      <w:bookmarkEnd w:id="29"/>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b/>
          <w:kern w:val="0"/>
          <w:sz w:val="24"/>
        </w:rPr>
        <w:t>（一）基金资产总值</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基金资产总值是指基金拥有的各类有价证券、银行存款本息、基金应收申购款及其他资产的价值总和。</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b/>
          <w:kern w:val="0"/>
          <w:sz w:val="24"/>
        </w:rPr>
        <w:t>（二）基金资产净值</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基金资产净值是指基金资产总值减去基金负债后的价值。</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b/>
          <w:kern w:val="0"/>
          <w:sz w:val="24"/>
        </w:rPr>
        <w:t>（三）基金财产的账户</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基金托管人根据相关法律法规、规范性文件为本基金开立资金账户、证券账户以及投资所需的其他专用账户。开立的基金专用账户与基金管理人、基金托管人、基金销售机构和基金登记机构自有的财产账户以及其他基金财产账户相独立。</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b/>
          <w:kern w:val="0"/>
          <w:sz w:val="24"/>
        </w:rPr>
        <w:t>（四）基金财产的保管和处分</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本基金财产独立于基金管理人、基金托管人和基金销售机构的财产，并由基金托管人保管。基金管理人、基金托管人、基金登记机构和基金销售机构以其自有的财产承担其自身的法律责任，其债权人不得对本基金财产行使请求冻结、扣押或其他权利。除依法律法规和基金合同的规定处分外，基金财产不得被处分。</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基金管理人、基金托管人因依法解散、被依法撤销或者被依法宣告破产等原因进行清算的，基金财产不属于其清算财产。基金管理人管理运作基金财产所产生的债权，不得与其固有资产产生的债务相互抵销；基金管理人管理运作不同基金的基金财产所产生的债权债务不得相互抵销。</w:t>
      </w:r>
    </w:p>
    <w:p>
      <w:pPr>
        <w:pStyle w:val="2"/>
        <w:snapToGrid w:val="0"/>
        <w:spacing w:before="240" w:beforeLines="0" w:after="0"/>
        <w:rPr>
          <w:rFonts w:ascii="宋体" w:hAnsi="宋体"/>
          <w:szCs w:val="30"/>
        </w:rPr>
      </w:pPr>
      <w:r>
        <w:br w:type="page"/>
      </w:r>
      <w:bookmarkStart w:id="30" w:name="_Toc256000041"/>
      <w:bookmarkStart w:id="31" w:name="_Toc256000014"/>
      <w:r>
        <w:rPr>
          <w:rFonts w:ascii="宋体" w:hAnsi="宋体"/>
          <w:sz w:val="30"/>
        </w:rPr>
        <w:t>十四、基金资产的估值</w:t>
      </w:r>
      <w:bookmarkEnd w:id="30"/>
      <w:bookmarkEnd w:id="31"/>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b/>
          <w:kern w:val="0"/>
          <w:sz w:val="24"/>
        </w:rPr>
        <w:t>（一）估值日</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本基金的估值日为本基金相关的证券交易场所的交易日以及国家法律法规规定需要对外披露基金净值的非交易日。</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b/>
          <w:kern w:val="0"/>
          <w:sz w:val="24"/>
        </w:rPr>
        <w:t>（二）估值对象</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基金所拥有的股票、权证、债券和银行存款本息、应收款项、其它投资等资产及负债。</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b/>
          <w:kern w:val="0"/>
          <w:sz w:val="24"/>
        </w:rPr>
        <w:t>（三）估值方法</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1、证券交易所上市的有价证券的估值</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1）交易所上市的有价证券（包括股票、权证等），以其估值日在证券交易所挂牌的市价（收盘价）估值；估值日无交易的，且最近交易日后经济环境未发生重大变化或证券发行机构未发生影响证券价格的重大事件的，以最近交易日的市价（收盘价）估值；如最近交易日后经济环境发生了重大变化或证券发行机构发生影响证券价格的重大事件的，可参考类似投资品种的现行市价及重大变化因素，调整最近交易市价，确定公允价格；</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（2）交易所市场上市交易或挂牌转让的固定收益品种（另有规定的除外），选取第三方估值机构提供的相应品种当日的估值净价进行估值；</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3）交易所上市未实行净价交易的债券按估值日收盘价减去债券收盘价中所含的债券应收利息得到的净价进行估值；估值日没有交易的，且最近交易日后经济环境未发生重大变化，按最近交易日债券收盘价减去债券收盘价中所含的债券应收利息得到的净价进行估值。如最近交易日后经济环境发生了重大变化的，可参考类似投资品种的现行市价及重大变化因素，调整最近交易市价，确定公允价格；</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（4）交易所上市不存在活跃市场的有价证券，采用估值技术确定公允价值。交易所上市的资产支持证券，采用估值技术确定公允价值，在估值技术难以可靠计量公允价值的情况下，按成本估值。</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2、处于未上市期间的有价证券应区分如下情况处理：</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（1）送股、转增股、配股和公开增发的新股，按估值日在证券交易所挂牌的同一股票的估值方法估值；</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（2）首次公开发行未上市的股票、债券和权证，采用估值技术确定公允价值，在估值技术难以可靠计量公允价值的情况下，按成本估值；</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（3）首次公开发行有明确锁定期的股票，同一股票在交易所上市后，按交易所上市的同一股票的估值方法估值；非公开发行有明确锁定期的股票，按监管机构或行业协会有关规定确定公允价值。</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3、全国银行间债券市场交易的债券、资产支持证券等固定收益品种，采用估值技术确定公允价值。</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4、同一债券同时在两个或两个以上市场交易的，按债券所处的市场分别估值。</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5、如有确凿证据表明按上述方法进行估值不能客观反映其公允价值的，基金管理人可根据具体情况与基金托管人商定后，按最能反映公允价值的价格估值。</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6、本基金投资存托凭证的估值核算依照境内上市交易的股票执行。</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7、相关法律法规以及监管部门有强制规定的，从其规定。如有新增事项，按国家最新规定估值。</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如基金管理人或基金托管人发现基金估值违反基金合同订明的估值方法、程序及相关法律法规的规定或者未能充分维护基金份额持有人利益时，应立即通知对方，共同查明原因，双方协商解决。</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根据有关法律法规，基金资产净值计算和基金会计核算的义务由基金管理人承担。本基金的基金会计责任方由基金管理人担任，因此，就与本基金有关的会计问题，如经相关各方在平等基础上充分讨论后，仍无法达成一致的意见，按照基金管理人对基金资产净值的计算结果对外予以公布。</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b/>
          <w:kern w:val="0"/>
          <w:sz w:val="24"/>
        </w:rPr>
        <w:t>（四）估值程序</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1、基金份额净值是按照每个工作日闭市后，基金资产净值除以当日基金份额的余额数量计算，精确到0.001元，小数点后第四位四舍五入。国家另有规定的，从其规定。</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每个工作日计算基金资产净值及基金份额净值，并按规定公告。</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2、基金管理人应每个估值日对基金资产估值，但基金管理人根据法律法规或本基金合同的规定暂停估值时除外。基金管理人每个估值日对基金资产估值后，将基金份额净值结果发送基金托管人，经基金托管人复核无误后，由基金管理人依据基金合同和相关法律法规的规定对外公布。</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b/>
          <w:kern w:val="0"/>
          <w:sz w:val="24"/>
        </w:rPr>
        <w:t>（五）估值错误的处理</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基金管理人和基金托管人将采取必要、适当、合理的措施确保基金资产估值的准确性、及时性。当基金份额净值小数点后第3位以内（含第3位）发生估值错误时，视为基金份额净值错误。</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本基金基金合同的当事人应按照以下约定处理：</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1、估值错误类型</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本基金运作过程中，如果由于基金管理人或基金托管人、或登记机构、或销售机构、或投资人自身的过错造成估值错误，导致其他当事人遭受损失的，过错的责任人应当对由于该估值错误遭受损失当事人（“受损方”）的直接损失按下述“估值错误处理原则”给予赔偿，承担赔偿责任。</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上述估值错误的主要类型包括但不限于：资料申报差错、数据传输差错、数据计算差错、系统故障差错、下达指令差错等。</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对于因技术原因引起的估值错误，若系同行业现有技术水平无法预见、无法避免、无法抗拒，则属不可抗力，按照下述规定执行。</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由于不可抗力原因造成投资人的交易资料灭失或被错误处理或造成其他错误等，因不可抗力原因出现估值错误的当事人不对其他当事人承担赔偿责任，但因该估值错误取得不当得利的当事人仍应负有返还不当得利的义务。</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2、估值错误处理原则</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1）估值错误已发生，但尚未给当事人造成损失时，估值错误责任方应及时协调各方，及时进行更正，因更正估值错误发生的费用由估值错误责任方承担；由于估值错误责任方未及时更正已产生的估值错误，给当事人造成损失的，由估值错误责任方对直接损失承担赔偿责任；若估值错误责任方已经积极协调，并且有协助义务的当事人有足够的时间进行更正而未更正，则其应当承担相应赔偿责任。估值错误责任方应对更正的情况向有关当事人进行确认，确保估值错误已得到更正。</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（2）估值错误的责任方对有关当事人的直接损失负责，不对间接损失负责，并且仅对估值错误的有关直接当事人负责，不对第三方负责。</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3）因估值错误而获得不当得利的当事人负有及时返还不当得利的义务。但估值错误责任方仍应对估值错误负责。如果由于获得不当得利的当事人不返还或不全部返还不当得利造成其他当事人的利益损失（“受损方”），则估值错误责任方应赔偿受损方的损失，并在其支付的赔偿金额的范围内对获得不当得利的当事人享有要求交付不当得利的权利；如果获得不当得利的当事人已经将此部分不当得利返还给受损方，则受损方应当将其已经获得的赔偿额加上已经获得的不当得利返还的总和超过其实际损失的差额部分支付给估值错误责任方。</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（4）估值错误调整采用尽量恢复至假设未发生估值错误的正确情形的方式。</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（5）按法律法规规定的其他原则处理估值错误。</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3、估值错误处理程序</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估值错误被发现后，有关的当事人应当及时进行处理，处理的程序如下：</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（1）查明估值错误发生的原因，列明所有的当事人，并根据估值错误发生的原因确定估值错误的责任方；</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（2）根据估值错误处理原则或当事人协商的方法对因估值错误造成的损失进行评估；</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（3）根据估值错误处理原则或当事人协商的方法由估值错误的责任方进行更正和赔偿损失；</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（4）根据估值错误处理的方法，需要修改基金登记机构交易数据的，由基金登记机构进行更正，并就估值错误的更正向有关当事人进行确认。</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4、基金份额净值估值错误处理的方法如下：</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（1）基金份额净值计算出现错误时，基金管理人应当立即予以纠正，通报基金托管人，并采取合理的措施防止损失进一步扩大。</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（2）错误偏差达到基金份额净值的0.25%时，基金管理人应当通报基金托管人并报中国证监会备案；错误偏差达到基金份额净值的0.5%时，基金管理人应当公告。</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（3）前述内容如法律法规或监管机关另有规定的，从其规定处理。</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b/>
          <w:kern w:val="0"/>
          <w:sz w:val="24"/>
        </w:rPr>
        <w:t>（六）暂停估值的情形</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1、基金投资所涉及的证券交易市场遇法定节假日或因其他原因暂停营业时；</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2、因不可抗力致使基金管理人、基金托管人无法准确评估基金资产价值时；</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3、占基金相当比例的投资品种的估值出现重大转变，而基金管理人为保障基金份额持有人的利益，已决定延迟估值；</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4、当前一估值日基金资产净值50%以上的资产出现无可参考的活跃市场价格且采用估值技术仍导致公允价值存在重大不确定性时，经与基金托管人协商确认后，基金管理人应当暂停估值；</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5、中国证监会和基金合同认定的其它情形。</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b/>
          <w:kern w:val="0"/>
          <w:sz w:val="24"/>
        </w:rPr>
        <w:t>（七）基金净值的确认</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用于基金信息披露的基金资产净值和基金份额净值由基金管理人负责计算，基金托管人负责进行复核。基金管理人应于每个开放日交易结束后计算当日的基金资产净值和基金份额净值并发送给基金托管人。基金托管人对净值计算结果复核确认后发送给基金管理人，由基金管理人对基金净值予以公布。</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b/>
          <w:kern w:val="0"/>
          <w:sz w:val="24"/>
        </w:rPr>
        <w:t>（八）特殊情况的处理</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1、基金管理人或基金托管人按估值方法的第5项进行估值时，所造成的误差不作为基金资产估值错误处理。</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2、由于不可抗力原因，或由于证券交易所及登记结算公司发送的数据错误，或国家会计政策变更、市场规则变更等，基金管理人和基金托管人虽然已经采取必要、适当、合理的措施进行检查，但未能发现错误的，由此造成的基金资产估值错误，基金管理人和基金托管人免除赔偿责任。但基金管理人、基金托管人应当积极采取必要的措施消除或减轻由此造成的影响。</w:t>
      </w:r>
    </w:p>
    <w:p>
      <w:pPr>
        <w:pStyle w:val="2"/>
        <w:snapToGrid w:val="0"/>
        <w:spacing w:before="240" w:beforeLines="0" w:after="0"/>
        <w:rPr>
          <w:rFonts w:ascii="宋体" w:hAnsi="宋体"/>
          <w:szCs w:val="30"/>
        </w:rPr>
      </w:pPr>
      <w:r>
        <w:br w:type="page"/>
      </w:r>
      <w:bookmarkStart w:id="32" w:name="_Toc256000015"/>
      <w:bookmarkStart w:id="33" w:name="_Toc256000042"/>
      <w:r>
        <w:rPr>
          <w:rFonts w:ascii="宋体" w:hAnsi="宋体"/>
          <w:sz w:val="30"/>
        </w:rPr>
        <w:t>十五、基金收益与分配</w:t>
      </w:r>
      <w:bookmarkEnd w:id="32"/>
      <w:bookmarkEnd w:id="33"/>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在存续期内，本基金按照基金合同的约定每月定期向基金份额持有人支付一定的现金，除上述定期支付外，本基金不另外进行收益分配。关于定期支付的相关规定见本招募说明书第十部分“基金的定期支付”。</w:t>
      </w:r>
    </w:p>
    <w:p>
      <w:pPr>
        <w:pStyle w:val="2"/>
        <w:snapToGrid w:val="0"/>
        <w:spacing w:before="240" w:beforeLines="0" w:after="0"/>
        <w:rPr>
          <w:rFonts w:ascii="宋体" w:hAnsi="宋体"/>
          <w:szCs w:val="30"/>
        </w:rPr>
      </w:pPr>
      <w:r>
        <w:br w:type="page"/>
      </w:r>
      <w:bookmarkStart w:id="34" w:name="_Toc256000043"/>
      <w:bookmarkStart w:id="35" w:name="_Toc256000016"/>
      <w:r>
        <w:rPr>
          <w:rFonts w:ascii="宋体" w:hAnsi="宋体"/>
          <w:sz w:val="30"/>
        </w:rPr>
        <w:t>十六、基金的费用与税收</w:t>
      </w:r>
      <w:bookmarkEnd w:id="34"/>
      <w:bookmarkEnd w:id="35"/>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b/>
          <w:kern w:val="0"/>
          <w:sz w:val="24"/>
        </w:rPr>
        <w:t>（一）基金费用的种类</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1、基金管理人的管理费；</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2、基金托管人的托管费；</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3、基金合同生效后与基金相关的信息披露费用；</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4、基金合同生效后与基金相关的会计师费、律师费和诉讼费；</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5、基金份额持有人大会费用；</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6、基金的证券交易费用；</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7、基金的银行汇划费用；</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8、基金的开户费用、账户维护费用；</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9、按照国家有关规定和基金合同约定，可以在基金财产中列支的其他费用。</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b/>
          <w:kern w:val="0"/>
          <w:sz w:val="24"/>
        </w:rPr>
        <w:t>（二）基金费用计提方法、计提标准和支付方式</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1、与基金运作有关的费用</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（1）基金管理人的管理费</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本基金的管理费按前一日基金资产净值的1.2%年费率计提。管理费的计算方法如下：</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H＝E×1.2%÷当年天数</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H为每日应计提的基金管理费</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E为前一日的基金资产净值</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基金管理费每日计算，逐日累计至每月月末，按月支付，由基金管理人向基金托管人发送基金管理费划款指令，基金托管人复核后于次月前3个工作日内从基金财产中一次性支付给基金管理人。若遇不可抗力致使无法按时支付的，支付日期顺延至最近可支付日支付。</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（2）基金托管人的托管费</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本基金的托管费按前一日基金资产净值的0.2%的年费率计提。托管费的计算方法如下：</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H＝E×0.2%÷当年天数</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H为每日应计提的基金托管费</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E为前一日的基金资产净值</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基金托管费每日计算，逐日累计至每月月末，按月支付，由基金管理人向基金托管人发送基金托管费划款指令，基金托管人复核后于次月前3个工作日内从基金财产中一次性支取。若遇不可抗力致使无法按时支付的，支付日期顺延至最近可支付日支付。</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2、与基金销售有关的费用</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（1）申购费</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本基金申购费的费率水平、计算公式和收取方式详见“基金份额的申购与赎回”一章。</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（2）赎回费</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本基金赎回费的费率水平、计算公式和收取方式详见“基金份额的申购与赎回”一章。</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（3）转换费</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本基金转换费的费率水平、计算公式和收取方式详见“基金的转换”一章。</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3、上述“（一）基金费用的种类”中第3－9项费用，根据有关法规及相应协议规定，按费用实际支出金额列入当期费用，由基金托管人从基金财产中支付。</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b/>
          <w:kern w:val="0"/>
          <w:sz w:val="24"/>
        </w:rPr>
        <w:t>（三）不列入基金费用的项目</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下列费用不列入基金费用：</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1、基金管理人和基金托管人因未履行或未完全履行义务导致的费用支出或基金财产的损失；</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2、基金管理人和基金托管人处理与基金运作无关的事项发生的费用；</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3、基金合同生效前的相关费用；</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4、其他根据相关法律法规及中国证监会的有关规定不得列入基金费用的项目。</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b/>
          <w:kern w:val="0"/>
          <w:sz w:val="24"/>
        </w:rPr>
        <w:t>（四）基金税收</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本基金运作过程中涉及的各纳税主体，其纳税义务按国家税收法律、法规执行。</w:t>
      </w:r>
    </w:p>
    <w:p>
      <w:pPr>
        <w:pStyle w:val="2"/>
        <w:snapToGrid w:val="0"/>
        <w:spacing w:before="240" w:beforeLines="0" w:after="0"/>
        <w:rPr>
          <w:rFonts w:ascii="宋体" w:hAnsi="宋体"/>
          <w:szCs w:val="30"/>
        </w:rPr>
      </w:pPr>
      <w:r>
        <w:br w:type="page"/>
      </w:r>
      <w:bookmarkStart w:id="36" w:name="_Toc256000017"/>
      <w:bookmarkStart w:id="37" w:name="_Toc256000044"/>
      <w:r>
        <w:rPr>
          <w:rFonts w:ascii="宋体" w:hAnsi="宋体"/>
          <w:sz w:val="30"/>
        </w:rPr>
        <w:t>十七、基金的会计与审计</w:t>
      </w:r>
      <w:bookmarkEnd w:id="36"/>
      <w:bookmarkEnd w:id="37"/>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b/>
          <w:kern w:val="0"/>
          <w:sz w:val="24"/>
        </w:rPr>
        <w:t>（一）基金会计政策</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1、基金管理人为本基金的基金会计责任方；</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2、基金的会计年度为公历年度的1月1日至12月31日；</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3、基金核算以人民币为记账本位币，以人民币元为记账单位；</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4、会计制度执行国家有关会计制度；</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5、本基金独立建账、独立核算；</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6、基金管理人及基金托管人各自保留完整的会计账目、凭证并进行日常的会计核算，按照有关规定编制基金会计报表；</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7、基金托管人每月与基金管理人就基金的会计核算、报表编制等进行核对并以书面方式确认。</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b/>
          <w:kern w:val="0"/>
          <w:sz w:val="24"/>
        </w:rPr>
        <w:t>（二）基金的年度审计</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1、基金管理人聘请与基金管理人、基金托管人相互独立的具有证券、期货相关业务资格的会计师事务所及其注册会计师对本基金的年度财务报表进行审计。</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2、会计师事务所更换经办注册会计师，应事先征得基金管理人同意。</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3、基金管理人认为有充足理由更换会计师事务所，须通报基金托管人。更换会计师事务所需按照《信息披露办法》的有关规定在指定媒介公告。</w:t>
      </w:r>
    </w:p>
    <w:p>
      <w:pPr>
        <w:pStyle w:val="2"/>
        <w:snapToGrid w:val="0"/>
        <w:spacing w:before="240" w:beforeLines="0" w:after="0"/>
        <w:rPr>
          <w:rFonts w:ascii="宋体" w:hAnsi="宋体"/>
          <w:szCs w:val="30"/>
        </w:rPr>
      </w:pPr>
      <w:r>
        <w:br w:type="page"/>
      </w:r>
      <w:bookmarkStart w:id="38" w:name="_Toc256000045"/>
      <w:bookmarkStart w:id="39" w:name="_Toc256000018"/>
      <w:r>
        <w:rPr>
          <w:rFonts w:ascii="宋体" w:hAnsi="宋体"/>
          <w:sz w:val="30"/>
        </w:rPr>
        <w:t>十八、基金的信息披露</w:t>
      </w:r>
      <w:bookmarkEnd w:id="38"/>
      <w:bookmarkEnd w:id="39"/>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b/>
          <w:kern w:val="0"/>
          <w:sz w:val="24"/>
        </w:rPr>
        <w:t>（一）本基金的信息披露应符合《基金法》、《运作办法》、《信息披露办法》、《流动性规定》、《基金合同》及其他有关规定。</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b/>
          <w:kern w:val="0"/>
          <w:sz w:val="24"/>
        </w:rPr>
        <w:t>（二）信息披露义务人</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本基金信息披露义务人包括基金管理人、基金托管人、召集基金份额持有人大会的基金份额持有人等法律法规和中国证监会规定的自然人、法人和非法人组织。</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本基金信息披露义务人以保护基金份额持有人利益为根本出发点，按照法律法规和中国证监会的规定披露基金信息，并保证所披露信息的真实性、准确性、完整性、及时性、简明性和易得性。</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本基金信息披露义务人应当在中国证监会规定时间内，将应予披露的基金信息通过中国证监会指定的全国性报刊（以下简称“指定报刊”）及指定互联网网站（以下简称“指定网站”）等媒介披露，并保证基金投资者能够按照《基金合同》约定的时间和方式查阅或者复制公开披露的信息资料。</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b/>
          <w:kern w:val="0"/>
          <w:sz w:val="24"/>
        </w:rPr>
        <w:t>（三）本基金信息披露义务人承诺公开披露的基金信息，不得有下列行为：</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1、虚假记载、误导性陈述或者重大遗漏；</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2、对证券投资业绩进行预测；</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3、违规承诺收益或者承担损失；</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4、诋毁其他基金管理人、基金托管人或者基金销售机构；</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5、登载任何自然人、法人和非法人组织的祝贺性、恭维性或推荐性的文字；</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6、中国证监会禁止的其他行为。</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b/>
          <w:kern w:val="0"/>
          <w:sz w:val="24"/>
        </w:rPr>
        <w:t>（四）本基金公开披露的信息应采用中文文本。如同时采用外文文本的，基金信息披露义务人应保证不同文本的内容一致。不同文本之间发生歧义的，以中文文本为准。</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本基金公开披露的信息采用阿拉伯数字；除特别说明外，货币单位为人民币元。</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b/>
          <w:kern w:val="0"/>
          <w:sz w:val="24"/>
        </w:rPr>
        <w:t>（五）公开披露的基金信息</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公开披露的基金信息包括：</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1、基金招募说明书、《基金合同》、基金托管协议、基金产品资料概要</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（1）《基金合同》是界定《基金合同》当事人的各项权利、义务关系，明确基金份额持有人大会召开的规则及具体程序，说明基金产品的特性等涉及基金投资者重大利益的事项的法律文件。</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2）基金招募说明书应当最大限度地披露影响基金投资者决策的全部事项，说明基金认购、申购和赎回安排、基金投资、基金产品特性、风险揭示、信息披露及基金份额持有人服务等内容。《基金合同》生效后，基金招募说明书的信息发生重大变更的，基金管理人应当在三个工作日内，更新基金招募说明书并登载在指定网站上；基金招募说明书其他信息发生变更的，基金管理人至少每年更新一次。基金终止运作的，基金管理人不再更新基金招募说明书。</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（3）基金托管协议是界定基金托管人和基金管理人在基金财产保管及基金运作监督等活动中的权利、义务关系的法律文件。</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4）基金产品资料概要是基金招募说明书的摘要文件，用于向投资者提供简明的基金概要信息。《基金合同》生效后，基金产品资料概要的信息发生重大变更的，基金管理人应当在三个工作日内，更新基金产品资料概要，并登载在指定网站及基金销售机构网站或营业网点；基金产品资料概要其他信息发生变更的，基金管理人至少每年更新一次。基金终止运作的，基金管理人不再更新基金产品资料概要。</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基金募集申请经中国证监会注册后，基金管理人在基金份额发售的3日前，将基金招募说明书、《基金合同》摘要登载在指定媒介上；基金管理人、基金托管人应当将《基金合同》、基金托管协议登载在网站上。</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2、基金份额发售公告</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基金管理人应当就基金份额发售的具体事宜编制基金份额发售公告，并在披露招募说明书的当日登载于指定媒介上。</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3、《基金合同》生效公告</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基金管理人应当在收到中国证监会确认文件的次日在指定媒介上登载《基金合同》生效公告。</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4、基金净值信息</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《基金合同》生效后，在开始办理基金份额申购或者赎回前，基金管理人应当至少每周在指定网站披露一次基金份额净值和基金份额累计净值。</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在开始办理基金份额申购或者赎回后，基金管理人应当在不晚于每个开放日的次日，通过指定网站、销售机构网站或者营业网点披露开放日的基金份额净值和基金份额累计净值。</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基金管理人应当在不晚于半年度和年度最后一日的次日，在指定网站披露半年度和年度最后一日的基金份额净值和基金份额累计净值。</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5、基金份额申购、赎回价格</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基金管理人应当在《基金合同》、招募说明书等信息披露文件上载明基金份额申购、赎回价格的计算方式及有关申购、赎回费率，并保证投资者能够在基金销售机构网站或营业网点查阅或者复制前述信息资料。</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6、基金定期报告，包括基金年度报告、基金中期报告和基金季度报告</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基金管理人应当在每年结束之日起三个月内，编制完成基金年度报告，将年度报告登载在指定网站上，并将年度报告提示性公告登载在指定报刊上。基金年度报告中的财务会计报告应当经过具有证券、期货相关业务资格的会计师事务所审计。</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基金管理人应当在上半年结束之日起两个月内，编制完成基金中期报告，将中期报告登载在指定网站上，并将中期报告提示性公告登载在指定报刊上。</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基金管理人应当在季度结束之日起15个工作日内，编制完成基金季度报告，将季度报告登载在指定网站上，并将季度报告提示性公告登载在指定报刊上。</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《基金合同》生效不足2个月的，基金管理人可以不编制当期季度报告、中期报告或者年度报告。</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如报告期内出现单一投资者持有基金份额达到或超过基金总份额20%的情形，为保障其他投资者的权益，基金管理人至少应当在定期报告“影响投资者决策的其他重要信息”项下披露该投资者的类别、报告期末持有份额及占比、报告期内持有份额变化情况及本基金的特有风险，中国证监会认定的特殊情形除外。</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基金管理人应当在基金年度报告和中期报告中披露基金组合资产情况及其流动性风险分析等。</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7、临时报告</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本基金发生重大事件，有关信息披露义务人应当在2日内编制临时报告书，并登载在指定报刊和指定网站上。</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前款所称重大事件，是指可能对基金份额持有人权益或者基金份额的价格产生重大影响的下列事件：</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（1）基金份额持有人大会的召开及决定的事项；</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（2）《基金合同》终止、基金清算；</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（3）转换基金运作方式、基金合并；</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（4）更换基金管理人、基金托管人、基金份额登记机构，基金改聘会计师事务所；</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（5）基金管理人委托基金服务机构代为办理基金的份额登记、核算、估值等事项，基金托管人委托基金服务机构代为办理基金的核算、估值、复核等事项；</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（6）基金管理人、基金托管人的法定名称、住所发生变更；</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（7）基金管理人变更持有百分之五以上股权的股东、基金管理人的实际控制人变更；</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（8）基金募集期延长或提前结束募集；</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（9）基金管理人的高级管理人员、基金经理和基金托管人专门基金托管部门负责人发生变动；</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（10）基金管理人的董事在最近12个月内变更超过百分之五十，基金管理人、基金托管人专门基金托管部门的主要业务人员在最近12个月内变动超过百分之三十；</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（11）涉及基金财产、基金管理业务、基金托管业务的诉讼或仲裁；</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（12）基金管理人或其高级管理人员、基金经理因基金管理业务相关行为受到重大行政处罚、刑事处罚，基金托管人或其专门基金托管部门负责人因基金托管业务相关行为受到重大行政处罚、刑事处罚；</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13）基金管理人运用基金财产买卖基金管理人、基金托管人及其控股股东、实际控制人或者与其有重大利害关系的公司发行的证券或者承销期内承销的证券，或者从事其他重大关联交易事项，但中国证监会另有规定的除外；</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（14）基金收益分配事项；</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（15）管理费、托管费、申购费、赎回费等费用计提标准、计提方式和费率发生变更；</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（16）基金份额净值计价错误达基金份额净值百分之零点五；</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（17）本基金开始办理申购、赎回；</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（18）本基金发生巨额赎回并延期办理；</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（19）本基金连续发生巨额赎回并暂停接受赎回申请或延缓支付赎回款项；</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（20）本基金暂停接受申购、赎回申请或重新接受申购、赎回申请；</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（21）发生涉及基金申购、赎回事项调整或潜在影响投资者赎回等重大事项时；</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（22）基金信息披露义务人认为可能对基金份额持有人权益或者基金份额的价格产生重大影响的其他事项或中国证监会规定的其他事项。</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8、澄清公告</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在《基金合同》存续期限内，任何公共媒介中出现的或者在市场上流传的消息可能对基金份额价格产生误导性影响或者引起较大波动，以及可能损害基金份额持有人权益的，相关信息披露义务人知悉后应当立即对该消息进行公开澄清，并将有关情况立即报告中国证监会。</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9、基金份额持有人大会决议</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基金份额持有人大会决定的事项，应当依法报中国证监会备案，并予以公告。</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基金份额持有人依法自行召集基金份额持有人大会，基金管理人、基金托管人对基金份额持有人大会决定的事项不依法履行信息披露义务的，召集人应当履行相关信息披露义务。</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10、清算报告</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基金合同终止的，基金管理人应当依法组织清算组对基金财产进行清算并作出清算报告。清算报告应当经过具有证券、期货相关业务资格的会计师事务所审计，并由律师事务所出具法律意见书。清算组应当将清算报告登载在指定网站上，并将清算报告提示性公告登载在指定报刊上。</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11、中国证监会规定的其他信息。</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b/>
          <w:kern w:val="0"/>
          <w:sz w:val="24"/>
        </w:rPr>
        <w:t>（六）信息披露事务管理</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基金管理人、基金托管人应当建立健全信息披露管理制度，指定专门部门及高级管理人员负责管理信息披露事务。</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基金信息披露义务人公开披露基金信息，应当符合中国证监会相关基金信息披露内容与格式准则等法规规定。</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基金托管人应当按照相关法律法规、中国证监会的规定和《基金合同》的约定，对基金管理人编制的基金资产净值、基金份额净值、基金份额申购赎回价格、基金定期报告、更新的招募说明书、基金产品资料概要、基金清算报告等公开披露的相关基金信息进行复核、审查，并向基金管理人进行书面或电子确认。</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基金管理人、基金托管人应当在指定报刊中选择一家报刊披露本基金信息。基金管理人、基金托管人应当向中国证监会基金电子披露网站报送拟披露的基金信息，并保证相关报送信息的真实、准确、完整、及时。</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基金管理人、基金托管人除依法在指定媒介上披露信息外，还可以根据需要在其他公共媒介披露信息，但是其他公共媒介不得早于指定媒介披露信息，并且在不同媒介上披露同一信息的内容应当一致。</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为基金信息披露义务人公开披露的基金信息出具审计报告、法律意见书的专业机构，应当制作工作底稿，并将相关档案至少保存到《基金合同》终止后10年。</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基金管理人、基金托管人除按法律法规要求披露信息外，也可着眼于为投资者决策提供有用信息的角度，在保证公平对待投资者、不误导投资者、不影响基金正常投资操作的前提下，自主提升信息披露服务的质量。具体要求应当符合中国证监会及自律规则的相关规定。前述自主披露如产生信息披露费用，该费用不得从基金财产中列支。</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b/>
          <w:kern w:val="0"/>
          <w:sz w:val="24"/>
        </w:rPr>
        <w:t>（七）信息披露文件的存放与查阅</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依法必须披露的信息发布后，基金管理人、基金托管人应当按照相关法律法规规定将信息置备于各自住所，供社会公众查阅、复制。</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b/>
          <w:kern w:val="0"/>
          <w:sz w:val="24"/>
        </w:rPr>
        <w:t>（八）本基金信息披露事项以法律法规规定及本章节约定的内容为准。</w:t>
      </w:r>
    </w:p>
    <w:p>
      <w:pPr>
        <w:pStyle w:val="2"/>
        <w:snapToGrid w:val="0"/>
        <w:spacing w:before="240" w:beforeLines="0" w:after="0"/>
        <w:rPr>
          <w:rFonts w:ascii="宋体" w:hAnsi="宋体"/>
          <w:szCs w:val="30"/>
        </w:rPr>
      </w:pPr>
      <w:r>
        <w:br w:type="page"/>
      </w:r>
      <w:bookmarkStart w:id="40" w:name="_Toc256000046"/>
      <w:bookmarkStart w:id="41" w:name="_Toc256000019"/>
      <w:r>
        <w:rPr>
          <w:rFonts w:ascii="宋体" w:hAnsi="宋体"/>
          <w:sz w:val="30"/>
        </w:rPr>
        <w:t>十九、风险揭示</w:t>
      </w:r>
      <w:bookmarkEnd w:id="40"/>
      <w:bookmarkEnd w:id="41"/>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证券投资基金（以下简称“基金”）是一种长期投资工具，其主要功能是分散投资，降低投资单一证券所带来的个别风险。基金不同于银行储蓄和债券等能够提供固定收益预期的金融工具，投资人购买基金，既可能按其持有份额分享基金投资所产生的收益，也可能承担基金投资所带来的损失。</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基金在投资运作过程中可能面临各种风险，既包括市场风险，也包括基金自身的管理风险、技术风险和合规风险等。巨额赎回风险是开放式基金所特有的一种风险，即当单个交易日基金的净赎回申请（赎回申请份额总数加上基金转换中转出申请份额总数扣除申购申请份额总数及基金转换中转入申请份额总数后的余额，定期支付时的自动赎回份额不纳入以上赎回份额计算）超过基金总份额的百分之十时，投资人将可能无法及时赎回持有的全部基金份额。</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基金分为股票基金、混合基金、债券基金、货币市场基金等不同类型，投资人投资不同类型的基金将获得不同的收益预期，也将承担不同程度的风险。一般来说，基金的收益预期越高，投资人承担的风险也越大。</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投资人应当认真阅读基金合同、《招募说明书》、基金产品资料概要等基金法律文件，了解基金的风险收益特征，并根据自身的投资目的、投资期限、投资经验、资产状况等判断基金是否和投资人的风险承受能力相适应。</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投资人应当充分了解基金定期定额投资和零存整取等储蓄方式的区别。定期定额投资是引导投资人进行长期投资、平均投资成本的一种简单易行的投资方式。但是定期定额投资并不能规避基金投资所固有的风险，不能保证投资人获得收益，也不是替代储蓄的等效理财方式。</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因拆分、封转开、分红等行为导致基金份额净值变化，不会改变基金的风险收益特征，不会降低基金投资风险或提高基金投资收益。以1元初始面值开展基金募集或因拆分、封转开、分红等行为导致基金份额净值调整至1元初始面值或1元附近，在市场波动等因素的影响下，基金投资仍有可能出现亏损或基金净值仍有可能低于初始面值。</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基金管理人承诺以诚实信用、勤勉尽责的原则管理和运用基金资产，但不保证本基金一定盈利，也不保证最低收益。基金管理人管理的其他基金的业绩不构成对本基金业绩表现的保证。基金管理人提醒投资人基金投资的“买者自负”原则，在做出投资决策后，基金运营状况与基金净值变化引致的投资风险，由投资人自行负担。</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基金份额持有人须了解并承受以下风险：</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b/>
          <w:kern w:val="0"/>
          <w:sz w:val="24"/>
        </w:rPr>
        <w:t>（一）市场风险</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证券市场价格因受到经济因素、政治因素、投资心理和交易制度等各种因素的影响而引起的波动，将对基金收益水平产生潜在风险，主要包括：</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1、政策风险。因国家宏观政策（如货币政策、财政政策、行业政策、地区发展政策等）和证券市场监管政策发生变化，导致市场价格波动而产生风险。</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2、经济周期风险。证券市场受宏观经济运行的影响，而经济运行具有周期性的特点，而宏观经济运行状况将对证券市场的收益水平产生影响，从而对基金收益造成影响。</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3、利率风险。金融市场利率的波动会导致证券市场价格和收益率的变动。利率直接影响着债券的价格和收益率，影响着企业的融资成本和利润。基金投资于债券和债券回购，其收益水平会受到利率变化和货币市场供求状况的影响。</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4、上市公司经营风险。上市公司的经营状况受多种因素影响，如管理能力、财务状况、市场前景、行业竞争、人员素质等，这些都会导致企业的盈利发生变化。如果基金所投资的上市公司经营不善，其股票价格可能下跌，或者能够用于分配的利润减少，使基金投资收益下降。虽然基金可以通过投资多样化来分散这种非系统风险，但不能完全规避。</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5、购买力风险。基金投资的目的是基金资产的保值增值，如果发生通货膨胀，基金投资于证券所获得的收益可能会被通货膨胀抵消，从而使基金的实际收益下降，影响基金资产的保值增值。</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b/>
          <w:kern w:val="0"/>
          <w:sz w:val="24"/>
        </w:rPr>
        <w:t>（二）管理风险</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在基金管理运作过程中基金管理人的知识、经验、判断、决策、技能等，会影响其对信息的占有和对经济形势、证券价格走势的判断，从而影响基金收益水平。因此，本基金的收益水平与基金管理人的管理水平、管理手段和管理技术等相关性较大，本基金可能因为基金管理人的因素而影响基金收益水平。</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b/>
          <w:kern w:val="0"/>
          <w:sz w:val="24"/>
        </w:rPr>
        <w:t>（三）流动性风险</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本基金属于开放式基金，在基金的所有开放日，基金管理人都有义务接受投资人的赎回。如果基金资产不能迅速转变成现金，或者变现为现金时使资金净值产生不利的影响，都会影响基金运作和收益水平。尤其是在发生巨额赎回时，如果基金资产变现能力差，可能会产生基金仓位调整的困难，导致流动性风险，可能影响基金份额净值。</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1、本基金的申购、赎回安排</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本基金采用开放方式运作，基金管理人在开放日办理基金份额的申购和赎回，具体办理时间为上海证券交易所、深圳证券交易所的正常交易日的交易时间，但基金管理人根据法律法规、中国证监会的要求或基金合同的规定公告暂停申购、赎回时除外。</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2、投资市场、行业及资产的流动性风险评估</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本基金的投资市场主要为证券交易所、全国银行间债券市场等流动性较好的规范型交易场所，主要投资对象为具有良好流动性的金融工具，同时本基金基于分散投资的原则在个券方面未有高集中度的特征，综合评估在正常市场环境下本基金的流动性风险适中。</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3、巨额赎回情形下的流动性风险管理措施</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若本基金单个开放日内的基金份额净赎回申请（赎回申请份额总数加上基金转换中转出申请份额总数后扣除申购申请份额总数及基金转换中转入申请份额总数后的余额，定期支付时的自动赎回份额不纳入以上赎回份额计算）超过前一开放日的基金总份额的10%，即认为是发生了巨额赎回。</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当基金出现巨额赎回时，基金管理人可以根据基金当时的资产组合状况决定全额赎回或部分延期赎回。</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（1）全额赎回：当基金管理人认为有能力支付投资人的全部赎回申请时，按正常赎回程序执行。</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2）部分延期赎回：当基金管理人认为支付投资人的赎回申请有困难或认为因支付投资人的赎回申请而进行的财产变现可能会对基金资产净值造成较大波动时，基金管理人在当日接受赎回比例不低于上一开放日基金总份额的10%的前提下，可对其余赎回申请延期办理。对于当日的赎回申请，应当按单个账户赎回申请量占赎回申请总量的比例，确定当日受理的赎回份额；对于未能赎回部分，投资人在提交赎回申请时可以选择延期赎回或取消赎回。选择延期赎回的，将自动转入下一个开放日继续赎回，直到全部赎回为止；选择取消赎回的，当日未获受理的部分赎回申请将被撤销。延期的赎回申请与下一开放日赎回申请一并处理，无优先权并以下一开放日的基金份额净值为基础计算赎回金额，以此类推，直到全部赎回为止。如投资人在提交赎回申请时未作明确选择，投资人未能赎回部分作自动延期赎回处理。</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本基金发生巨额赎回且单个基金份额持有人的赎回申请超过上一日基金总份额20%的情形下，基金管理人有权采取如下措施：对于该类基金份额持有人当日超过20%的赎回申请，可以对其赎回申请延期办理；对于该类基金份额持有人未超过上述比例的部分，基金管理人可以根据前段“（1）全额赎回”或“（2）部分延期赎回”的约定方式与其他基金份额持有人的赎回申请一并办理。但是，如该类基金份额持有人在当日选择取消赎回，则其当日未获受理的部分赎回申请将被撤销。</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3）暂停赎回：连续2日以上（含本数）发生巨额赎回，如基金管理人认为有必要，可暂停接受基金的赎回申请；已经接受的赎回申请可以延缓支付赎回款项，但不得超过20个工作日，并应当在指定媒介上进行公告。</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4、实施备用的流动性风险管理工具的情形、程序及对投资者的潜在影响</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本基金在面临大规模赎回的情况下有可能因为无法变现造成流动性风险。</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如果出现流动性风险，基金管理人经与基金托管人协商，在确保投资者得到公平对待的前提下，可实施备用的流动性风险管理工具，包括但不限于延期办理巨额赎回申请、暂停接受赎回申请、延缓支付赎回款项、收取短期赎回费、暂停基金估值等，作为特定情形下基金管理人流动性风险管理的辅助措施，同时基金管理人应时刻防范可能产生的流动性风险，对流动性风险进行日常监控，保护持有人的利益。当实施备用的流动性风险管理工具时，有可能无法按合同约定的时限支付赎回款项。</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b/>
          <w:kern w:val="0"/>
          <w:sz w:val="24"/>
        </w:rPr>
        <w:t>（四）信用风险</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基金在交易过程发生交收违约，或者基金所投资债券之发行人出现违约、拒绝支付到期本息，都可能导致基金资产损失和收益变化，从而产生风险。</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b/>
          <w:kern w:val="0"/>
          <w:sz w:val="24"/>
        </w:rPr>
        <w:t>（五）本基金投资策略所特有的风险</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本基金属于混合型基金，通过在股票、债券等各类资产之间进行配置来降低风险，提高收益。如果股票市场和债券市场同时出现下跌，本基金将不能完全抵御两个市场同时下跌的风险，基金净值将出现下降。由于本基金股票投资比例设定了一定上限，因此在股市大幅上涨时本基金也不能完全保证基金净值能够完全跟随或超越大盘走势。此外，本基金在调整资产配置比例时，可能由于基金经理的预判与市场的实际表现存在较大差异，出现资产配置不合理的风险，从而对基金收益造成不利影响。</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本基金股票资产部分重点投资于红利股票，在选股策略上本基金特有的风险主要来自两个方面：一是对行业及上市公司的基本面研究是否准确、深入，二是对行业和红利股票的优选和判断是否科学、准确。基本面研究及上市企业分析的错误均可能导致所选择的证券不能完全符合本基金的预期目标。</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本基金可投资创业板股票，创业板个股上市后的前五个交易日不设价格涨跌幅限制，第六个交易日开始涨跌幅限制比例为20%。</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b/>
          <w:kern w:val="0"/>
          <w:sz w:val="24"/>
        </w:rPr>
        <w:t>（六）本基金定期支付相关的特定风险</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1、定期支付不等同于收益分配</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本基金的定期支付并不等同于收益分配。按照目前法律法规的规定，基金的收益分配以基金具有可供分配利润为前提，且分配金额不得超过可供分配利润；而定期支付不以本基金具有可供分配利润为前提，且定期支付金额按照招募说明书约定的年化现金支付比率计算，不以基金的可供分配利润为上限，其实质是按基金合同的约定定期自动赎回持有人的部分基金份额进行现金支付。在基金投资亏损的情况下，除非发生基金合同约定的暂停定期支付的事由，本基金仍将进行定期支付。因此，即便投资者对于本基金的投资未取得收益甚至发生亏损，仍可能发生部分份额的自动赎回，由此投资者就该部分被赎回的份额将失去取得预期收益或者通过未来净值上涨而弥补亏损的机会。</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此外，基金收益分配时，对基金份额净值进行除息（即扣减每份收益分配金额）处理；而定期支付不对基金份额净值进行除息处理，但因自动赎回部分基金份额进行现金支付，会造成投资者所持有基金份额的缩减，为此，基金管理人未来将视基金实际运作情况对基金实施份额拆分，份额拆分不会对基金份额持有人的权益造成实质影响。</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2、年化现金支付比率不代表基金实际投资收益率</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本基金招募说明书约定的年化现金支付比率用以计算定期支付金额，不代表基金实际投资收益率。按照约定的年化现金支付比率计算的定期支付金额可能大于也可能小于当期基金的实际投资收益。</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3、定期支付被确认失败的风险</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在每期定期支付时，由于基金份额持有人主动发起的份额减少业务（包括赎回、转换出及转托管出）或者登记机构发起的其他非定期支付份额减少业务的确认原则上优先于定期支付业务的确认，若因当日该账户同时有其他的份额减少业务被确认而导致基金份额余额不足时，当期的定期支付业务将被确认失败，即该账户当期不进行现金支付。</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4、年化现金支付比率发生调整的风险</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基金管理人有权根据基金实际运作情况和市场环境的变化调整年化现金支付比率。因此未来年化现金支付比率可能会发生变化，可能高于也可能低于当前的年化现金支付比率。年化现金支付比率的变化会影响定期支付数额，并将会对投资者的实际投资收益产生正面或负面的影响。</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b/>
          <w:kern w:val="0"/>
          <w:sz w:val="24"/>
        </w:rPr>
        <w:t>（七）投资科创板股票的特定风险</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本基金可根据投资策略需要或市场环境的变化，选择将部分基金资产投资于科创板股票或选择不将基金资产投资于科创板股票，基金资产并非必然投资于科创板股票。基金资产投资于科创板股票，会面临科创板机制下因投资标的、市场制度以及交易规则等差异带来的特有风险，包括但不限于市场风险、流动性风险、退市风险、系统性风险、政策风险等。</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（1）市场风险</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科创板个股集中来自新一代信息技术、高端装备、新材料、新能源、节能环保及生物医药等高新技术和战略新兴产业领域。大多数企业为初创型公司，企业未来盈利、现金流、估值均存在不确定性，与传统二级市场投资存在差异，整体投资难度加大，个股市场风险加大。</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科创板个股上市后的前五个交易日无涨跌停限制，其后涨跌幅限制为20%，科创板股票上市首日即可作为融资融券标的，可能导致较大的股票价格波动。</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（2）流动性风险</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科创板整体投资门槛较高，二级市场上个人投资者参与度相对较低，机构持有个股大量流通盘导致个股流动性较差，基金组合存在无法及时变现及其他相关流动性风险。</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（3）退市风险</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科创板退市制度较主板更为严格，且不再设置暂停上市、恢复上市和重新上市环节，上市公司退市风险更大。</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（4）系统性风险</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科创板企业均为市场认可度较高的科技创新企业，在企业经营及盈利模式上存在趋同，所以科创板个股相关性较高，市场表现不佳时，系统性风险将更为显著。</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（5）政策风险</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国家对高新技术产业扶持力度及重视程度的变化会对科创板企业带来较大影响，国际经济形势变化对战略新兴产业及科创板个股也会带来政策影响。</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b/>
          <w:kern w:val="0"/>
          <w:sz w:val="24"/>
        </w:rPr>
        <w:t>（八）投资存托凭证的特定风险</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本基金可投资国内依法发行上市的存托凭证，基金净值可能受到存托凭证的境外基础证券价格波动影响，与存托凭证的境外基础证券、境外基础证券的发行人及境内外交易机制相关的风险可能直接或间接成为本基金风险。</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具体风险包括：存托凭证持有人与境外基础证券发行人的股东在法律地位、享有权利等方面存在差异可能引发的风险；存托凭证持有人在分红派息、行使表决权等方面的特殊安排可能引发的风险；存托协议自动约束存托凭证持有人的风险；因多地上市造成存托凭证价格差异以及波动的风险；存托凭证持有人权益被摊薄的风险；存托凭证退市的风险；已在境外上市的基础证券发行人，在持续信息披露监管方面与境内可能存在差异的风险；境内外法律制度、监管环境差异可能导致的其他风险。</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本基金可根据投资策略需要或市场环境的变化，选择将部分基金资产投资于存托凭证或选择不将基金资产投资于存托凭证，基金资产并非必然投资存托凭证。</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b/>
          <w:kern w:val="0"/>
          <w:sz w:val="24"/>
        </w:rPr>
        <w:t>（九）本基金法律文件风险收益特征表述与销售机构基金风险评价可能不一致的风险</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本基金法律文件投资章节有关风险收益特征的表述是基于投资范围、投资比例、证券市场普遍规律等做出的概述性描述，代表了一般市场情况下本基金的长期风险收益特征。销售机构（包括基金管理人直销机构和其他销售机构）根据相关法律法规对本基金进行风险评价，不同的销售机构采用的评价方法不同，因此销售机构的风险等级评价与基金法律文件中风险收益特征的表述可能存在不同，投资者在购买本基金时需按照销售机构的要求完成风险承受能力与产品风险之间的匹配检验。</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b/>
          <w:kern w:val="0"/>
          <w:sz w:val="24"/>
        </w:rPr>
        <w:t>（十）其他风险</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1、因技术因素而产生的风险，如电脑系统不可靠产生的风险；</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2、因基金业务快速发展，在制度建设、人员配备、内控制度建立等方面的不完善产生的风险；</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3、因人为因素而产生的风险、如内幕交易、欺诈行为等产生的风险；</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4、对主要业务人员如基金经理的依赖而可能产生的风险；</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5、因业务竞争压力可能产生的风险；</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6、战争、自然灾害等不可抗力可能导致基金财产的损失，影响基金收益水平，从而带来风险；</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7、其他意外导致的风险。</w:t>
      </w:r>
    </w:p>
    <w:p>
      <w:pPr>
        <w:pStyle w:val="2"/>
        <w:snapToGrid w:val="0"/>
        <w:spacing w:before="240" w:beforeLines="0" w:after="0"/>
        <w:rPr>
          <w:rFonts w:ascii="宋体" w:hAnsi="宋体"/>
          <w:szCs w:val="30"/>
        </w:rPr>
      </w:pPr>
      <w:r>
        <w:br w:type="page"/>
      </w:r>
      <w:bookmarkStart w:id="42" w:name="_Toc256000020"/>
      <w:bookmarkStart w:id="43" w:name="_Toc256000047"/>
      <w:r>
        <w:rPr>
          <w:rFonts w:ascii="宋体" w:hAnsi="宋体"/>
          <w:sz w:val="30"/>
        </w:rPr>
        <w:t>二十、基金合同的变更、终止与基金财产的清算</w:t>
      </w:r>
      <w:bookmarkEnd w:id="42"/>
      <w:bookmarkEnd w:id="43"/>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b/>
          <w:kern w:val="0"/>
          <w:sz w:val="24"/>
        </w:rPr>
        <w:t>（一）基金合同的变更</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1、变更基金合同涉及法律法规规定或基金合同约定应经基金份额持有人大会决议通过的事项的，应召开基金份额持有人大会决议通过。对于可不经基金份额持有人大会决议通过的事项，由基金管理人和基金托管人同意后变更并公告，并报中国证监会备案。</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2、关于基金合同变更的基金份额持有人大会决议经中国证监会核准或出具无异议意见后方可执行，自决议生效后两日内依照《信息披露办法》的规定在指定媒介公告。</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b/>
          <w:kern w:val="0"/>
          <w:sz w:val="24"/>
        </w:rPr>
        <w:t>（二）基金合同的终止事由</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有下列情形之一的，基金合同应当终止：</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1、基金份额持有人大会决定终止的；</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2、基金管理人、基金托管人职责终止，在6个月内没有新基金管理人、新基金托管人承接的；</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3、基金合同约定的其他情形；</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4、相关法律法规和中国证监会规定的其他情况。</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b/>
          <w:kern w:val="0"/>
          <w:sz w:val="24"/>
        </w:rPr>
        <w:t>（三）基金财产的清算</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1、基金财产清算小组：自出现基金合同终止事由之日起30个工作日内成立清算小组，基金管理人组织基金财产清算小组并在中国证监会的监督下进行基金清算。</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2、基金财产清算小组组成：基金财产清算小组成员由基金管理人、基金托管人、具有从事证券相关业务资格的注册会计师、律师以及中国证监会指定的人员组成。基金财产清算小组可以聘用必要的工作人员。</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3、基金财产清算小组职责：基金财产清算小组负责基金财产的保管、清理、估价、变现和分配。基金财产清算小组可以依法进行必要的民事活动。</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4、基金财产清算程序：</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（1）基金合同终止情形出现时，由基金财产清算小组统一接管基金；</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（2）对基金财产和债权债务进行清理和确认；</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（3）对基金财产进行估值和变现；</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（4）制作清算报告；</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（5）聘请会计师事务所对清算报告进行外部审计，聘请律师事务所对清算报告出具法律意见书；</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（6）将清算报告报中国证监会备案并公告；</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（7）对基金财产进行分配。</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5、基金财产清算的期限为6个月，若遇基金持有的股票或其他有价证券出现长期休市、停牌或其他流通受限的情形除外。</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b/>
          <w:kern w:val="0"/>
          <w:sz w:val="24"/>
        </w:rPr>
        <w:t>（四）清算费用</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清算费用是指基金财产清算小组在进行基金清算过程中发生的所有合理费用，清算费用由基金财产清算小组优先从基金财产中支付。</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b/>
          <w:kern w:val="0"/>
          <w:sz w:val="24"/>
        </w:rPr>
        <w:t>（五）基金财产清算剩余资产的分配</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依据基金财产清算的分配方案，将基金财产清算后的全部剩余资产扣除基金财产清算费用、交纳所欠税款并清偿基金债务后，按基金份额持有人持有的基金份额比例进行分配。</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b/>
          <w:kern w:val="0"/>
          <w:sz w:val="24"/>
        </w:rPr>
        <w:t>（六）基金财产清算的公告</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清算过程中的有关重大事项须及时公告；基金财产清算报告经会计师事务所审计并由律师事务所出具法律意见书后报中国证监会备案并公告。基金财产清算公告于基金财产清算报告报中国证监会备案后5个工作日内由基金财产清算小组进行公告。</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b/>
          <w:kern w:val="0"/>
          <w:sz w:val="24"/>
        </w:rPr>
        <w:t>（七）基金财产清算账册及文件的保存</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基金财产清算账册及有关文件由基金托管人保存15年以上。</w:t>
      </w:r>
    </w:p>
    <w:p>
      <w:pPr>
        <w:pStyle w:val="2"/>
        <w:snapToGrid w:val="0"/>
        <w:spacing w:before="240" w:beforeLines="0" w:after="0"/>
        <w:rPr>
          <w:rFonts w:ascii="宋体" w:hAnsi="宋体"/>
          <w:szCs w:val="30"/>
        </w:rPr>
      </w:pPr>
      <w:r>
        <w:br w:type="page"/>
      </w:r>
      <w:bookmarkStart w:id="44" w:name="_Toc256000021"/>
      <w:bookmarkStart w:id="45" w:name="_Toc256000048"/>
      <w:r>
        <w:rPr>
          <w:rFonts w:ascii="宋体" w:hAnsi="宋体"/>
          <w:sz w:val="30"/>
        </w:rPr>
        <w:t>二十一、基金合同内容摘要</w:t>
      </w:r>
      <w:bookmarkEnd w:id="44"/>
      <w:bookmarkEnd w:id="45"/>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b/>
          <w:kern w:val="0"/>
          <w:sz w:val="24"/>
        </w:rPr>
        <w:t>（一）基金合同当事人及权利义务</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1、基金管理人的权利与义务</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（1）根据《基金法》、《运作办法》及其他有关规定，基金管理人的权利包括但不限于：</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1）依法募集基金；</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2）自基金合同生效之日起，根据法律法规和基金合同独立运用并管理基金财产；</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3）依照基金合同收取基金管理费以及法律法规规定或中国证监会批准的其他费用；</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4）销售基金份额；</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5）召集基金份额持有人大会；</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6）依据基金合同及有关法律规定监督基金托管人，如认为基金托管人违反了基金合同及国家有关法律规定，应呈报中国证监会和其他监管部门，并采取必要措施保护基金投资者的利益；</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7）在基金托管人更换时，提名新的基金托管人；</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8）选择、更换基金销售机构，对基金销售机构的相关行为进行监督和处理；</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9）担任或委托其他符合条件的机构担任基金登记机构办理基金登记业务并获得基金合同规定的费用；</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10）依据基金合同及有关法律规定决定基金收益的分配方案；</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11）在基金合同约定的范围内，拒绝或暂停受理申购与赎回申请；</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12）依照法律法规为基金的利益对被投资公司行使股东权利，为基金的利益行使因基金财产投资于证券所产生的权利；</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13）在法律法规允许的前提下，为基金的利益依法为基金进行融资融券；</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14）以基金管理人的名义，代表基金份额持有人的利益行使诉讼权利或者实施其他法律行为；</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15）选择、更换律师事务所、会计师事务所、证券经纪商或其他为基金提供服务的外部机构；</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16）在符合有关法律、法规的前提下，制定和调整有关基金认购、申购、赎回、转换和非交易过户等的业务规则；</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17）法律法规及中国证监会规定的和基金合同约定的其他权利。</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（2）根据《基金法》、《运作办法》及其他有关规定，基金管理人的义务包括但不限于：</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1）依法募集基金，办理或者委托经中国证监会认定的其他机构代为办理基金份额的发售、申购、赎回和登记事宜；</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2）办理基金备案手续；</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3）自基金合同生效之日起,以诚实信用、谨慎勤勉的原则管理和运用基金财产；</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4）配备足够的具有专业资格的人员进行基金投资分析、决策，以专业化的经营方式管理和运作基金财产；</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5）建立健全内部风险控制、监察与稽核、财务管理及人事管理等制度，保证所管理的基金财产和基金管理人的财产相互独立,对所管理的不同基金分别管理，分别记账，进行证券投资；</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6）除依据《基金法》、基金合同及其他有关规定外,不得利用基金财产为自己及任何第三人谋取利益，不得委托第三人运作基金财产；</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7）依法接受基金托管人的监督；</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8）采取适当合理的措施使计算基金份额认购、申购、赎回和注销价格的方法符合基金合同等法律文件的规定，按有关规定计算并公告基金净值信息，确定基金份额申购、赎回的价格；</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9）进行基金会计核算并编制基金财务会计报告；</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10）编制季度报告、中期报告和年度报告；</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11）严格按照《基金法》、基金合同及其他有关规定，履行信息披露及报告义务；</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12）保守基金商业秘密，不泄露基金投资计划、投资意向等。除《基金法》、基金合同及其他有关规定另有规定外，在基金信息公开披露前应予保密，不向他人泄露；</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13）按基金合同的约定确定基金收益分配方案，及时向基金份额持有人分配基金收益；</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14）按规定受理申购与赎回申请，及时、足额支付赎回款项；</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15）依据《基金法》、基金合同及其他有关规定召集基金份额持有人大会或配合基金托管人、基金份额持有人依法召集基金份额持有人大会；</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16）按规定保存基金财产管理业务活动的会计账册、报表、记录和其他相关资料15年以上；</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17）确保需要向基金投资者提供的各项文件或资料在规定时间发出，并且保证投资者能够按照基金合同规定的时间和方式，随时查阅到与基金有关的公开资料，并在支付合理成本的条件下得到有关资料的复印件；</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18）组织并参加基金财产清算小组，参与基金财产的保管、清理、估价、变现和分配；</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19）面临解散、依法被撤销或者被依法宣告破产时，及时报告中国证监会并通知基金托管人；</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20）因违反基金合同导致基金财产的损失或损害基金份额持有人合法权益时，应当承担赔偿责任，其赔偿责任不因其退任而免除；</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21）监督基金托管人按法律法规和基金合同规定履行自己的义务，基金托管人违反基金合同造成基金财产损失时，基金管理人应为基金份额持有人利益向基金托管人追偿；</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22）当基金管理人将其义务委托第三方处理时，应当对第三方处理有关基金事务的行为承担责任；</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23）以基金管理人名义，代表基金份额持有人利益行使诉讼权利或实施其他法律行为；</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24）基金管理人在募集期间未能达到基金的备案条件，基金合同不能生效，基金管理人承担全部募集费用，将已募集资金并加计银行同期存款利息在基金募集期结束后30日内退还基金认购人；</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25）执行生效的基金份额持有人大会的决议；</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26）建立并保存基金份额持有人名册；</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27）法律法规及中国证监会规定的和基金合同约定的其他义务。</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2、基金托管人的权利与义务</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（1）根据《基金法》、《运作办法》及其他有关规定，基金托管人的权利包括但不限于：</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1）自基金合同生效之日起，依法律法规和基金合同的规定安全保管基金财产；</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2）依基金合同约定获得基金托管费以及法律法规规定或监管部门批准的其他费用；</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3）监督基金管理人对本基金的投资运作，如发现基金管理人有违反基金合同及国家法律法规行为，对基金财产、其他当事人的利益造成重大损失的情形，应呈报中国证监会，并采取必要措施保护基金投资者的利益；</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4）根据相关市场规则，为基金开设证券账户、为基金办理证券交易资金清算；</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5）提议召开或召集基金份额持有人大会；</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6）在基金管理人更换时，提名新的基金管理人；</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7）法律法规及中国证监会规定的和基金合同约定的其他权利。</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（2）根据《基金法》、《运作办法》及其他有关规定，基金托管人的义务包括但不限于：</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1）以诚实信用、勤勉尽责的原则持有并安全保管基金财产；</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2）设立专门的基金托管部门，具有符合要求的营业场所，配备足够的、合格的熟悉基金托管业务的专职人员，负责基金财产托管事宜；</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3）建立健全内部风险控制、监察与稽核、财务管理及人事管理等制度，确保基金财产的安全，保证其托管的基金财产与基金托管人自有财产以及不同的基金财产相互独立；对所托管的不同的基金分别设置账户，独立核算，分账管理，保证不同基金之间在账户设置、资金划拨、账册记录等方面相互独立；</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4）除依据《基金法》、基金合同及其他有关规定外，不得利用基金财产为自己及任何第三人谋取利益，不得委托第三人托管基金财产；</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5）保管由基金管理人代表基金签订的与基金有关的重大合同及有关凭证；</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6）按规定开设基金财产的资金账户和证券账户,按照基金合同的约定，根据基金管理人的投资指令，及时办理清算、交割事宜；</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7）保守基金商业秘密，除《基金法》、基金合同及其他有关规定另有规定外，在基金信息公开披露前予以保密，不得向他人泄露；</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8）复核、审查基金管理人计算的基金资产净值、基金份额净值、基金份额申购、赎回价格、基金业绩数据等；</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9）办理与基金托管业务活动有关的信息披露事项；</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10）对基金财务会计报告、季度报告、中期报告和年度报告出具意见，说明基金管理人在各重要方面的运作是否严格按照基金合同的规定进行；如果基金管理人有未执行基金合同规定的行为，还应当说明基金托管人是否采取了适当的措施；</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11）保存基金托管业务活动的记录、账册、报表和其他相关资料15年以上；</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12）建立并保存基金份额持有人名册；</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13）按规定制作相关账册并与基金管理人核对；</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14）依据基金管理人的指令或有关规定向基金份额持有人支付基金收益和赎回款项；</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15）依据《基金法》、基金合同及其他有关规定，召集基金份额持有人大会或配合基金管理人、基金份额持有人依法召集基金份额持有人大会；</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16）按照法律法规和基金合同的规定监督基金管理人的投资运作；</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17）参加基金财产清算小组，参与基金财产的保管、清理、估价、变现和分配；</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18）面临解散、依法被撤销或者被依法宣告破产时，及时报告中国证监会和银行业监督管理机构，并通知基金管理人；</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19）因违反基金合同导致基金财产损失时，应承担赔偿责任，其赔偿责任不因其退任而免除；</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20）按规定监督基金管理人按法律法规和基金合同规定履行自己的义务，基金管理人因违反基金合同造成基金财产损失时，应为基金份额持有人利益向基金管理人追偿；</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21）执行生效的基金份额持有人大会的决定；</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22）法律法规及中国证监会规定的和基金合同约定的其他义务。</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3、基金份额持有人的权利与义务</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基金投资者持有本基金基金份额的行为即视为对基金合同的承认和接受，基金投资者自依据基金合同取得本基金的基金份额，即成为本基金份额持有人和基金合同的当事人，直至其不再持有本基金的基金份额。基金份额持有人作为基金合同当事人并不以在基金合同上书面签章或签字为必要条件。</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每份基金份额具有同等的合法权益。</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（1）根据《基金法》、《运作办法》及其他有关规定，基金份额持有人的权利包括但不限于：</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1）分享基金财产收益；</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2）参与分配清算后的剩余基金财产；</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3）依法申请赎回其持有的基金份额；</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4）按照规定要求召开基金份额持有人大会；</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5）出席或者委派代表出席基金份额持有人大会，对基金份额持有人大会审议事项行使表决权；</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6）查阅或者复制公开披露的基金信息资料；</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7）监督基金管理人的投资运作；</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8）对基金管理人、基金托管人、基金销售机构损害其合法权益的行为依法提起诉讼或仲裁；</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9）法律法规及中国证监会规定的和基金合同约定的其他权利。</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（2）根据《基金法》、《运作办法》及其他有关规定，基金份额持有人的义务包括但不限于：</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1）认真阅读并遵守基金合同；</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2）了解所投资基金产品，了解自身风险承受能力，自行承担投资风险；</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3）关注基金信息披露，及时行使权利和履行义务；</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4）缴纳基金认购、申购、赎回款项及法律法规和基金合同所规定的费用；</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5）在其持有的基金份额范围内，承担基金亏损或者基金合同终止的有限责任；</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6）不从事任何有损基金及其他基金合同当事人合法权益的活动；</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7）执行生效的基金份额持有人大会的决定；</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8）返还在基金交易过程中因任何原因获得的不当得利；</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9）遵守基金管理人、基金托管人、销售机构和登记机构的相关交易及业务规则；</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10）提供基金管理人和监管机构依法要求提供的信息，以及不时的更新和补充，并保证其真实性；</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11）法律法规及中国证监会规定的和基金合同约定的其他义务。</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b/>
          <w:kern w:val="0"/>
          <w:sz w:val="24"/>
        </w:rPr>
        <w:t>（二）基金份额持有人大会</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基金份额持有人大会由基金份额持有人组成，基金份额持有人的合法授权代表有权代表基金份额持有人出席会议并表决。基金份额持有人持有的每一基金份额拥有平等的投票权。</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1、召开事由</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（1）当出现或需要决定下列事由之一的，应当召开基金份额持有人大会：</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1）终止基金合同；</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2）更换基金管理人；</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3）更换基金托管人；</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4）转换基金运作方式；</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5）提高基金管理人、基金托管人的报酬标准；</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6）变更基金类别；</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7）本基金与其他基金的合并；</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8）变更基金投资目标、范围或策略；</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9）变更基金份额持有人大会程序；</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10）基金管理人或基金托管人要求召开基金份额持有人大会；</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11）单独或合计持有本基金总份额10%以上（含10%）基金份额的基金份额持有人（以基金管理人收到提议当日的基金份额计算，下同）就同一事项书面要求召开基金份额持有人大会；</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12）对基金当事人权利和义务产生重大影响的其他事项；</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13）法律法规、基金合同或中国证监会规定的其他应当召开基金份额持有人大会的事项。</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（2）以下情况可由基金管理人和基金托管人协商后修改，不需召开基金份额持有人大会：</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1）调低基金管理费、基金托管费和其他应由本基金或基金份额持有人承担的费用；</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2）法律法规要求增加的基金费用的收取；</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3）在法律法规和基金合同规定的范围内调整本基金的申购费率、调低赎回费率、变更或增加收费方式；</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4）因相应的法律法规发生变动而应当对基金合同进行修改；</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5）对基金合同的修改对基金份额持有人利益无实质性不利影响或修改不涉及基金合同当事人权利义务关系发生重大变化；</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6）基金管理人根据基金实际运作情况和市场环境的变化，对年化现金支付比率进行调整；</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7）按照法律法规和基金合同规定不需召开基金份额持有人大会的以外的其他情形。</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2、会议召集人及召集方式</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（1）除法律法规规定或基金合同另有约定外，基金份额持有人大会由基金管理人召集；</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（2）基金管理人未按规定召集或不能召集时，由基金托管人召集；</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3）基金托管人认为有必要召开基金份额持有人大会的，应当向基金管理人提出书面提议。基金管理人应当自收到书面提议之日起10日内决定是否召集，并书面告知基金托管人。基金管理人决定召集的，应当自出具书面决定之日起60日内召开；基金管理人决定不召集，基金托管人仍认为有必要召开的，应当由基金托管人自行召集。</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4）代表基金份额10%以上（含10%）的基金份额持有人就同一事项书面要求召开基金份额持有人大会，应当向基金管理人提出书面提议。基金管理人应当自收到书面提议之日起10日内决定是否召集，并书面告知提出提议的基金份额持有人代表和基金托管人。基金管理人决定召集的，应当自出具书面决定之日起60日内召开；基金管理人决定不召集，代表基金份额10%以上（含10%）的基金份额持有人仍认为有必要召开的，应当向基金托管人提出书面提议。基金托管人应当自收到书面提议之日起10日内决定是否召集，并书面告知提出提议的基金份额持有人代表和基金管理人；基金托管人决定召集的，应当自出具书面决定之日起60日内召开。</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5）代表基金份额10%以上（含10%）的基金份额持有人就同一事项要求召开基金份额持有人大会，而基金管理人、基金托管人都不召集的，单独或合计代表基金份额10%以上（含10%）的基金份额持有人有权自行召集，并至少提前30日报中国证监会备案。基金份额持有人依法自行召集基金份额持有人大会的，基金管理人、基金托管人应当配合，不得阻碍、干扰。</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（6）基金份额持有人会议的召集人负责选择确定开会时间、地点、方式和权益登记日。</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3、召开基金份额持有人大会的通知时间、通知内容、通知方式</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（1）召开基金份额持有人大会，召集人应于会议召开前30日，在指定媒介公告。基金份额持有人大会通知应至少载明以下内容：</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1）会议召开的时间、地点和会议形式；</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2）会议拟审议的事项、议事程序和表决方式；</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3）有权出席基金份额持有人大会的基金份额持有人的权益登记日；</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4）授权委托证明的内容要求（包括但不限于代理人身份，代理权限和代理有效期限等）、送达时间和地点；</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5）会务常设联系人姓名及联系电话；</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6）出席会议者必须准备的文件和必须履行的手续；</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7）召集人需要通知的其他事项。</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2）采取通讯开会方式并进行表决的情况下，由会议召集人决定在会议通知中说明本次基金份额持有人大会所采取的具体通讯方式、委托的公证机关及其联系方式和联系人、书面表决意见寄交的截止时间和收取方式。</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3）如召集人为基金管理人，还应另行书面通知基金托管人到指定地点对表决意见的计票进行监督；如召集人为基金托管人，则应另行书面通知基金管理人到指定地点对表决意见的计票进行监督；如召集人为基金份额持有人，则应另行书面通知基金管理人和基金托管人到指定地点对表决意见的计票进行监督。基金管理人或基金托管人拒不派代表对书面表决意见的计票进行监督的，不影响表决意见的计票效力。</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4、基金份额持有人出席会议的方式</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基金份额持有人大会可通过现场开会方式、通讯开会方式或法律法规和监管机关允许的其他方式召开，会议的召开方式由会议召集人确定。</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1）现场开会。由基金份额持有人本人出席或以代理投票授权委托证明委派代表出席，现场开会时基金管理人和基金托管人的授权代表应当列席基金份额持有人大会，基金管理人或基金托管人不派代表列席的，不影响表决效力。现场开会同时符合以下条件时，可以进行基金份额持有人大会议程：</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1）亲自出席会议者持有基金份额的凭证、受托出席会议者出具的委托人持有基金份额的凭证及委托人的代理投票授权委托证明符合法律法规、基金合同和会议通知的规定，并且持有基金份额的凭证与基金管理人持有的登记资料相符；</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2）经核对，汇总到会者出示的在权益登记日持有基金份额的凭证显示，有效的基金份额不少于本基金在权益登记日基金总份额的50%（含50%）。</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（2）通讯开会。通讯开会系指基金份额持有人将其对表决事项的投票以书面形式在表决截至日以前送达至召集人指定的地址。通讯开会应以书面方式进行表决。</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在同时符合以下条件时，通讯开会的方式视为有效：</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1）会议召集人按基金合同约定公布会议通知后，在2个工作日内连续公布相关提示性公告；</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2）召集人按基金合同约定通知基金托管人（如果基金托管人为召集人，则为基金管理人）到指定地点对书面表决意见的计票进行监督。会议召集人在基金托管人（如果基金托管人为召集人，则为基金管理人）和公证机关的监督下按照会议通知规定的方式收取基金份额持有人的书面表决意见；基金托管人或基金管理人经通知不参加收取书面表决意见的，不影响表决效力；</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3）本人直接出具书面意见或授权他人代表出具书面意见的，基金份额持有人所持有的基金份额不小于在权益登记日基金总份额的50%（含50%）；</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4）上述第3）项中直接出具书面意见的基金份额持有人或受托代表他人出具书面意见的代理人，同时提交的持有基金份额的凭证、受托出具书面意见的代理人出具的委托人持有基金份额的凭证及委托人的代理投票授权委托证明符合法律法规、基金合同和会议通知的规定，并与基金登记机构记录相符；</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5）会议通知公布前报中国证监会备案。</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（3）在法律法规或监管机关允许的情况下，本基金亦可采用网络、电话等其他非书面方式由基金份额持有人向其授权代表进行授权。</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（4）在法律法规和监管机关允许的情况下，本基金亦可采用网络、电话等其他非现场方式或者以非现场方式与现场方式结合的方式召开基金份额持有人大会，会议程序比照现场开会和通讯方式开会的程序进行。</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5、议事内容与程序</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（1）议事内容及提案权</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议事内容为关系基金份额持有人利益的重大事项，如基金合同的重大修改、决定终止基金合同、更换基金管理人、更换基金托管人、与其他基金合并、法律法规及基金合同规定的其他事项以及会议召集人认为需提交基金份额持有人大会讨论的其他事项。</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基金份额持有人大会的召集人发出召集会议的通知后，对原有提案的修改应当在基金份额持有人大会召开前及时公告。</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基金份额持有人大会不得对未事先公告的议事内容进行表决。</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（2）议事程序</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1）现场开会</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在现场开会的方式下，首先由大会主持人按照下列第7条规定程序确定和公布监票人，然后由大会主持人宣读提案，经讨论后进行表决，并形成大会决议。大会主持人为基金管理人授权出席会议的代表，在基金管理人授权代表未能主持大会的情况下，由基金托管人授权其出席会议的代表主持；如果基金管理人授权代表和基金托管人授权代表均未能主持大会，则由出席大会的基金份额持有人和代理人所持表决权的50%以上（含50%）选举产生一名基金份额持有人作为该次基金份额持有人大会的主持人。基金管理人和基金托管人拒不出席或主持基金份额持有人大会，不影响基金份额持有人大会作出的决议的效力。</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会议召集人应当制作出席会议人员的签名册。签名册载明参加会议人员姓名（或单位名称）、身份证明文件号码、持有或代表有表决权的基金份额、委托人姓名（或单位名称）和联系方式等事项。</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2）通讯开会</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在通讯开会的情况下，首先由召集人提前30日公布提案，在所通知的表决截止日期后2个工作日内在公证机关监督下由召集人统计全部有效表决，在公证机关监督下形成决议。</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6、表决</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基金份额持有人所持每份基金份额有一票表决权。</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基金份额持有人大会决议分为一般决议和特别决议：</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（1）一般决议，一般决议须经参加大会的基金份额持有人或其代理人所持表决权的50%以上（含50%）通过方为有效；除下列第（2）项所规定的须以特别决议通过事项以外的其他事项均以一般决议的方式通过。</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2）特别决议，特别决议应当经参加大会的基金份额持有人或其代理人所持表决权的2/3以上（含2/3）通过方可做出。转换基金运作方式、更换基金管理人或者基金托管人、终止基金合同以特别决议通过方为有效。</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基金份额持有人大会采取记名方式进行投票表决。</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采取通讯方式进行表决时，除非在计票时有充分的相反证据证明，否则提交符合会议通知中规定的确认投资者身份文件的表决视为有效出席的投资者，表面符合会议通知规定的书面表决意见视为有效表决，表决意见模糊不清或相互矛盾的视为弃权表决，但应当计入出具书面意见的基金份额持有人所代表的基金份额总数。</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基金份额持有人大会的各项提案或同一项提案内并列的各项议题应当分开审议、逐项表决。</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7、计票</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（1）现场开会</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1）如大会由基金管理人或基金托管人召集，基金份额持有人大会的主持人应当在会议开始后宣布在出席会议的基金份额持有人和代理人中选举两名基金份额持有人代表与大会召集人授权的一名监督员共同担任监票人；如大会由基金份额持有人自行召集或大会虽然由基金管理人或基金托管人召集，但是基金管理人或基金托管人未出席大会的，基金份额持有人大会的主持人应当在会议开始后宣布在出席会议的基金份额持有人和代理人中选举三名基金份额持有人代表担任监票人。基金管理人或基金托管人不出席大会的，不影响计票的效力。</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2）监票人应当在基金份额持有人表决后立即进行清点并由大会主持人当场公布计票结果。</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3）如果会议主持人或基金份额持有人或代理人对于提交的表决结果有怀疑，可以在宣布表决结果后立即对所投票数要求进行重新清点。监票人应当进行重新清点，重新清点以一次为限。重新清点后，大会主持人应当当场公布重新清点结果。</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4）计票过程应由公证机关予以公证,基金管理人或基金托管人拒不出席大会的，不影响计票的效力。</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（2）通讯开会</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在通讯开会的情况下，计票方式为：由大会召集人授权的两名监督员在基金托管人授权代表（若由基金托管人召集，则为基金管理人授权代表）的监督下进行计票，并由公证机关对其计票过程予以公证。基金管理人或基金托管人拒派代表对书面表决意见的计票进行监督的，不影响计票和表决结果。</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8、生效与公告</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基金份额持有人大会的决议，召集人应当自通过之日起5日内报中国证监会核准或者备案。</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基金份额持有人大会的决议自中国证监会依法核准或者出具无异议意见之日起生效。</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基金份额持有人大会决议自生效之日起2日内在指定媒介上公告。如果采用通讯方式进行表决，在公告基金份额持有人大会决议时，必须将公证书全文、公证机构、公证员姓名等一同公告。</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基金管理人、基金托管人和基金份额持有人应当执行生效的基金份额持有人大会的决议。生效的基金份额持有人大会决议对全体基金份额持有人、基金管理人、基金托管人均有约束力。</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9、法律法规或监管部门对基金份额持有人大会另有规定的，从其规定。</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b/>
          <w:kern w:val="0"/>
          <w:sz w:val="24"/>
        </w:rPr>
        <w:t>（三）基金合同的变更与终止</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1、基金合同的变更</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1）变更基金合同涉及法律法规规定或本基金合同约定应经基金份额持有人大会决议通过的事项的，应召开基金份额持有人大会决议通过。对于可不经基金份额持有人大会决议通过的事项，由基金管理人和基金托管人同意后变更并公告，并报中国证监会备案。</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（2）关于基金合同变更的基金份额持有人大会决议经中国证监会核准或出具无异议意见后方可执行，自决议生效后两日内依照《信息披露办法》的规定在指定媒介公告。</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2、基金合同的终止事由</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有下列情形之一的，基金合同应当终止：</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（1）基金份额持有人大会决定终止的；</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（2）基金管理人、基金托管人职责终止，在6个月内没有新基金管理人、新基金托管人承接的；</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（3）基金合同约定的其他情形；</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（4）相关法律法规和中国证监会规定的其他情况。</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b/>
          <w:kern w:val="0"/>
          <w:sz w:val="24"/>
        </w:rPr>
        <w:t>（四）争议的处理和适用的法律</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各方当事人同意，因基金合同而产生的或与基金合同有关的一切争议，如经友好协商未能解决的，任何一方均有权将争议提交中国国际经济贸易仲裁委员会，按照中国国际经济贸易仲裁委员会届时有效的仲裁规则进行仲裁。仲裁地点为北京市。仲裁裁决是终局的，对各方当事人均有约束力，仲裁费用由败诉方承担。</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基金合同受中国法律管辖。</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b/>
          <w:kern w:val="0"/>
          <w:sz w:val="24"/>
        </w:rPr>
        <w:t>（五）基金合同存放及投资者取得基金合同的方式</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基金合同正本一式六份，除上报有关监管机构一式二份外，基金管理人、基金托管人各持有二份，每份具有同等的法律效力。</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基金合同可印制成册，供投资者在基金管理人、基金托管人、销售机构的办公场所和营业场所查阅，但应以基金合同正本为准。</w:t>
      </w:r>
    </w:p>
    <w:p>
      <w:pPr>
        <w:pStyle w:val="2"/>
        <w:snapToGrid w:val="0"/>
        <w:spacing w:before="240" w:beforeLines="0" w:after="0"/>
        <w:rPr>
          <w:rFonts w:ascii="宋体" w:hAnsi="宋体"/>
          <w:szCs w:val="30"/>
        </w:rPr>
      </w:pPr>
      <w:r>
        <w:br w:type="page"/>
      </w:r>
      <w:bookmarkStart w:id="46" w:name="_Toc256000049"/>
      <w:bookmarkStart w:id="47" w:name="_Toc256000022"/>
      <w:r>
        <w:rPr>
          <w:rFonts w:ascii="宋体" w:hAnsi="宋体"/>
          <w:sz w:val="30"/>
        </w:rPr>
        <w:t>二十二、托管协议的内容摘要</w:t>
      </w:r>
      <w:bookmarkEnd w:id="46"/>
      <w:bookmarkEnd w:id="47"/>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b/>
          <w:kern w:val="0"/>
          <w:sz w:val="24"/>
        </w:rPr>
        <w:t>（一）托管协议当事人</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1、基金管理人</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名称：交银施罗德基金管理有限公司</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注册地址：中国(上海)自由贸易试验区银城中路188号交通银行大楼二层（裙）</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办公地址：上海市浦东新区世纪大道8号国金中心二期21-22楼</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邮政编码：200120</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法定代表人：袁庆伟（代任）</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成立日期：2005年8月4日</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批准设立机关及批准设立文号：中国证监会证监基金字[2005]128号</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组织形式：有限责任公司</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注册资本：2亿元人民币</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存续期间：持续经营</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经营范围：基金募集、基金销售、资产管理和中国证监会许可的其它业务。</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2、基金托管人</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名称：中国农业银行股份有限公司</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注册地址：北京市东城区建国门内大街69号</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办公地址：北京市西城区复兴门内大街28号凯晨世贸中心东座</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邮政编码：100031</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法定代表人：谷澍</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成立时间：2009年1月15日</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基金托管资格批准文号：中国证监会证监基字[1998]23号</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注册资本：32,479,411.7万元人民币</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存续期间：持续经营</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经营范围：吸收公众存款；发放短期、中期、长期贷款；办理国内外结算；办理票据承兑与贴现；发行金融债券；代理发行、代理兑付、承销政府债券；买卖政府债券、金融债券；从事同业拆借；买卖、代理买卖外汇；结汇、售汇；从事银行卡业务；提供信用证服务及担保；代理收付款项及代理保险业务；提供保管箱服务；代理资金清算；各类汇兑业务；代理政策性银行、外国政府和国际金融机构贷款业务；贷款承诺；组织或参加银团贷款；外汇存款；外汇贷款；外汇汇款；外汇借款；发行、代理发行、买卖或代理买卖股票以外的外币有价证券；外汇票据承兑和贴现；自营、代客外汇买卖；外币兑换；外汇担保；资信调查、咨询、见证业务；企业、个人财务顾问服务；证券公司客户交易结算资金存管业务；证券投资基金托管业务；企业年金托管业务；产业投资基金托管业务；合格境外机构投资者境内证券投资托管业务；代理开放式基金业务；电话银行、手机银行、网上银行业务；金融衍生产品交易业务；经国务院银行业监督管理机构等监管部门批准的其他业务。</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b/>
          <w:kern w:val="0"/>
          <w:sz w:val="24"/>
        </w:rPr>
        <w:t>（二）基金托管人对基金管理人的业务监督和核查</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1、基金托管人根据有关法律法规的规定及基金合同的约定，对基金投资范围、投资对象进行监督。基金合同明确约定基金投资风格或证券选择标准的，基金管理人应按照基金托管人要求的格式提供投资品种池和交易对手库，以便基金托管人运用相关技术系统，对基金实际投资是否符合基金合同关于证券选择标准的约定进行监督，对存在疑义的事项进行核查。</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本基金的投资范围为具有良好流动性的金融工具，包括国内依法上市的股票（含中小板、创业板及其他中国证监会允许基金投资的股票、存托凭证）、债券、货币市场工具、权证以及法律法规或中国证监会允许基金投资的其它金融工具（但须符合中国证监会的相关规定）。</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本基金的投资组合比例为：股票（含存托凭证）、权证等权益类资产占基金资产净值的30%-70%，其中权证的投资比例不超过基金资产净值的3%；债券、资产支持证券、货币市场工具、银行存款等固定收益类资产和现金不低于基金资产净值的30%，其中现金或到期日在一年以内的政府债券投资比例不低于基金资产净值的5%，现金不包括结算备付金、存出保证金和应收申购款等。</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如法律法规或监管机构以后允许基金投资其他品种，基金管理人在履行适当程序后，可以将其纳入投资范围，并可依据届时有效的法律法规适时合理地调整投资范围。</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2、基金托管人根据有关法律法规的规定及基金合同的约定，对基金投资、融资、融券比例进行监督。基金托管人按下述比例和调整期限进行监督：</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（1）本基金持有一家上市公司的股票，其市值不超过基金资产净值的10%；</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（2）本基金与本基金管理人管理的且由本托管人托管的其他基金持有一家公司发行的证券，其市值不超过该证券的10%；</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（3）进入全国银行间同业市场进行债券回购的资金余额不超过基金资产净值的40%。债券回购最长期限为1年，债券回购到期后不得展期；</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（4）本基金参与股票发行申购，本基金所申报的金额不超过本基金的总资产，本基金所申报的股票数量不超过拟发行股票公司本次发行股票的总量；</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5）本基金在任何交易日买入权证的总金额，不得超过上一交易日基金资产净值的5‰；本基金持有的全部权证，其市值不得超过基金资产净值的3%；本基金与本基金管理人管理的其他基金持有的同一权证，不得超过该权证的10%；</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（6）本基金应投资于信用级别评级为BBB以上(含BBB)的资产支持证券。基金持有资产支持证券期间，如果其信用等级下降、不再符合投资标准，应在评级报告发布之日起3个月内予以全部卖出；</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7）本基金持有的同一（指同一信用级别）资产支持证券的比例，不得超过该资产支持证券规模的10%；本基金投资于同一原始权益人的各类资产支持证券的比例，不得超过基金资产净值的10%；本基金管理人管理的全部证券投资基金投资于同一原始权益人的各类资产支持证券，不得超过其各类资产支持证券合计规模的10%；本基金持有的全部资产支持证券，其市值不得超过基金资产净值的20%；</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（8）保持不低于基金资产净值5%的现金或者到期日在一年以内的政府债券，其中现金不包括结算备付金、存出保证金和应收申购款等；</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（9）本基金不得违反基金合同中有关投资范围、投资策略、投资比例的规定；</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10）本基金管理人管理的且由本基金托管人托管的全部开放式基金（包括开放式基金以及处于开放期的定期开放基金）持有一家上市公司发行的可流通股票，不得超过该上市公司可流通股票的15%；本基金管理人管理的且由本基金托管人托管的全部投资组合持有一家上市公司发行的可流通股票，不得超过该上市公司可流通股票的30%；</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11）本基金主动投资于流动性受限资产的市值合计不得超过基金资产净值的15%；因证券市场波动、上市公司股票停牌、基金规模变动等基金管理人之外的因素致使基金不符合该比例限制的，基金管理人不得主动新增流动性受限资产的投资；</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（12）本基金与私募类证券资管产品及中国证监会认定的其他主体为交易对手开展逆回购交易的，可接受质押品的资质要求应当与基金合同约定的投资范围保持一致；</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（13）本基金投资存托凭证的比例限制依照境内上市交易的股票执行；</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（14）法律法规或监管部门对上述比例限制另有规定的，从其规定。</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基金管理人应当自基金合同生效之日起6个月内使基金的投资组合比例符合基金合同的有关约定。除上述第（6）、（8）、（11）、（12）项外，因证券市场波动、上市公司合并、基金规模变动等基金管理人之外的因素致使基金投资比例不符合上述规定的投资比例的，基金管理人应当在10个交易日内进行调整。法律法规或监管部门另有规定的，从其规定。</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上述投资组合限制条款中，若属法律法规或监管部门的强制性规定，则当法律法规或监管部门取消或修改上述限制，如适用于本基金，基金管理人在履行适当程序后，本基金投资所受限制相应调整。</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基金托管人对基金投资的监督和检查自基金合同生效之日起开始。</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3、基金托管人根据有关法律法规的规定及基金合同的约定，对本协议第十五条第九项基金投资禁止行为进行监督。基金托管人通过事后监督方式对基金管理人基金投资禁止行为和关联交易进行监督。根据法律法规有关基金禁止从事关联交易的规定，基金管理人和基金托管人相互提供与本机构有控股关系的股东、与本机构有其他重大利害关系的公司名单及有关关联方交易证券名单。基金管理人和基金托管人有责任确保关联交易名单的真实性、准确性、完整性，并负责及时将更新后的名单发送给对方。</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若基金托管人发现基金管理人与关联交易名单中列示的关联方进行法律法规禁止基金从事的关联交易时，基金托管人应及时提醒并协助基金管理人采取必要措施阻止该关联交易的发生，如基金托管人采取必要措施后仍无法阻止关联交易发生时，基金托管人有权向中国证监会报告。对于基金管理人已成交的关联交易，如基金托管人事前已严格遵循了监督流程仍无法阻止该关联交易的发生，而只能按相关法律法规和交易所规则进行事后结算，则基金托管人不承担由此造成的损失，并应向中国证监会报告。</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4、基金托管人根据有关法律法规的规定及基金合同的约定，对基金管理人参与银行间债券市场进行监督。基金管理人应在基金投资运作之前向基金托管人提供经慎重选择的、本基金适用的银行间债券市场交易对手名单。基金托管人监督基金管理人是否按事前提供的银行间债券市场交易对手名单进行交易。基金管理人可以每半年对银行间债券市场交易对手名单进行更新，如基金管理人根据市场情况需要临时调整银行间债券市场交易对手名单，应向基金托管人说明理由，在与交易对手发生交易前1个工作日内与基金托管人协商解决。基金管理人与基金托管人完成确认后，被确认调整的名单开始生效，新名单生效前已与本次剔除的交易对手所进行但尚未结算的交易，仍应按照协议进行结算。基金管理人负责对交易对手的资信控制，按银行间债券市场的交易规则进行交易，基金托管人则根据银行间债券市场成交单对合同履行情况进行监督，但不承担交易对手不履行合同造成的损失。如基金托管人事后发现基金管理人没有按照事先约定的交易对手进行交易时，基金托管人应及时提醒基金管理人，基金托管人不承担由此造成的任何损失和责任。</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5、基金托管人根据有关法律法规的规定及基金合同的约定，对基金管理人选择存款银行进行监督。</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基金投资银行定期存款的，基金管理人应根据法律法规的规定及基金合同的约定，确定符合条件的所有存款银行的名单，并及时提供给基金托管人，基金托管人应据以对基金投资银行存款的交易对手是否符合有关规定进行监督。</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本基金投资银行存款应符合如下规定：</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（1）基金管理人、基金托管人应当与存款银行建立定期对账机制，确保基金银行存款业务账目及核算的真实、准确。</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（2）基金托管人应加强对基金银行存款业务的监督与核查，严格审查、复核相关协议、账户资料、投资指令、存款证实书等有关文件，切实履行托管职责。</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（3）基金管理人与基金托管人在开展基金存款业务时，应严格遵守《基金法》、《运作办法》等有关法律法规，以及国家有关账户管理、利率管理、支付结算等的各项规定。</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基金托管人发现基金管理人在选择存款银行时有违反有关法律法规的规定及基金合同的约定的行为，应及时以书面形式通知基金管理人在10个工作日内纠正。基金管理人对基金托管人通知的违规事项未能在10个工作日内纠正的，基金托管人应报告中国证监会。基金托管人发现基金管理人有重大违规行为，应立即报告中国证监会，同时通知基金管理人在10个工作日内纠正或拒绝结算。</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6、基金托管人根据有关法律法规的规定及基金合同的约定，对基金资产净值计算、基金份额净值计算、应收资金到账、基金费用开支及收入确定、基金收益分配、相关信息披露、基金宣传推介材料中登载基金业绩表现数据等进行监督和核查。</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如果基金管理人未经基金托管人的审核擅自将不实的业绩表现数据印制在宣传推介材料上，则基金托管人对此不承担任何责任，并将在发现后立即报告中国证监会。</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7、基金托管人根据有关法律法规的规定及基金合同的约定，对基金投资流通受限证券进行监督。</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（1）基金投资流通受限证券，应遵守《关于规范基金投资非公开发行证券行为的紧急通知》、《关于基金投资非公开发行股票等流通受限证券有关问题的通知》等有关法律法规规定。</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2）流通受限证券，包括由《上市公司证券发行管理办法》规范的非公开发行股票、公开发行股票网下配售部分等在发行时明确一定期限锁定期的可交易证券，不包括由于发布重大消息或其他原因而临时停牌的证券、已发行未上市证券、回购交易中的质押券等流通受限证券。</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3）在首次投资流通受限证券之前，基金管理人应当制定相关投资决策流程、风险控制制度、流动性风险控制预案等规章制度。基金管理人应当根据基金流动性的需要合理安排流通受限证券的投资比例，并在风险控制制度中明确具体比例，避免基金出现流动性风险。上述规章制度须经基金管理人董事会批准。上述规章制度经董事会通过之后，基金管理人应当将上述规章制度以及董事会批准上述规章制度的决议提交给基金托管人。基金托管人据此监督基金管理人的流通受限证券投资行为。</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（4）在投资流通受限证券之前，基金管理人应至少提前一个交易日向基金托管人提供有关非公开定向增发流通受限证券的相关信息，具体应当包括但不限于如下文件（如有）：</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拟发行数量、定价依据、监管机构的批准证明文件复印件、基金管理人与承销商签订的销售协议复印件、缴款通知书、基金拟认购的数量、价格、总成本、划款账号、划款金额、划款时间文件等。基金管理人应保证上述信息的真实、完整。</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5）基金托管人在监督基金管理人投资流通受限证券的过程中，如认为因市场出现剧烈变化导致基金管理人的具体投资行为可能对基金财产造成较大风险，基金托管人有权要求基金管理人对该风险的消除或防范措施进行补充和整改，并做出书面说明。否则，基金托管人经事先书面告知基金管理人，有权拒绝执行其有关指令。因拒绝执行该指令造成基金财产损失的，基金托管人不承担任何责任，并有权报告中国证监会。</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6）基金管理人应保证基金投资的流通受限证券登记存管在本基金名下，并保证基金托管人能够正常查询。因基金管理人原因产生的流通受限证券登记存管问题，造成基金财产的损失或基金托管人无法安全保管基金财产的责任与损失，由基金管理人承担。</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7）如果基金管理人未按照本协议的约定向基金托管人报送相关数据或者报送了虚假的数据，导致基金托管人不能履行托管人职责的，基金管理人应依法承担相应法律后果。除基金托管人未能依据法律法规、基金合同及本协议履行职责外，因投资流通受限证券产生的损失，基金托管人按照本协议履行监督职责后不承担上述损失。</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8、基金托管人发现基金管理人的上述事项及投资指令或实际投资运作中违反法律法规和基金合同的规定，应及时以书面形式通知基金管理人限期纠正。基金管理人应积极配合和协助基金托管人的监督和核查。基金管理人收到通知后应在下一工作日及时核对并以书面形式给基金托管人发出回函，就基金托管人的疑义进行解释或举证，说明违规原因及纠正期限，并保证在规定期限内及时改正。在上述规定期限内，基金托管人有权随时对通知事项进行复查，督促基金管理人改正。基金管理人对基金托管人通知的违规事项未能在限期内纠正的，基金托管人应报告中国证监会。基金托管人发现基金管理人依据交易程序已经生效的投资指令违反法律、行政法规和其他有关规定，或者违反基金合同约定的，应当立即通知基金管理人，并报告中国证监会。</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9、基金管理人有义务配合和协助基金托管人依照法律法规、基金合同和本托管协议对基金业务执行核查。对基金托管人发出的书面提示，基金管理人应在规定时间内答复并改正，或就基金托管人的疑义进行解释或举证；对基金托管人按照法规要求需向中国证监会报送基金监督报告的事项，基金管理人应积极配合提供相关数据资料和制度等。</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10、基金托管人发现基金管理人有重大违规行为，应及时报告中国证监会，同时通知基金管理人限期纠正，并将纠正结果报告中国证监会。基金管理人无正当理由，拒绝、阻挠对方根据本协议规定行使监督权，或采取拖延、欺诈等手段妨碍对方进行有效监督，情节严重或经基金托管人提出警告仍不改正的，基金托管人应报告中国证监会。</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b/>
          <w:kern w:val="0"/>
          <w:sz w:val="24"/>
        </w:rPr>
        <w:t>（三）基金管理人对基金托管人的业务核查</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1、基金管理人对基金托管人履行托管职责情况进行核查，核查事项包括基金托管人安全保管基金财产、开设基金财产的资金账户和证券账户、复核基金管理人计算的基金资产净值和基金份额净值、根据基金管理人指令办理清算交收、相关信息披露和监督基金投资运作等行为。</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2、基金管理人发现基金托管人擅自挪用基金财产、未对基金财产实行分账管理、未执行或无故延迟执行基金管理人资金划拨指令、泄露基金投资信息等违反《基金法》、基金合同、本协议及其他有关规定时，应及时以书面形式通知基金托管人限期纠正。基金托管人收到通知后应在下一工作日及时核对并以书面形式给基金管理人发出回函，说明违规原因及纠正期限，并保证在规定期限内及时改正。在上述规定期限内，基金管理人有权随时对通知事项进行复查，督促基金托管人改正。基金托管人应积极配合基金管理人的核查行为，包括但不限于：提交相关资料以供基金管理人核查托管财产的完整性和真实性，在规定时间内答复基金管理人并改正。</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3、基金管理人发现基金托管人有重大违规行为，应及时报告中国证监会，同时通知基金托管人限期纠正，并将纠正结果报告中国证监会。基金托管人无正当理由，拒绝、阻挠对方根据本协议规定行使监督权，或采取拖延、欺诈等手段妨碍对方进行有效监督，情节严重或经基金管理人提出警告仍不改正的，基金管理人应报告中国证监会。</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b/>
          <w:kern w:val="0"/>
          <w:sz w:val="24"/>
        </w:rPr>
        <w:t>（四）基金财产的保管</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1、基金财产保管的原则</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（1）基金财产应独立于基金管理人、基金托管人的固有财产。</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（2）基金托管人应安全保管基金财产。未经基金管理人依据合法程序作出的合法合规指令，基金托管人不得自行运用、处分、分配基金的任何财产。</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（3）基金托管人按照规定开设基金财产的资金账户和证券账户。</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（4）基金托管人对所托管的不同基金财产分别设置账户，与基金托管人的其他业务和其他基金的托管业务实行严格的分账管理，确保基金财产的完整与独立。</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（5）基金托管人根据基金管理人的指令，按照基金合同和本协议的约定保管基金财产，如有特殊情况双方可另行协商解决。</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6）对于因为基金申购、投资产生的应收资产，应由基金管理人负责与有关当事人确定到账日期并通知基金托管人，到账日基金财产没有到达基金账户的，基金托管人应及时通知基金管理人采取措施进行催收。由此给基金财产造成损失的，基金托管人对此不承担任何责任。</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（7）除依据法律法规和基金合同的规定外，基金托管人不得委托第三人托管基金财产。</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2、基金募集期间及募集资金的验资</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（1）基金募集期间的认购款项应存于专用账户。该账户由基金管理人或基金管理人委托的登记机构开立并管理。</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2）基金募集期满或基金停止募集时，募集的基金份额总额、基金募集金额、基金份额持有人人数符合《基金法》、《运作办法》等有关规定后，基金管理人应将募集到的属于基金财产的全部资金划入基金托管人开立的基金托管资金账户，同时在规定时间内，聘请具有从事证券相关业务资格的会计师事务所进行验资，出具验资报告。出具的验资报告由参加验资的2名或2名以上中国注册会计师签字方为有效。</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（3）若基金募集期限届满，未能达到基金备案的条件，由基金管理人按规定办理退款等事宜，基金托管人应提供充分协助。</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3、基金托管资金账户的开立和管理</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（1）基金托管人应负责本基金的资金账户的开设和管理。</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2）基金托管人可以本基金的名义在其营业机构开设本基金的资金账户，并根据基金管理人合法合规的指令办理资金收付。本基金的银行预留印鉴由基金托管人保管和使用。本基金的一切货币收支活动，包括但不限于投资、支付赎回金额、支付基金收益、收取申购款，均需通过本基金的资金账户进行。</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（3）基金托管资金账户的开立和使用，限于满足开展本基金业务的需要。基金托管人和基金管理人不得假借本基金的名义开立任何其他银行账户；亦不得使用基金的任何账户进行本基金业务以外的活动。</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（4）基金托管资金账户的开立和管理应符合相关法律法规的有关规定。</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（5）在符合法律法规规定的条件下，基金托管人可以通过基金托管人专用账户办理基金资产的支付。</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4、基金证券账户和结算备付金账户的开立和管理</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（1）基金托管人在中国证券登记结算有限责任公司上海分公司、深圳分公司为本基金开立基金托管人与基金联名的证券账户。</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（2）基金证券账户的开立和使用，限于满足开展本基金业务的需要。基金托管人和基金管理人不得出借或未经对方同意擅自转让基金的任何证券账户，亦不得使用基金的任何账户进行本基金业务以外的活动。</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3）基金托管人以自身法人名义在中国证券登记结算有限责任公司开立结算备付金账户，并代表所托管的基金完成与中国证券登记结算有限责任公司的一级法人清算工作，基金管理人应予以积极协助。结算备付金的收取按照中国证券登记结算有限责任公司的规定执行。</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（4）基金证券账户的开立和证券账户卡的保管由基金托管人负责，账户资产的管理和运用由基金管理人负责。</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5）在本托管协议生效日之后，本基金被允许从事其他投资品种的投资业务，涉及相关账户的开设、使用的，按有关规定开设、使用并管理；若无相关规定，则基金托管人应当比照并遵守上述关于账户开设、使用的规定。</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5、债券托管专户的开设和管理</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基金合同生效后，基金托管人根据中国人民银行、中央国债登记结算有限责任公司的有关规定，以本基金的名义在中央国债登记结算有限责任公司开立债券托管与结算账户，并代表基金进行银行间市场债券的结算。基金管理人和基金托管人同时代表基金签订全国银行间债券市场债券回购主协议。</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6、其他账户的开立和管理</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（1）因业务发展需要而开立的其他账户，可以根据法律法规和基金合同的规定，在基金管理人和基金托管人商议后开立。新账户按有关规则使用并管理。</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（2）法律法规等有关规定对相关账户的开立和管理另有规定的，从其规定办理。</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7、基金财产投资的有关有价凭证等的保管</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基金财产投资的有关实物证券、银行定期存款存单等有价凭证由基金托管人负责妥善保管，保管凭证由基金托管人持有。实物证券的购买和转让，由基金托管人根据基金管理人的指令办理。属于基金托管人实际有效控制下的实物证券在基金托管人保管期间的损坏、灭失，由此产生的责任应由基金托管人承担。基金托管人对基金托管人以外机构实际有效控制的证券不承担保管责任。</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8、与基金财产有关的重大合同的保管</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由基金管理人代表基金签署的、与基金有关的重大合同的原件分别由基金管理人、基金托管人保管。除协议另有规定外，基金管理人在代表基金签署与基金有关的重大合同时应保证基金一方持有两份以上的正本，以便基金管理人和基金托管人至少各持有一份正本的原件。重大合同的保管期限为基金合同终止后15年。</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b/>
          <w:kern w:val="0"/>
          <w:sz w:val="24"/>
        </w:rPr>
        <w:t>（五）基金资产净值计算和会计核算</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1、基金资产净值的计算及复核程序</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（1）基金资产净值</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基金资产净值是指基金资产总值减去基金负债后的价值。</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基金份额净值是指计算日基金资产净值除以计算日基金份额总数后得到的数值。基金份额净值的计算，精确到0.001元，小数点后第四位四舍五入，由此产生的误差计入基金财产。国家另有规定的，从其规定。</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每工作日计算基金资产净值及基金份额净值，并按规定公告，但根据法律法规或基金合同的规定暂停估值时除外。</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（2）复核程序</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基金管理人每工作日对基金资产进行估值后，将基金份额净值结果发送基金托管人，经基金托管人复核无误后，由基金管理人依据基金合同和相关法律法规的规定对外公布。月末、年中和年末估值复核与基金会计账目的核对同时进行。</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2、基金资产估值方法和特殊情形的处理</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（1）估值对象</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基金所拥有的股票、权证、债券和银行存款本息、应收款项、其它投资等资产及负债。</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（2）估值方法</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1）证券交易所上市的有价证券的估值</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a、交易所上市的有价证券（包括股票、权证等），以其估值日在证券交易所挂牌的市价（收盘价）估值；估值日无交易的，且最近交易日后经济环境未发生重大变化或证券发行机构未发生影响证券价格的重大事件的，以最近交易日的市价（收盘价）估值；如最近交易日后经济环境发生了重大变化或证券发行机构未发生影响证券价格的重大事件的，可参考类似投资品种的现行市价及重大变化因素，调整最近交易市价，确定公允价格；</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b、交易所市场上市交易或挂牌转让的固定收益品种（另有规定的除外），选取第三方估值机构提供的相应品种当日的估值净价进行估值；</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c、交易所上市未实行净价交易的债券按估值日收盘价减去债券收盘价中所含的债券应收利息得到的净价进行估值；估值日没有交易的，且最近交易日后经济环境未发生重大变化，按最近交易日债券收盘价减去债券收盘价中所含的债券应收利息得到的净价进行估值。如最近交易日后经济环境发生了重大变化的，可参考类似投资品种的现行市价及重大变化因素，调整最近交易市价，确定公允价格；</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d、交易所上市不存在活跃市场的有价证券，采用估值技术确定公允价值。交易所上市的资产支持证券，采用估值技术确定公允价值，在估值技术难以可靠计量公允价值的情况下，按成本估值。</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2）处于未上市期间的有价证券应区分如下情况处理：</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a、送股、转增股、配股和公开增发的新股，按估值日在证券交易所挂牌的同一股票的估值方法估值；</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b、首次公开发行未上市的股票、债券和权证，采用估值技术确定公允价值，在估值技术难以可靠计量公允价值的情况下，按成本估值；</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c、首次公开发行有明确锁定期的股票，同一股票在交易所上市后，按交易所上市的同一股票的估值方法估值；非公开发行有明确锁定期的股票，按监管机构或行业协会有关规定确定公允价值。</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3）在全国银行间债券市场交易的债券、资产支持证券等固定收益品种，采用估值技术确定公允价值。</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4）同一债券同时在两个或两个以上市场交易的，按债券所处的市场分别估值。</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5）如有确凿证据表明按上述方法进行估值不能客观反映其公允价值的，基金管理人可根据具体情况与基金托管人商定后，按最能反映公允价值的价格估值。</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6）本基金投资存托凭证的估值核算依照境内上市交易的股票执行。</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7）相关法律法规以及监管部门有强制规定的，从其规定。如有新增事项，按国家最新规定估值。</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如基金管理人或基金托管人发现基金估值违反基金合同订明的估值方法、程序及相关法律法规的规定或者未能充分维护基金份额持有人利益时，应立即通知对方，共同查明原因，双方协商解决，以约定的方法、程序和相关法律法规的规定进行估值，以维护基金份额持有人的利益。</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根据有关法律法规，基金资产净值计算和基金会计核算的义务由基金管理人承担。本基金的基金会计责任方由基金管理人担任。因此，就与本基金有关的会计问题，如经相关各方在平等基础上充分讨论后，仍无法达成一致的意见，按照基金管理人对基金资产净值的计算结果对外予以公布。</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（3）特殊情形的处理</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1）基金管理人、基金托管人按估值方法的第5）项进行估值时，所造成的误差不作为基金份额净值错误处理。</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2）由于不可抗力原因，或由于证券交易所或登记结算公司发送的数据错误，或国家会计政策变更、市场规则变更等，基金管理人和基金托管人虽然已经采取必要、适当、合理的措施进行检查，但未能发现该错误的，由此造成的基金资产估值错误，基金管理人和基金托管人免除赔偿责任。但基金管理人、基金托管人应积极采取必要的措施消除由此造成的影响。</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3、基金估值错误的处理方式</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1）当基金份额净值小数点后3位以内（含第3位）发生估值错误时，视为基金份额净值错误；基金份额净值出现错误时，基金管理人应当立即予以纠正，通报基金托管人，并采取合理的措施防止损失进一步扩大；错误偏差达到或超过基金份额净值的0.25%时，基金管理人应当及时通知基金托管人并报中国证监会；错误偏差达到基金份额净值的0.50%时，基金管理人应当公告、通报基金托管人并报中国证监会备案；当发生基金份额净值错误时，由基金管理人负责处理，由此给基金份额持有人和基金造成损失的，应由基金管理人先行赔付，基金管理人按差错情形，有权向其他当事人追偿。</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（2）当基金份额净值错误给基金和基金份额持有人造成损失需要进行赔偿时，基金管理人和基金托管人应根据实际情况界定双方承担的责任，经确认后按以下条款进行赔偿：</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1）本基金的基金会计责任方由基金管理人担任。与本基金有关的会计问题，如经双方在平等基础上充分讨论后，尚不能达成一致时，按基金会计责任方的建议执行，由此给基金份额持有人和基金造成的损失，由基金管理人负责赔付。</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2）若基金管理人计算的基金份额净值已由基金托管人复核确认后公告，而且基金托管人未对计算过程提出疑义或要求基金管理人书面说明，基金份额净值错误且造成基金份额持有人损失的，应根据法律法规的规定对基金份额持有人或基金支付赔偿金，就实际向基金份额持有人或基金支付的赔偿金额，其中基金管理人承担50%，基金托管人承担50%。</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3）如基金管理人和基金托管人对基金份额净值的计算结果，虽然多次重新计算和核对，尚不能达成一致时，为避免不能按时公布基金份额净值的情形，以基金管理人的计算结果对外公布，由此给基金份额持有人和基金造成的损失，由基金管理人负责赔付。</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4）由于基金管理人提供的信息错误（包括但不限于基金申购或赎回金额等），基金托管人在履行正常的复核程序后仍不能发现该错误，进而导致基金份额净值错误而引起的基金份额持有人和基金财产的损失，由基金管理人负责赔付。</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（3）基金管理人和基金托管人由于各自技术系统设置而产生的净值计算尾差，以基金管理人计算结果为准。</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（4）前述内容如法律法规或监管机关另有规定的，从其规定处理。如果行业有通行做法，双方当事人应本着平等和保护基金份额持有人利益的原则进行协商。</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4、暂停估值与公告基金份额净值的情形</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（1）基金投资所涉及的证券交易市场遇法定节假日或因其他原因暂停营业时；</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（2）因不可抗力致使基金管理人、基金托管人无法准确评估基金资产价值时；</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（3）占基金相当比例的投资品种的估值出现重大转变，而基金管理人为保障基金份额持有人的利益，决定延迟估值时；</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（4）当前一估值日基金资产净值50%以上的资产出现无可参考的活跃市场价格且采用估值技术仍导致公允价值存在重大不确定性时，经与基金托管人协商确认后，基金管理人应当暂停估值；</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（5）中国证监会和基金合同认定的其他情形。</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5、基金会计制度</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按国家有关部门规定的会计制度执行。</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6、基金账册的建立</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基金管理人进行基金会计核算并编制基金财务会计报告。基金管理人独立地设置、记录和保管本基金的全套账册。基金托管人按规定制作相关账册并与基金管理人核对。若基金管理人和基金托管人对会计处理方法存在分歧，应以基金管理人的处理方法为准。若当日核对不符，暂时无法查找到错账的原因而影响到基金资产净值的计算和公告的，以基金管理人的账册为准。</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7、基金财务报表与报告的编制和复核</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（1）财务报表的编制</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基金管理人应当及时编制并对外提供真实、完整的基金财务会计报告。月度报表的编制，基金管理人应于每月终了后5个工作日内完成；季度报告应在季度结束之日起15个工作日内编制完毕并予以公告；中期报告在会计年度半年终了后两个月内编制完毕并予以公告；年度报告在会计年度结束后三个月内编制完毕并予以公告。基金合同生效不足2个月的，基金管理人可以不编制当期季度报告、中期报告或者年度报告。</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（2）报表复核</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基金管理人在报表或定期报告完成当日，对报表盖章后，以加密传真方式或双方书面商定的其他方式将有关报表提供基金托管人复核。</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基金管理人在月度报表完成当日，将报表盖章后提供给基金托管人复核；基金托管人在收到后应在3日内进行复核，并将复核结果书面通知基金管理人。基金管理人在季度报告完成当日，将有关报告提供给基金托管人复核，基金托管人应在收到后7个工作日内完成复核，并将复核结果书面通知基金管理人。基金管理人在中期报告完成当日，将有关报告提供给基金托管人复核，基金托管人应在收到后30日内完成复核，并将复核结果书面通知基金管理人。基金管理人在年度报告完成当日，将有关报告提供基金托管人复核，基金托管人应在收到后45日内完成复核，并将复核结果书面通知基金管理人。基金管理人和基金托管人之间的上述文件往来均以加密传真的方式或双方商定的其他方式进行。</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基金托管人在复核过程中，发现双方的报表存在不符时，基金管理人和基金托管人应共同查明原因，进行调整，调整以双方认可的账务处理方式为准；若双方无法达成一致，以基金管理人的账务处理为准。核对无误后，基金托管人在基金管理人提供的报告上加盖托管业务部门公章或者出具加盖托管业务专用章的复核意见书，双方各自留存一份。如果基金管理人与基金托管人不能于应当发布公告之日之前就相关报表达成一致，基金管理人有权按照其编制的报表对外发布公告，基金托管人有权就相关情况报中国证监会备案。</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b/>
          <w:kern w:val="0"/>
          <w:sz w:val="24"/>
        </w:rPr>
        <w:t>（六）基金份额持有人名册的保管</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本基金的基金管理人和基金托管人须分别妥善保管的基金份额持有人名册，包括基金合同生效日、基金合同终止日、基金权益登记日、基金份额持有人大会权益登记日、每年6月30日、12月31日的基金份额持有人名册。基金份额持有人名册的内容至少应包括持有人的名称和持有的基金份额。</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基金份额持有人名册由登记机构编制，由基金管理人审核并提交基金托管人保管。基金托管人有权要求基金管理人提供任意一个交易日或全部交易日的基金份额持有人名册，基金管理人应及时提供，不得拖延或拒绝提供。</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基金管理人应及时向基金托管人提交基金份额持有人名册。每年6月30日和12月31日的基金份额持有人名册应于下月前十个工作日内提交；基金合同生效日、基金合同终止日等涉及到基金重要事项日期的基金份额持有人名册应于发生日后十个工作日内提交。</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基金管理人和基金托管人应妥善保管基金份额持有人名册，保存期限为15年。基金托管人不得将所保管的基金份额持有人名册用于基金托管业务以外的其他用途，并应遵守保密义务。若基金管理人或基金托管人由于自身原因无法妥善保管基金份额持有人名册，应按有关法规规定各自承担相应的责任。</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b/>
          <w:kern w:val="0"/>
          <w:sz w:val="24"/>
        </w:rPr>
        <w:t>（七）争议解决方式</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因本协议产生或与之相关的争议，双方当事人应通过协商、调解解决，协商、调解不能解决的，任何一方均有权将争议提交中国国际经济贸易仲裁委员会，仲裁地点为北京市，按照中国国际经济贸易仲裁委员会届时有效的仲裁规则进行仲裁。仲裁裁决是终局的，对当事人均有约束力。</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争议处理期间，双方当事人应恪守基金管理人和基金托管人职责，各自继续忠实、勤勉、尽责地履行基金合同和本托管协议规定的义务，维护基金份额持有人的合法权益。</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本协议适用中华人民共和国法律并从其解释。</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b/>
          <w:kern w:val="0"/>
          <w:sz w:val="24"/>
        </w:rPr>
        <w:t>（八）托管协议的变更与终止</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1、托管协议的变更程序</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本协议双方当事人经协商一致，可以对协议进行修改。修改后的新协议，其内容不得与基金合同的规定有任何冲突。基金托管协议的变更报中国证监会核准或备案后生效。</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2、托管协议终止的情形</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（1）基金合同终止；</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（2）基金托管人解散、依法被撤销、破产或由其他基金托管人接管基金资产；</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（3）基金管理人解散、依法被撤销、破产或由其他基金管理人接管基金管理权；</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（4）发生法律法规、中国证监会或基金合同规定的其他终止事项。</w:t>
      </w:r>
    </w:p>
    <w:p>
      <w:pPr>
        <w:pStyle w:val="2"/>
        <w:snapToGrid w:val="0"/>
        <w:spacing w:before="240" w:beforeLines="0" w:after="0"/>
        <w:rPr>
          <w:rFonts w:ascii="宋体" w:hAnsi="宋体"/>
          <w:szCs w:val="30"/>
        </w:rPr>
      </w:pPr>
      <w:r>
        <w:br w:type="page"/>
      </w:r>
      <w:bookmarkStart w:id="48" w:name="_Toc256000050"/>
      <w:bookmarkStart w:id="49" w:name="_Toc256000023"/>
      <w:r>
        <w:rPr>
          <w:rFonts w:ascii="宋体" w:hAnsi="宋体"/>
          <w:sz w:val="30"/>
        </w:rPr>
        <w:t>二十三、对基金份额持有人的服务</w:t>
      </w:r>
      <w:bookmarkEnd w:id="48"/>
      <w:bookmarkEnd w:id="49"/>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基金管理人承诺为基金份额持有人提供一系列的服务。基金管理人根据基金份额持有人的需要和市场的变化，有权增加或变更服务项目。主要服务内容如下：</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b/>
          <w:kern w:val="0"/>
          <w:sz w:val="24"/>
        </w:rPr>
        <w:t>（一）持有人交易资料的寄送服务</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1、每次交易结束后，投资人可在T+2个工作日后通过销售机构的网点查询和打印确认单。</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2、本基金管理人将向持有人提供电子或纸质对账单，需要订阅或取消的客户可与本基金管理人客户服务中心（400-700-5000，021-61055000）联系。</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b/>
          <w:kern w:val="0"/>
          <w:sz w:val="24"/>
        </w:rPr>
        <w:t>（二）网上直销服务</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本基金管理人已开通基金网上直销业务，个人投资者可以直接通过本基金管理人网站的网上直销交易平台办理开户和本基金的申购、赎回、定期定额投资和转换等业务。通过网上直销交易平台办理本基金的申购和定期定额投资业务的个人投资者将享受申购费率的优惠，通过网上直销交易平台进行基金转换，从各基金招募说明书所载的零申购费率的基金转换入非零申购费率的基金，转出与转入基金的前端申购补差费率将享受优惠，其他费率标准不变。具体优惠费率请参见公司网站列示的网上直销交易平台申购、定期定额投资及转换费率表或相关公告。</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本公司基金网上直销业务已开通的银行卡及各银行卡交易金额限额请参阅本公司网站。</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在条件成熟的时候，本基金管理人将根据基金网上直销业务的发展状况，适时调整可用于基金网上直销交易平台的银行卡种类，敬请投资人留意相关公告。</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b/>
          <w:kern w:val="0"/>
          <w:sz w:val="24"/>
        </w:rPr>
        <w:t>（三）信息咨询、查询服务</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投资人如果想查询申购和赎回等交易情况、分红方式状态、基金账户余额、基金产品与服务等信息，请拨打本基金管理人客户服务电话（400-700-5000，021-61055000）或登录本基金管理人网站（www.fund001.com）进行咨询、查询。</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本基金管理人为投资人预设基金查询密码，预设的基金查询密码为投资人开户证件号码的后6位数字，不足6位数字的，前面加“0”补足。基金查询密码用于投资人通过客户服务电话查询基金账户下的账户和交易信息。投资人请在其知晓基金账号后，及时拨打本基金管理人客户服务电话修改基金查询密码。</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投资人可以拨打本基金管理人客户服务电话投诉直销机构的人员和服务。</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b/>
          <w:kern w:val="0"/>
          <w:sz w:val="24"/>
        </w:rPr>
        <w:t>（四）基金转换业务</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本基金已开通转换业务，具体实施方法请参见相关公告。</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b/>
          <w:kern w:val="0"/>
          <w:sz w:val="24"/>
        </w:rPr>
        <w:t>（五）定期定额投资计划</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本基金已开通定期定额投资计划，具体实施方法请参见相关公告。</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服务联系方式：</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本基金管理人的互联网地址及电子信箱</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网址：www.fund001.com</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电子信箱：services@jysld.com</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投资人也可登录本基金管理人网站，直接提出有关本基金的问题和建议。</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b/>
          <w:kern w:val="0"/>
          <w:sz w:val="24"/>
        </w:rPr>
        <w:t>（六）如本招募说明书存在任何您/贵机构无法理解的内容，请通过上述方式联系基金管理人。请确保投资前，您/贵机构已经全面理解了本招募说明书。</w:t>
      </w:r>
    </w:p>
    <w:p>
      <w:pPr>
        <w:pStyle w:val="2"/>
        <w:snapToGrid w:val="0"/>
        <w:spacing w:before="240" w:beforeLines="0" w:after="0"/>
        <w:rPr>
          <w:rFonts w:ascii="宋体" w:hAnsi="宋体"/>
          <w:szCs w:val="30"/>
        </w:rPr>
      </w:pPr>
      <w:r>
        <w:br w:type="page"/>
      </w:r>
      <w:bookmarkStart w:id="50" w:name="_Toc256000024"/>
      <w:bookmarkStart w:id="51" w:name="_Toc256000051"/>
      <w:r>
        <w:rPr>
          <w:rFonts w:ascii="宋体" w:hAnsi="宋体"/>
          <w:sz w:val="30"/>
        </w:rPr>
        <w:t>二十四、其他应披露事项</w:t>
      </w:r>
      <w:bookmarkEnd w:id="50"/>
      <w:bookmarkEnd w:id="51"/>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基金合同如有未尽事宜，由基金合同当事人各方按有关法律法规协商解决。</w:t>
      </w:r>
    </w:p>
    <w:tbl>
      <w:tblPr>
        <w:tblStyle w:val="14"/>
        <w:tblW w:w="5000" w:type="pct"/>
        <w:tblInd w:w="0" w:type="dxa"/>
        <w:tblLayout w:type="fixed"/>
        <w:tblCellMar>
          <w:top w:w="0" w:type="dxa"/>
          <w:left w:w="0" w:type="dxa"/>
          <w:bottom w:w="0" w:type="dxa"/>
          <w:right w:w="0" w:type="dxa"/>
        </w:tblCellMar>
      </w:tblPr>
      <w:tblGrid>
        <w:gridCol w:w="605"/>
        <w:gridCol w:w="3629"/>
        <w:gridCol w:w="2823"/>
        <w:gridCol w:w="1613"/>
      </w:tblGrid>
      <w:tr>
        <w:tblPrEx>
          <w:tblCellMar>
            <w:top w:w="0" w:type="dxa"/>
            <w:left w:w="0" w:type="dxa"/>
            <w:bottom w:w="0" w:type="dxa"/>
            <w:right w:w="0" w:type="dxa"/>
          </w:tblCellMar>
        </w:tblPrEx>
        <w:trPr>
          <w:cantSplit/>
          <w:trHeight w:val="375" w:hRule="atLeast"/>
        </w:trPr>
        <w:tc>
          <w:tcPr>
            <w:tcW w:w="30" w:type="dxa"/>
            <w:tcBorders>
              <w:top w:val="single" w:color="auto" w:sz="4" w:space="0"/>
              <w:left w:val="single" w:color="auto" w:sz="4" w:space="0"/>
              <w:bottom w:val="single" w:color="auto" w:sz="4" w:space="0"/>
              <w:right w:val="single" w:color="auto" w:sz="4" w:space="0"/>
            </w:tcBorders>
            <w:vAlign w:val="center"/>
          </w:tcPr>
          <w:p>
            <w:pPr>
              <w:spacing w:after="0" w:line="240" w:lineRule="auto"/>
              <w:jc w:val="center"/>
            </w:pPr>
            <w:r>
              <w:rPr>
                <w:rFonts w:ascii="宋体" w:hAnsi="宋体"/>
                <w:color w:val="000000"/>
                <w:kern w:val="0"/>
                <w:sz w:val="25"/>
                <w:szCs w:val="24"/>
              </w:rPr>
              <w:t>序号</w:t>
            </w:r>
          </w:p>
        </w:tc>
        <w:tc>
          <w:tcPr>
            <w:tcW w:w="180" w:type="dxa"/>
            <w:vMerge w:val="restart"/>
            <w:tcBorders>
              <w:top w:val="single" w:color="auto" w:sz="4" w:space="0"/>
              <w:left w:val="single" w:color="auto" w:sz="4" w:space="0"/>
              <w:bottom w:val="single" w:color="auto" w:sz="4" w:space="0"/>
              <w:right w:val="single" w:color="auto" w:sz="4" w:space="0"/>
            </w:tcBorders>
            <w:vAlign w:val="center"/>
          </w:tcPr>
          <w:p>
            <w:pPr>
              <w:spacing w:after="0" w:line="240" w:lineRule="auto"/>
              <w:jc w:val="center"/>
            </w:pPr>
            <w:r>
              <w:rPr>
                <w:rFonts w:ascii="宋体" w:hAnsi="宋体"/>
                <w:color w:val="000000"/>
                <w:kern w:val="0"/>
                <w:sz w:val="25"/>
                <w:szCs w:val="24"/>
              </w:rPr>
              <w:t>公告事项</w:t>
            </w:r>
          </w:p>
        </w:tc>
        <w:tc>
          <w:tcPr>
            <w:tcW w:w="140" w:type="dxa"/>
            <w:vMerge w:val="restart"/>
            <w:tcBorders>
              <w:top w:val="single" w:color="auto" w:sz="4" w:space="0"/>
              <w:left w:val="single" w:color="auto" w:sz="4" w:space="0"/>
              <w:bottom w:val="single" w:color="auto" w:sz="4" w:space="0"/>
              <w:right w:val="single" w:color="auto" w:sz="4" w:space="0"/>
            </w:tcBorders>
            <w:vAlign w:val="center"/>
          </w:tcPr>
          <w:p>
            <w:pPr>
              <w:spacing w:after="0" w:line="240" w:lineRule="auto"/>
              <w:jc w:val="center"/>
            </w:pPr>
            <w:r>
              <w:rPr>
                <w:rFonts w:ascii="宋体" w:hAnsi="宋体"/>
                <w:color w:val="000000"/>
                <w:kern w:val="0"/>
                <w:sz w:val="25"/>
                <w:szCs w:val="24"/>
              </w:rPr>
              <w:t>披露媒介</w:t>
            </w:r>
          </w:p>
        </w:tc>
        <w:tc>
          <w:tcPr>
            <w:tcW w:w="80" w:type="dxa"/>
            <w:vMerge w:val="restart"/>
            <w:tcBorders>
              <w:top w:val="single" w:color="auto" w:sz="4" w:space="0"/>
              <w:left w:val="single" w:color="auto" w:sz="4" w:space="0"/>
              <w:bottom w:val="single" w:color="auto" w:sz="4" w:space="0"/>
              <w:right w:val="single" w:color="auto" w:sz="4" w:space="0"/>
            </w:tcBorders>
            <w:vAlign w:val="center"/>
          </w:tcPr>
          <w:p>
            <w:pPr>
              <w:spacing w:after="0" w:line="240" w:lineRule="auto"/>
              <w:jc w:val="center"/>
            </w:pPr>
            <w:r>
              <w:rPr>
                <w:rFonts w:ascii="宋体" w:hAnsi="宋体"/>
                <w:color w:val="000000"/>
                <w:kern w:val="0"/>
                <w:sz w:val="25"/>
                <w:szCs w:val="24"/>
              </w:rPr>
              <w:t>披露日期</w:t>
            </w:r>
          </w:p>
        </w:tc>
      </w:tr>
      <w:tr>
        <w:tblPrEx>
          <w:tblCellMar>
            <w:top w:w="0" w:type="dxa"/>
            <w:left w:w="0" w:type="dxa"/>
            <w:bottom w:w="0" w:type="dxa"/>
            <w:right w:w="0" w:type="dxa"/>
          </w:tblCellMar>
        </w:tblPrEx>
        <w:trPr>
          <w:cantSplit/>
          <w:trHeight w:val="375" w:hRule="atLeast"/>
        </w:trPr>
        <w:tc>
          <w:tcPr>
            <w:tcW w:w="7" w:type="dxa"/>
            <w:tcBorders>
              <w:top w:val="single" w:color="auto" w:sz="4" w:space="0"/>
              <w:left w:val="single" w:color="auto" w:sz="4" w:space="0"/>
              <w:bottom w:val="single" w:color="auto" w:sz="4" w:space="0"/>
              <w:right w:val="single" w:color="auto" w:sz="4" w:space="0"/>
            </w:tcBorders>
            <w:vAlign w:val="center"/>
          </w:tcPr>
          <w:p>
            <w:pPr>
              <w:widowControl/>
              <w:snapToGrid w:val="0"/>
              <w:spacing w:after="0" w:line="240" w:lineRule="auto"/>
              <w:jc w:val="center"/>
              <w:rPr>
                <w:rFonts w:ascii="宋体" w:hAnsi="宋体"/>
                <w:color w:val="000000"/>
                <w:kern w:val="0"/>
                <w:sz w:val="24"/>
                <w:szCs w:val="24"/>
              </w:rPr>
            </w:pPr>
            <w:r>
              <w:rPr>
                <w:rFonts w:ascii="宋体" w:hAnsi="宋体"/>
                <w:color w:val="000000"/>
                <w:kern w:val="0"/>
                <w:sz w:val="24"/>
                <w:szCs w:val="24"/>
              </w:rPr>
              <w:t>1</w:t>
            </w:r>
          </w:p>
        </w:tc>
        <w:tc>
          <w:tcPr>
            <w:tcW w:w="7" w:type="dxa"/>
            <w:vMerge w:val="restart"/>
            <w:tcBorders>
              <w:top w:val="single" w:color="auto" w:sz="4" w:space="0"/>
              <w:left w:val="single" w:color="auto" w:sz="4" w:space="0"/>
              <w:bottom w:val="single" w:color="auto" w:sz="4" w:space="0"/>
              <w:right w:val="single" w:color="auto" w:sz="4" w:space="0"/>
            </w:tcBorders>
            <w:vAlign w:val="center"/>
          </w:tcPr>
          <w:p>
            <w:pPr>
              <w:spacing w:after="0" w:line="240" w:lineRule="auto"/>
              <w:jc w:val="center"/>
            </w:pPr>
            <w:r>
              <w:rPr>
                <w:rFonts w:ascii="宋体" w:hAnsi="宋体"/>
                <w:color w:val="000000"/>
                <w:kern w:val="0"/>
                <w:sz w:val="25"/>
                <w:szCs w:val="24"/>
              </w:rPr>
              <w:t>交银施罗德定期支付双息平衡混合型证券投资基金基金产品资料概要更新</w:t>
            </w:r>
          </w:p>
        </w:tc>
        <w:tc>
          <w:tcPr>
            <w:tcW w:w="7" w:type="dxa"/>
            <w:vMerge w:val="restart"/>
            <w:tcBorders>
              <w:top w:val="single" w:color="auto" w:sz="4" w:space="0"/>
              <w:left w:val="single" w:color="auto" w:sz="4" w:space="0"/>
              <w:bottom w:val="single" w:color="auto" w:sz="4" w:space="0"/>
              <w:right w:val="single" w:color="auto" w:sz="4" w:space="0"/>
            </w:tcBorders>
            <w:vAlign w:val="center"/>
          </w:tcPr>
          <w:p>
            <w:pPr>
              <w:spacing w:after="0" w:line="240" w:lineRule="auto"/>
              <w:jc w:val="center"/>
            </w:pPr>
            <w:r>
              <w:rPr>
                <w:rFonts w:ascii="宋体" w:hAnsi="宋体"/>
                <w:color w:val="000000"/>
                <w:kern w:val="0"/>
                <w:sz w:val="25"/>
                <w:szCs w:val="24"/>
              </w:rPr>
              <w:t>中国证监会规定媒体及公司网站</w:t>
            </w:r>
          </w:p>
        </w:tc>
        <w:tc>
          <w:tcPr>
            <w:tcW w:w="7" w:type="dxa"/>
            <w:vMerge w:val="restart"/>
            <w:tcBorders>
              <w:top w:val="single" w:color="auto" w:sz="4" w:space="0"/>
              <w:left w:val="single" w:color="auto" w:sz="4" w:space="0"/>
              <w:bottom w:val="single" w:color="auto" w:sz="4" w:space="0"/>
              <w:right w:val="single" w:color="auto" w:sz="4" w:space="0"/>
            </w:tcBorders>
            <w:vAlign w:val="center"/>
          </w:tcPr>
          <w:p>
            <w:pPr>
              <w:spacing w:after="0" w:line="240" w:lineRule="auto"/>
              <w:jc w:val="center"/>
            </w:pPr>
            <w:r>
              <w:rPr>
                <w:rFonts w:ascii="宋体" w:hAnsi="宋体"/>
                <w:color w:val="000000"/>
                <w:kern w:val="0"/>
                <w:sz w:val="25"/>
                <w:szCs w:val="24"/>
              </w:rPr>
              <w:t>2025-10-10</w:t>
            </w:r>
          </w:p>
        </w:tc>
      </w:tr>
      <w:tr>
        <w:tblPrEx>
          <w:tblCellMar>
            <w:top w:w="0" w:type="dxa"/>
            <w:left w:w="0" w:type="dxa"/>
            <w:bottom w:w="0" w:type="dxa"/>
            <w:right w:w="0" w:type="dxa"/>
          </w:tblCellMar>
        </w:tblPrEx>
        <w:trPr>
          <w:cantSplit/>
          <w:trHeight w:val="375" w:hRule="atLeast"/>
        </w:trPr>
        <w:tc>
          <w:tcPr>
            <w:tcW w:w="7" w:type="dxa"/>
            <w:tcBorders>
              <w:top w:val="single" w:color="auto" w:sz="4" w:space="0"/>
              <w:left w:val="single" w:color="auto" w:sz="4" w:space="0"/>
              <w:bottom w:val="single" w:color="auto" w:sz="4" w:space="0"/>
              <w:right w:val="single" w:color="auto" w:sz="4" w:space="0"/>
            </w:tcBorders>
            <w:vAlign w:val="center"/>
          </w:tcPr>
          <w:p>
            <w:pPr>
              <w:widowControl/>
              <w:snapToGrid w:val="0"/>
              <w:spacing w:after="0" w:line="240" w:lineRule="auto"/>
              <w:jc w:val="center"/>
              <w:rPr>
                <w:rFonts w:ascii="宋体" w:hAnsi="宋体"/>
                <w:color w:val="000000"/>
                <w:kern w:val="0"/>
                <w:sz w:val="24"/>
                <w:szCs w:val="24"/>
              </w:rPr>
            </w:pPr>
            <w:r>
              <w:rPr>
                <w:rFonts w:ascii="宋体" w:hAnsi="宋体"/>
                <w:color w:val="000000"/>
                <w:kern w:val="0"/>
                <w:sz w:val="24"/>
                <w:szCs w:val="24"/>
              </w:rPr>
              <w:t>2</w:t>
            </w:r>
          </w:p>
        </w:tc>
        <w:tc>
          <w:tcPr>
            <w:tcW w:w="7" w:type="dxa"/>
            <w:vMerge w:val="restart"/>
            <w:tcBorders>
              <w:top w:val="single" w:color="auto" w:sz="4" w:space="0"/>
              <w:left w:val="single" w:color="auto" w:sz="4" w:space="0"/>
              <w:bottom w:val="single" w:color="auto" w:sz="4" w:space="0"/>
              <w:right w:val="single" w:color="auto" w:sz="4" w:space="0"/>
            </w:tcBorders>
            <w:vAlign w:val="center"/>
          </w:tcPr>
          <w:p>
            <w:pPr>
              <w:spacing w:after="0" w:line="240" w:lineRule="auto"/>
              <w:jc w:val="center"/>
            </w:pPr>
            <w:r>
              <w:rPr>
                <w:rFonts w:ascii="宋体" w:hAnsi="宋体"/>
                <w:color w:val="000000"/>
                <w:kern w:val="0"/>
                <w:sz w:val="25"/>
                <w:szCs w:val="24"/>
              </w:rPr>
              <w:t>交银施罗德定期支付双息平衡混合型证券投资基金招募说明书更新</w:t>
            </w:r>
          </w:p>
        </w:tc>
        <w:tc>
          <w:tcPr>
            <w:tcW w:w="7" w:type="dxa"/>
            <w:vMerge w:val="restart"/>
            <w:tcBorders>
              <w:top w:val="single" w:color="auto" w:sz="4" w:space="0"/>
              <w:left w:val="single" w:color="auto" w:sz="4" w:space="0"/>
              <w:bottom w:val="single" w:color="auto" w:sz="4" w:space="0"/>
              <w:right w:val="single" w:color="auto" w:sz="4" w:space="0"/>
            </w:tcBorders>
            <w:vAlign w:val="center"/>
          </w:tcPr>
          <w:p>
            <w:pPr>
              <w:spacing w:after="0" w:line="240" w:lineRule="auto"/>
              <w:jc w:val="center"/>
            </w:pPr>
            <w:r>
              <w:rPr>
                <w:rFonts w:ascii="宋体" w:hAnsi="宋体"/>
                <w:color w:val="000000"/>
                <w:kern w:val="0"/>
                <w:sz w:val="25"/>
                <w:szCs w:val="24"/>
              </w:rPr>
              <w:t>中国证监会规定媒体及公司网站</w:t>
            </w:r>
          </w:p>
        </w:tc>
        <w:tc>
          <w:tcPr>
            <w:tcW w:w="7" w:type="dxa"/>
            <w:vMerge w:val="restart"/>
            <w:tcBorders>
              <w:top w:val="single" w:color="auto" w:sz="4" w:space="0"/>
              <w:left w:val="single" w:color="auto" w:sz="4" w:space="0"/>
              <w:bottom w:val="single" w:color="auto" w:sz="4" w:space="0"/>
              <w:right w:val="single" w:color="auto" w:sz="4" w:space="0"/>
            </w:tcBorders>
            <w:vAlign w:val="center"/>
          </w:tcPr>
          <w:p>
            <w:pPr>
              <w:spacing w:after="0" w:line="240" w:lineRule="auto"/>
              <w:jc w:val="center"/>
            </w:pPr>
            <w:r>
              <w:rPr>
                <w:rFonts w:ascii="宋体" w:hAnsi="宋体"/>
                <w:color w:val="000000"/>
                <w:kern w:val="0"/>
                <w:sz w:val="25"/>
                <w:szCs w:val="24"/>
              </w:rPr>
              <w:t>2025-10-10</w:t>
            </w:r>
          </w:p>
        </w:tc>
      </w:tr>
      <w:tr>
        <w:tblPrEx>
          <w:tblCellMar>
            <w:top w:w="0" w:type="dxa"/>
            <w:left w:w="0" w:type="dxa"/>
            <w:bottom w:w="0" w:type="dxa"/>
            <w:right w:w="0" w:type="dxa"/>
          </w:tblCellMar>
        </w:tblPrEx>
        <w:trPr>
          <w:cantSplit/>
          <w:trHeight w:val="375" w:hRule="atLeast"/>
        </w:trPr>
        <w:tc>
          <w:tcPr>
            <w:tcW w:w="7" w:type="dxa"/>
            <w:tcBorders>
              <w:top w:val="single" w:color="auto" w:sz="4" w:space="0"/>
              <w:left w:val="single" w:color="auto" w:sz="4" w:space="0"/>
              <w:bottom w:val="single" w:color="auto" w:sz="4" w:space="0"/>
              <w:right w:val="single" w:color="auto" w:sz="4" w:space="0"/>
            </w:tcBorders>
            <w:vAlign w:val="center"/>
          </w:tcPr>
          <w:p>
            <w:pPr>
              <w:widowControl/>
              <w:snapToGrid w:val="0"/>
              <w:spacing w:after="0" w:line="240" w:lineRule="auto"/>
              <w:jc w:val="center"/>
              <w:rPr>
                <w:rFonts w:ascii="宋体" w:hAnsi="宋体"/>
                <w:color w:val="000000"/>
                <w:kern w:val="0"/>
                <w:sz w:val="24"/>
                <w:szCs w:val="24"/>
              </w:rPr>
            </w:pPr>
            <w:r>
              <w:rPr>
                <w:rFonts w:ascii="宋体" w:hAnsi="宋体"/>
                <w:color w:val="000000"/>
                <w:kern w:val="0"/>
                <w:sz w:val="24"/>
                <w:szCs w:val="24"/>
              </w:rPr>
              <w:t>3</w:t>
            </w:r>
          </w:p>
        </w:tc>
        <w:tc>
          <w:tcPr>
            <w:tcW w:w="7" w:type="dxa"/>
            <w:vMerge w:val="restart"/>
            <w:tcBorders>
              <w:top w:val="single" w:color="auto" w:sz="4" w:space="0"/>
              <w:left w:val="single" w:color="auto" w:sz="4" w:space="0"/>
              <w:bottom w:val="single" w:color="auto" w:sz="4" w:space="0"/>
              <w:right w:val="single" w:color="auto" w:sz="4" w:space="0"/>
            </w:tcBorders>
            <w:vAlign w:val="center"/>
          </w:tcPr>
          <w:p>
            <w:pPr>
              <w:spacing w:after="0" w:line="240" w:lineRule="auto"/>
              <w:jc w:val="center"/>
            </w:pPr>
            <w:r>
              <w:rPr>
                <w:rFonts w:ascii="宋体" w:hAnsi="宋体"/>
                <w:color w:val="000000"/>
                <w:kern w:val="0"/>
                <w:sz w:val="25"/>
                <w:szCs w:val="24"/>
              </w:rPr>
              <w:t>交银施罗德定期支付双息平衡混合型证券投资基金2025年第3季度报告</w:t>
            </w:r>
          </w:p>
        </w:tc>
        <w:tc>
          <w:tcPr>
            <w:tcW w:w="7" w:type="dxa"/>
            <w:vMerge w:val="restart"/>
            <w:tcBorders>
              <w:top w:val="single" w:color="auto" w:sz="4" w:space="0"/>
              <w:left w:val="single" w:color="auto" w:sz="4" w:space="0"/>
              <w:bottom w:val="single" w:color="auto" w:sz="4" w:space="0"/>
              <w:right w:val="single" w:color="auto" w:sz="4" w:space="0"/>
            </w:tcBorders>
            <w:vAlign w:val="center"/>
          </w:tcPr>
          <w:p>
            <w:pPr>
              <w:spacing w:after="0" w:line="240" w:lineRule="auto"/>
              <w:jc w:val="center"/>
            </w:pPr>
            <w:r>
              <w:rPr>
                <w:rFonts w:ascii="宋体" w:hAnsi="宋体"/>
                <w:color w:val="000000"/>
                <w:kern w:val="0"/>
                <w:sz w:val="25"/>
                <w:szCs w:val="24"/>
              </w:rPr>
              <w:t>中国证监会规定媒体及公司网站</w:t>
            </w:r>
          </w:p>
        </w:tc>
        <w:tc>
          <w:tcPr>
            <w:tcW w:w="7" w:type="dxa"/>
            <w:vMerge w:val="restart"/>
            <w:tcBorders>
              <w:top w:val="single" w:color="auto" w:sz="4" w:space="0"/>
              <w:left w:val="single" w:color="auto" w:sz="4" w:space="0"/>
              <w:bottom w:val="single" w:color="auto" w:sz="4" w:space="0"/>
              <w:right w:val="single" w:color="auto" w:sz="4" w:space="0"/>
            </w:tcBorders>
            <w:vAlign w:val="center"/>
          </w:tcPr>
          <w:p>
            <w:pPr>
              <w:spacing w:after="0" w:line="240" w:lineRule="auto"/>
              <w:jc w:val="center"/>
            </w:pPr>
            <w:r>
              <w:rPr>
                <w:rFonts w:ascii="宋体" w:hAnsi="宋体"/>
                <w:color w:val="000000"/>
                <w:kern w:val="0"/>
                <w:sz w:val="25"/>
                <w:szCs w:val="24"/>
              </w:rPr>
              <w:t>2025-10-28</w:t>
            </w:r>
          </w:p>
        </w:tc>
      </w:tr>
      <w:tr>
        <w:tblPrEx>
          <w:tblCellMar>
            <w:top w:w="0" w:type="dxa"/>
            <w:left w:w="0" w:type="dxa"/>
            <w:bottom w:w="0" w:type="dxa"/>
            <w:right w:w="0" w:type="dxa"/>
          </w:tblCellMar>
        </w:tblPrEx>
        <w:trPr>
          <w:cantSplit/>
          <w:trHeight w:val="375" w:hRule="atLeast"/>
        </w:trPr>
        <w:tc>
          <w:tcPr>
            <w:tcW w:w="7" w:type="dxa"/>
            <w:tcBorders>
              <w:top w:val="single" w:color="auto" w:sz="4" w:space="0"/>
              <w:left w:val="single" w:color="auto" w:sz="4" w:space="0"/>
              <w:bottom w:val="single" w:color="auto" w:sz="4" w:space="0"/>
              <w:right w:val="single" w:color="auto" w:sz="4" w:space="0"/>
            </w:tcBorders>
            <w:vAlign w:val="center"/>
          </w:tcPr>
          <w:p>
            <w:pPr>
              <w:widowControl/>
              <w:snapToGrid w:val="0"/>
              <w:spacing w:after="0" w:line="240" w:lineRule="auto"/>
              <w:jc w:val="center"/>
              <w:rPr>
                <w:rFonts w:ascii="宋体" w:hAnsi="宋体"/>
                <w:color w:val="000000"/>
                <w:kern w:val="0"/>
                <w:sz w:val="24"/>
                <w:szCs w:val="24"/>
              </w:rPr>
            </w:pPr>
            <w:r>
              <w:rPr>
                <w:rFonts w:ascii="宋体" w:hAnsi="宋体"/>
                <w:color w:val="000000"/>
                <w:kern w:val="0"/>
                <w:sz w:val="24"/>
                <w:szCs w:val="24"/>
              </w:rPr>
              <w:t>4</w:t>
            </w:r>
          </w:p>
        </w:tc>
        <w:tc>
          <w:tcPr>
            <w:tcW w:w="7" w:type="dxa"/>
            <w:vMerge w:val="restart"/>
            <w:tcBorders>
              <w:top w:val="single" w:color="auto" w:sz="4" w:space="0"/>
              <w:left w:val="single" w:color="auto" w:sz="4" w:space="0"/>
              <w:bottom w:val="single" w:color="auto" w:sz="4" w:space="0"/>
              <w:right w:val="single" w:color="auto" w:sz="4" w:space="0"/>
            </w:tcBorders>
            <w:vAlign w:val="center"/>
          </w:tcPr>
          <w:p>
            <w:pPr>
              <w:spacing w:after="0" w:line="240" w:lineRule="auto"/>
              <w:jc w:val="center"/>
            </w:pPr>
            <w:r>
              <w:rPr>
                <w:rFonts w:ascii="宋体" w:hAnsi="宋体"/>
                <w:color w:val="000000"/>
                <w:kern w:val="0"/>
                <w:sz w:val="25"/>
                <w:szCs w:val="24"/>
              </w:rPr>
              <w:t>交银施罗德基金管理有限公司关于旗下基金所持停牌股票估值调整的公告</w:t>
            </w:r>
          </w:p>
        </w:tc>
        <w:tc>
          <w:tcPr>
            <w:tcW w:w="7" w:type="dxa"/>
            <w:vMerge w:val="restart"/>
            <w:tcBorders>
              <w:top w:val="single" w:color="auto" w:sz="4" w:space="0"/>
              <w:left w:val="single" w:color="auto" w:sz="4" w:space="0"/>
              <w:bottom w:val="single" w:color="auto" w:sz="4" w:space="0"/>
              <w:right w:val="single" w:color="auto" w:sz="4" w:space="0"/>
            </w:tcBorders>
            <w:vAlign w:val="center"/>
          </w:tcPr>
          <w:p>
            <w:pPr>
              <w:spacing w:after="0" w:line="240" w:lineRule="auto"/>
              <w:jc w:val="center"/>
            </w:pPr>
            <w:r>
              <w:rPr>
                <w:rFonts w:ascii="宋体" w:hAnsi="宋体"/>
                <w:color w:val="000000"/>
                <w:kern w:val="0"/>
                <w:sz w:val="25"/>
                <w:szCs w:val="24"/>
              </w:rPr>
              <w:t>中国证监会规定媒体及公司网站</w:t>
            </w:r>
          </w:p>
        </w:tc>
        <w:tc>
          <w:tcPr>
            <w:tcW w:w="7" w:type="dxa"/>
            <w:vMerge w:val="restart"/>
            <w:tcBorders>
              <w:top w:val="single" w:color="auto" w:sz="4" w:space="0"/>
              <w:left w:val="single" w:color="auto" w:sz="4" w:space="0"/>
              <w:bottom w:val="single" w:color="auto" w:sz="4" w:space="0"/>
              <w:right w:val="single" w:color="auto" w:sz="4" w:space="0"/>
            </w:tcBorders>
            <w:vAlign w:val="center"/>
          </w:tcPr>
          <w:p>
            <w:pPr>
              <w:spacing w:after="0" w:line="240" w:lineRule="auto"/>
              <w:jc w:val="center"/>
            </w:pPr>
            <w:r>
              <w:rPr>
                <w:rFonts w:ascii="宋体" w:hAnsi="宋体"/>
                <w:color w:val="000000"/>
                <w:kern w:val="0"/>
                <w:sz w:val="25"/>
                <w:szCs w:val="24"/>
              </w:rPr>
              <w:t>2025-12-02</w:t>
            </w:r>
          </w:p>
        </w:tc>
      </w:tr>
      <w:tr>
        <w:tblPrEx>
          <w:tblCellMar>
            <w:top w:w="0" w:type="dxa"/>
            <w:left w:w="0" w:type="dxa"/>
            <w:bottom w:w="0" w:type="dxa"/>
            <w:right w:w="0" w:type="dxa"/>
          </w:tblCellMar>
        </w:tblPrEx>
        <w:trPr>
          <w:cantSplit/>
          <w:trHeight w:val="375" w:hRule="atLeast"/>
        </w:trPr>
        <w:tc>
          <w:tcPr>
            <w:tcW w:w="7" w:type="dxa"/>
            <w:tcBorders>
              <w:top w:val="single" w:color="auto" w:sz="4" w:space="0"/>
              <w:left w:val="single" w:color="auto" w:sz="4" w:space="0"/>
              <w:bottom w:val="single" w:color="auto" w:sz="4" w:space="0"/>
              <w:right w:val="single" w:color="auto" w:sz="4" w:space="0"/>
            </w:tcBorders>
            <w:vAlign w:val="center"/>
          </w:tcPr>
          <w:p>
            <w:pPr>
              <w:widowControl/>
              <w:snapToGrid w:val="0"/>
              <w:spacing w:after="0" w:line="240" w:lineRule="auto"/>
              <w:jc w:val="center"/>
              <w:rPr>
                <w:rFonts w:ascii="宋体" w:hAnsi="宋体"/>
                <w:color w:val="000000"/>
                <w:kern w:val="0"/>
                <w:sz w:val="24"/>
                <w:szCs w:val="24"/>
              </w:rPr>
            </w:pPr>
            <w:r>
              <w:rPr>
                <w:rFonts w:ascii="宋体" w:hAnsi="宋体"/>
                <w:color w:val="000000"/>
                <w:kern w:val="0"/>
                <w:sz w:val="24"/>
                <w:szCs w:val="24"/>
              </w:rPr>
              <w:t>5</w:t>
            </w:r>
          </w:p>
        </w:tc>
        <w:tc>
          <w:tcPr>
            <w:tcW w:w="7" w:type="dxa"/>
            <w:vMerge w:val="restart"/>
            <w:tcBorders>
              <w:top w:val="single" w:color="auto" w:sz="4" w:space="0"/>
              <w:left w:val="single" w:color="auto" w:sz="4" w:space="0"/>
              <w:bottom w:val="single" w:color="auto" w:sz="4" w:space="0"/>
              <w:right w:val="single" w:color="auto" w:sz="4" w:space="0"/>
            </w:tcBorders>
            <w:vAlign w:val="center"/>
          </w:tcPr>
          <w:p>
            <w:pPr>
              <w:spacing w:after="0" w:line="240" w:lineRule="auto"/>
              <w:jc w:val="center"/>
            </w:pPr>
            <w:r>
              <w:rPr>
                <w:rFonts w:ascii="宋体" w:hAnsi="宋体"/>
                <w:color w:val="000000"/>
                <w:kern w:val="0"/>
                <w:sz w:val="25"/>
                <w:szCs w:val="24"/>
              </w:rPr>
              <w:t>交银施罗德基金管理有限公司关于暂停旗下基金在中国农业银行股份有限公司办理定期定额赎回业务的公告</w:t>
            </w:r>
          </w:p>
        </w:tc>
        <w:tc>
          <w:tcPr>
            <w:tcW w:w="7" w:type="dxa"/>
            <w:vMerge w:val="restart"/>
            <w:tcBorders>
              <w:top w:val="single" w:color="auto" w:sz="4" w:space="0"/>
              <w:left w:val="single" w:color="auto" w:sz="4" w:space="0"/>
              <w:bottom w:val="single" w:color="auto" w:sz="4" w:space="0"/>
              <w:right w:val="single" w:color="auto" w:sz="4" w:space="0"/>
            </w:tcBorders>
            <w:vAlign w:val="center"/>
          </w:tcPr>
          <w:p>
            <w:pPr>
              <w:spacing w:after="0" w:line="240" w:lineRule="auto"/>
              <w:jc w:val="center"/>
            </w:pPr>
            <w:r>
              <w:rPr>
                <w:rFonts w:ascii="宋体" w:hAnsi="宋体"/>
                <w:color w:val="000000"/>
                <w:kern w:val="0"/>
                <w:sz w:val="25"/>
                <w:szCs w:val="24"/>
              </w:rPr>
              <w:t>中国证监会规定媒体及公司网站</w:t>
            </w:r>
          </w:p>
        </w:tc>
        <w:tc>
          <w:tcPr>
            <w:tcW w:w="7" w:type="dxa"/>
            <w:vMerge w:val="restart"/>
            <w:tcBorders>
              <w:top w:val="single" w:color="auto" w:sz="4" w:space="0"/>
              <w:left w:val="single" w:color="auto" w:sz="4" w:space="0"/>
              <w:bottom w:val="single" w:color="auto" w:sz="4" w:space="0"/>
              <w:right w:val="single" w:color="auto" w:sz="4" w:space="0"/>
            </w:tcBorders>
            <w:vAlign w:val="center"/>
          </w:tcPr>
          <w:p>
            <w:pPr>
              <w:spacing w:after="0" w:line="240" w:lineRule="auto"/>
              <w:jc w:val="center"/>
            </w:pPr>
            <w:r>
              <w:rPr>
                <w:rFonts w:ascii="宋体" w:hAnsi="宋体"/>
                <w:color w:val="000000"/>
                <w:kern w:val="0"/>
                <w:sz w:val="25"/>
                <w:szCs w:val="24"/>
              </w:rPr>
              <w:t>2025-12-15</w:t>
            </w:r>
          </w:p>
        </w:tc>
      </w:tr>
      <w:tr>
        <w:tblPrEx>
          <w:tblCellMar>
            <w:top w:w="0" w:type="dxa"/>
            <w:left w:w="0" w:type="dxa"/>
            <w:bottom w:w="0" w:type="dxa"/>
            <w:right w:w="0" w:type="dxa"/>
          </w:tblCellMar>
        </w:tblPrEx>
        <w:trPr>
          <w:cantSplit/>
          <w:trHeight w:val="375" w:hRule="atLeast"/>
        </w:trPr>
        <w:tc>
          <w:tcPr>
            <w:tcW w:w="7" w:type="dxa"/>
            <w:tcBorders>
              <w:top w:val="single" w:color="auto" w:sz="4" w:space="0"/>
              <w:left w:val="single" w:color="auto" w:sz="4" w:space="0"/>
              <w:bottom w:val="single" w:color="auto" w:sz="4" w:space="0"/>
              <w:right w:val="single" w:color="auto" w:sz="4" w:space="0"/>
            </w:tcBorders>
            <w:vAlign w:val="center"/>
          </w:tcPr>
          <w:p>
            <w:pPr>
              <w:widowControl/>
              <w:snapToGrid w:val="0"/>
              <w:spacing w:after="0" w:line="240" w:lineRule="auto"/>
              <w:jc w:val="center"/>
              <w:rPr>
                <w:rFonts w:ascii="宋体" w:hAnsi="宋体"/>
                <w:color w:val="000000"/>
                <w:kern w:val="0"/>
                <w:sz w:val="24"/>
                <w:szCs w:val="24"/>
              </w:rPr>
            </w:pPr>
            <w:r>
              <w:rPr>
                <w:rFonts w:ascii="宋体" w:hAnsi="宋体"/>
                <w:color w:val="000000"/>
                <w:kern w:val="0"/>
                <w:sz w:val="24"/>
                <w:szCs w:val="24"/>
              </w:rPr>
              <w:t>6</w:t>
            </w:r>
          </w:p>
        </w:tc>
        <w:tc>
          <w:tcPr>
            <w:tcW w:w="7" w:type="dxa"/>
            <w:vMerge w:val="restart"/>
            <w:tcBorders>
              <w:top w:val="single" w:color="auto" w:sz="4" w:space="0"/>
              <w:left w:val="single" w:color="auto" w:sz="4" w:space="0"/>
              <w:bottom w:val="single" w:color="auto" w:sz="4" w:space="0"/>
              <w:right w:val="single" w:color="auto" w:sz="4" w:space="0"/>
            </w:tcBorders>
            <w:vAlign w:val="center"/>
          </w:tcPr>
          <w:p>
            <w:pPr>
              <w:spacing w:after="0" w:line="240" w:lineRule="auto"/>
              <w:jc w:val="center"/>
            </w:pPr>
            <w:r>
              <w:rPr>
                <w:rFonts w:ascii="宋体" w:hAnsi="宋体"/>
                <w:color w:val="000000"/>
                <w:kern w:val="0"/>
                <w:sz w:val="25"/>
                <w:szCs w:val="24"/>
              </w:rPr>
              <w:t>交银施罗德基金管理有限公司董事变更公告</w:t>
            </w:r>
          </w:p>
        </w:tc>
        <w:tc>
          <w:tcPr>
            <w:tcW w:w="7" w:type="dxa"/>
            <w:vMerge w:val="restart"/>
            <w:tcBorders>
              <w:top w:val="single" w:color="auto" w:sz="4" w:space="0"/>
              <w:left w:val="single" w:color="auto" w:sz="4" w:space="0"/>
              <w:bottom w:val="single" w:color="auto" w:sz="4" w:space="0"/>
              <w:right w:val="single" w:color="auto" w:sz="4" w:space="0"/>
            </w:tcBorders>
            <w:vAlign w:val="center"/>
          </w:tcPr>
          <w:p>
            <w:pPr>
              <w:spacing w:after="0" w:line="240" w:lineRule="auto"/>
              <w:jc w:val="center"/>
            </w:pPr>
            <w:r>
              <w:rPr>
                <w:rFonts w:ascii="宋体" w:hAnsi="宋体"/>
                <w:color w:val="000000"/>
                <w:kern w:val="0"/>
                <w:sz w:val="25"/>
                <w:szCs w:val="24"/>
              </w:rPr>
              <w:t>中国证监会规定媒体及公司网站</w:t>
            </w:r>
          </w:p>
        </w:tc>
        <w:tc>
          <w:tcPr>
            <w:tcW w:w="7" w:type="dxa"/>
            <w:vMerge w:val="restart"/>
            <w:tcBorders>
              <w:top w:val="single" w:color="auto" w:sz="4" w:space="0"/>
              <w:left w:val="single" w:color="auto" w:sz="4" w:space="0"/>
              <w:bottom w:val="single" w:color="auto" w:sz="4" w:space="0"/>
              <w:right w:val="single" w:color="auto" w:sz="4" w:space="0"/>
            </w:tcBorders>
            <w:vAlign w:val="center"/>
          </w:tcPr>
          <w:p>
            <w:pPr>
              <w:spacing w:after="0" w:line="240" w:lineRule="auto"/>
              <w:jc w:val="center"/>
            </w:pPr>
            <w:r>
              <w:rPr>
                <w:rFonts w:ascii="宋体" w:hAnsi="宋体"/>
                <w:color w:val="000000"/>
                <w:kern w:val="0"/>
                <w:sz w:val="25"/>
                <w:szCs w:val="24"/>
              </w:rPr>
              <w:t>2025-12-20</w:t>
            </w:r>
          </w:p>
        </w:tc>
      </w:tr>
      <w:tr>
        <w:tblPrEx>
          <w:tblCellMar>
            <w:top w:w="0" w:type="dxa"/>
            <w:left w:w="0" w:type="dxa"/>
            <w:bottom w:w="0" w:type="dxa"/>
            <w:right w:w="0" w:type="dxa"/>
          </w:tblCellMar>
        </w:tblPrEx>
        <w:trPr>
          <w:cantSplit/>
          <w:trHeight w:val="375" w:hRule="atLeast"/>
        </w:trPr>
        <w:tc>
          <w:tcPr>
            <w:tcW w:w="7" w:type="dxa"/>
            <w:tcBorders>
              <w:top w:val="single" w:color="auto" w:sz="4" w:space="0"/>
              <w:left w:val="single" w:color="auto" w:sz="4" w:space="0"/>
              <w:bottom w:val="single" w:color="auto" w:sz="4" w:space="0"/>
              <w:right w:val="single" w:color="auto" w:sz="4" w:space="0"/>
            </w:tcBorders>
            <w:vAlign w:val="center"/>
          </w:tcPr>
          <w:p>
            <w:pPr>
              <w:widowControl/>
              <w:snapToGrid w:val="0"/>
              <w:spacing w:after="0" w:line="240" w:lineRule="auto"/>
              <w:jc w:val="center"/>
              <w:rPr>
                <w:rFonts w:ascii="宋体" w:hAnsi="宋体"/>
                <w:color w:val="000000"/>
                <w:kern w:val="0"/>
                <w:sz w:val="24"/>
                <w:szCs w:val="24"/>
              </w:rPr>
            </w:pPr>
            <w:r>
              <w:rPr>
                <w:rFonts w:ascii="宋体" w:hAnsi="宋体"/>
                <w:color w:val="000000"/>
                <w:kern w:val="0"/>
                <w:sz w:val="24"/>
                <w:szCs w:val="24"/>
              </w:rPr>
              <w:t>7</w:t>
            </w:r>
          </w:p>
        </w:tc>
        <w:tc>
          <w:tcPr>
            <w:tcW w:w="7" w:type="dxa"/>
            <w:vMerge w:val="restart"/>
            <w:tcBorders>
              <w:top w:val="single" w:color="auto" w:sz="4" w:space="0"/>
              <w:left w:val="single" w:color="auto" w:sz="4" w:space="0"/>
              <w:bottom w:val="single" w:color="auto" w:sz="4" w:space="0"/>
              <w:right w:val="single" w:color="auto" w:sz="4" w:space="0"/>
            </w:tcBorders>
            <w:vAlign w:val="center"/>
          </w:tcPr>
          <w:p>
            <w:pPr>
              <w:spacing w:after="0" w:line="240" w:lineRule="auto"/>
              <w:jc w:val="center"/>
            </w:pPr>
            <w:r>
              <w:rPr>
                <w:rFonts w:ascii="宋体" w:hAnsi="宋体"/>
                <w:color w:val="000000"/>
                <w:kern w:val="0"/>
                <w:sz w:val="25"/>
                <w:szCs w:val="24"/>
              </w:rPr>
              <w:t>关于交银施罗德定期支付双息平衡混合型证券投资基金2026年度支付比率的公告</w:t>
            </w:r>
          </w:p>
        </w:tc>
        <w:tc>
          <w:tcPr>
            <w:tcW w:w="7" w:type="dxa"/>
            <w:vMerge w:val="restart"/>
            <w:tcBorders>
              <w:top w:val="single" w:color="auto" w:sz="4" w:space="0"/>
              <w:left w:val="single" w:color="auto" w:sz="4" w:space="0"/>
              <w:bottom w:val="single" w:color="auto" w:sz="4" w:space="0"/>
              <w:right w:val="single" w:color="auto" w:sz="4" w:space="0"/>
            </w:tcBorders>
            <w:vAlign w:val="center"/>
          </w:tcPr>
          <w:p>
            <w:pPr>
              <w:spacing w:after="0" w:line="240" w:lineRule="auto"/>
              <w:jc w:val="center"/>
            </w:pPr>
            <w:r>
              <w:rPr>
                <w:rFonts w:ascii="宋体" w:hAnsi="宋体"/>
                <w:color w:val="000000"/>
                <w:kern w:val="0"/>
                <w:sz w:val="25"/>
                <w:szCs w:val="24"/>
              </w:rPr>
              <w:t>中国证监会规定媒体及公司网站</w:t>
            </w:r>
          </w:p>
        </w:tc>
        <w:tc>
          <w:tcPr>
            <w:tcW w:w="7" w:type="dxa"/>
            <w:vMerge w:val="restart"/>
            <w:tcBorders>
              <w:top w:val="single" w:color="auto" w:sz="4" w:space="0"/>
              <w:left w:val="single" w:color="auto" w:sz="4" w:space="0"/>
              <w:bottom w:val="single" w:color="auto" w:sz="4" w:space="0"/>
              <w:right w:val="single" w:color="auto" w:sz="4" w:space="0"/>
            </w:tcBorders>
            <w:vAlign w:val="center"/>
          </w:tcPr>
          <w:p>
            <w:pPr>
              <w:spacing w:after="0" w:line="240" w:lineRule="auto"/>
              <w:jc w:val="center"/>
            </w:pPr>
            <w:r>
              <w:rPr>
                <w:rFonts w:ascii="宋体" w:hAnsi="宋体"/>
                <w:color w:val="000000"/>
                <w:kern w:val="0"/>
                <w:sz w:val="25"/>
                <w:szCs w:val="24"/>
              </w:rPr>
              <w:t>2026-01-06</w:t>
            </w:r>
          </w:p>
        </w:tc>
      </w:tr>
      <w:tr>
        <w:tblPrEx>
          <w:tblCellMar>
            <w:top w:w="0" w:type="dxa"/>
            <w:left w:w="0" w:type="dxa"/>
            <w:bottom w:w="0" w:type="dxa"/>
            <w:right w:w="0" w:type="dxa"/>
          </w:tblCellMar>
        </w:tblPrEx>
        <w:trPr>
          <w:cantSplit/>
          <w:trHeight w:val="375" w:hRule="atLeast"/>
        </w:trPr>
        <w:tc>
          <w:tcPr>
            <w:tcW w:w="7" w:type="dxa"/>
            <w:tcBorders>
              <w:top w:val="single" w:color="auto" w:sz="4" w:space="0"/>
              <w:left w:val="single" w:color="auto" w:sz="4" w:space="0"/>
              <w:bottom w:val="single" w:color="auto" w:sz="4" w:space="0"/>
              <w:right w:val="single" w:color="auto" w:sz="4" w:space="0"/>
            </w:tcBorders>
            <w:vAlign w:val="center"/>
          </w:tcPr>
          <w:p>
            <w:pPr>
              <w:widowControl/>
              <w:snapToGrid w:val="0"/>
              <w:spacing w:after="0" w:line="240" w:lineRule="auto"/>
              <w:jc w:val="center"/>
              <w:rPr>
                <w:rFonts w:ascii="宋体" w:hAnsi="宋体"/>
                <w:color w:val="000000"/>
                <w:kern w:val="0"/>
                <w:sz w:val="24"/>
                <w:szCs w:val="24"/>
              </w:rPr>
            </w:pPr>
            <w:r>
              <w:rPr>
                <w:rFonts w:ascii="宋体" w:hAnsi="宋体"/>
                <w:color w:val="000000"/>
                <w:kern w:val="0"/>
                <w:sz w:val="24"/>
                <w:szCs w:val="24"/>
              </w:rPr>
              <w:t>8</w:t>
            </w:r>
          </w:p>
        </w:tc>
        <w:tc>
          <w:tcPr>
            <w:tcW w:w="7" w:type="dxa"/>
            <w:vMerge w:val="restart"/>
            <w:tcBorders>
              <w:top w:val="single" w:color="auto" w:sz="4" w:space="0"/>
              <w:left w:val="single" w:color="auto" w:sz="4" w:space="0"/>
              <w:bottom w:val="single" w:color="auto" w:sz="4" w:space="0"/>
              <w:right w:val="single" w:color="auto" w:sz="4" w:space="0"/>
            </w:tcBorders>
            <w:vAlign w:val="center"/>
          </w:tcPr>
          <w:p>
            <w:pPr>
              <w:spacing w:after="0" w:line="240" w:lineRule="auto"/>
              <w:jc w:val="center"/>
            </w:pPr>
            <w:r>
              <w:rPr>
                <w:rFonts w:ascii="宋体" w:hAnsi="宋体"/>
                <w:color w:val="000000"/>
                <w:kern w:val="0"/>
                <w:sz w:val="25"/>
                <w:szCs w:val="24"/>
              </w:rPr>
              <w:t>交银施罗德定期支付双息平衡混合型证券投资基金2025年第4季度报告</w:t>
            </w:r>
          </w:p>
        </w:tc>
        <w:tc>
          <w:tcPr>
            <w:tcW w:w="7" w:type="dxa"/>
            <w:vMerge w:val="restart"/>
            <w:tcBorders>
              <w:top w:val="single" w:color="auto" w:sz="4" w:space="0"/>
              <w:left w:val="single" w:color="auto" w:sz="4" w:space="0"/>
              <w:bottom w:val="single" w:color="auto" w:sz="4" w:space="0"/>
              <w:right w:val="single" w:color="auto" w:sz="4" w:space="0"/>
            </w:tcBorders>
            <w:vAlign w:val="center"/>
          </w:tcPr>
          <w:p>
            <w:pPr>
              <w:spacing w:after="0" w:line="240" w:lineRule="auto"/>
              <w:jc w:val="center"/>
            </w:pPr>
            <w:r>
              <w:rPr>
                <w:rFonts w:ascii="宋体" w:hAnsi="宋体"/>
                <w:color w:val="000000"/>
                <w:kern w:val="0"/>
                <w:sz w:val="25"/>
                <w:szCs w:val="24"/>
              </w:rPr>
              <w:t>中国证监会规定媒体及公司网站</w:t>
            </w:r>
          </w:p>
        </w:tc>
        <w:tc>
          <w:tcPr>
            <w:tcW w:w="7" w:type="dxa"/>
            <w:vMerge w:val="restart"/>
            <w:tcBorders>
              <w:top w:val="single" w:color="auto" w:sz="4" w:space="0"/>
              <w:left w:val="single" w:color="auto" w:sz="4" w:space="0"/>
              <w:bottom w:val="single" w:color="auto" w:sz="4" w:space="0"/>
              <w:right w:val="single" w:color="auto" w:sz="4" w:space="0"/>
            </w:tcBorders>
            <w:vAlign w:val="center"/>
          </w:tcPr>
          <w:p>
            <w:pPr>
              <w:spacing w:after="0" w:line="240" w:lineRule="auto"/>
              <w:jc w:val="center"/>
            </w:pPr>
            <w:r>
              <w:rPr>
                <w:rFonts w:ascii="宋体" w:hAnsi="宋体"/>
                <w:color w:val="000000"/>
                <w:kern w:val="0"/>
                <w:sz w:val="25"/>
                <w:szCs w:val="24"/>
              </w:rPr>
              <w:t>2026-01-21</w:t>
            </w:r>
          </w:p>
        </w:tc>
      </w:tr>
      <w:tr>
        <w:tblPrEx>
          <w:tblCellMar>
            <w:top w:w="0" w:type="dxa"/>
            <w:left w:w="0" w:type="dxa"/>
            <w:bottom w:w="0" w:type="dxa"/>
            <w:right w:w="0" w:type="dxa"/>
          </w:tblCellMar>
        </w:tblPrEx>
        <w:trPr>
          <w:cantSplit/>
          <w:trHeight w:val="375" w:hRule="atLeast"/>
        </w:trPr>
        <w:tc>
          <w:tcPr>
            <w:tcW w:w="7" w:type="dxa"/>
            <w:tcBorders>
              <w:top w:val="single" w:color="auto" w:sz="4" w:space="0"/>
              <w:left w:val="single" w:color="auto" w:sz="4" w:space="0"/>
              <w:bottom w:val="single" w:color="auto" w:sz="4" w:space="0"/>
              <w:right w:val="single" w:color="auto" w:sz="4" w:space="0"/>
            </w:tcBorders>
            <w:vAlign w:val="center"/>
          </w:tcPr>
          <w:p>
            <w:pPr>
              <w:widowControl/>
              <w:snapToGrid w:val="0"/>
              <w:spacing w:after="0" w:line="240" w:lineRule="auto"/>
              <w:jc w:val="center"/>
              <w:rPr>
                <w:rFonts w:ascii="宋体" w:hAnsi="宋体"/>
                <w:color w:val="000000"/>
                <w:kern w:val="0"/>
                <w:sz w:val="24"/>
                <w:szCs w:val="24"/>
              </w:rPr>
            </w:pPr>
            <w:r>
              <w:rPr>
                <w:rFonts w:ascii="宋体" w:hAnsi="宋体"/>
                <w:color w:val="000000"/>
                <w:kern w:val="0"/>
                <w:sz w:val="24"/>
                <w:szCs w:val="24"/>
              </w:rPr>
              <w:t>9</w:t>
            </w:r>
          </w:p>
        </w:tc>
        <w:tc>
          <w:tcPr>
            <w:tcW w:w="7" w:type="dxa"/>
            <w:vMerge w:val="restart"/>
            <w:tcBorders>
              <w:top w:val="single" w:color="auto" w:sz="4" w:space="0"/>
              <w:left w:val="single" w:color="auto" w:sz="4" w:space="0"/>
              <w:bottom w:val="single" w:color="auto" w:sz="4" w:space="0"/>
              <w:right w:val="single" w:color="auto" w:sz="4" w:space="0"/>
            </w:tcBorders>
            <w:vAlign w:val="center"/>
          </w:tcPr>
          <w:p>
            <w:pPr>
              <w:spacing w:after="0" w:line="240" w:lineRule="auto"/>
              <w:jc w:val="center"/>
            </w:pPr>
            <w:r>
              <w:rPr>
                <w:rFonts w:ascii="宋体" w:hAnsi="宋体"/>
                <w:color w:val="000000"/>
                <w:kern w:val="0"/>
                <w:sz w:val="25"/>
                <w:szCs w:val="24"/>
              </w:rPr>
              <w:t>交银施罗德定期支付双息平衡混合型证券投资基金2025年年度报告</w:t>
            </w:r>
          </w:p>
        </w:tc>
        <w:tc>
          <w:tcPr>
            <w:tcW w:w="7" w:type="dxa"/>
            <w:vMerge w:val="restart"/>
            <w:tcBorders>
              <w:top w:val="single" w:color="auto" w:sz="4" w:space="0"/>
              <w:left w:val="single" w:color="auto" w:sz="4" w:space="0"/>
              <w:bottom w:val="single" w:color="auto" w:sz="4" w:space="0"/>
              <w:right w:val="single" w:color="auto" w:sz="4" w:space="0"/>
            </w:tcBorders>
            <w:vAlign w:val="center"/>
          </w:tcPr>
          <w:p>
            <w:pPr>
              <w:spacing w:after="0" w:line="240" w:lineRule="auto"/>
              <w:jc w:val="center"/>
            </w:pPr>
            <w:r>
              <w:rPr>
                <w:rFonts w:ascii="宋体" w:hAnsi="宋体"/>
                <w:color w:val="000000"/>
                <w:kern w:val="0"/>
                <w:sz w:val="25"/>
                <w:szCs w:val="24"/>
              </w:rPr>
              <w:t>中国证监会规定媒体及公司网站</w:t>
            </w:r>
          </w:p>
        </w:tc>
        <w:tc>
          <w:tcPr>
            <w:tcW w:w="7" w:type="dxa"/>
            <w:vMerge w:val="restart"/>
            <w:tcBorders>
              <w:top w:val="single" w:color="auto" w:sz="4" w:space="0"/>
              <w:left w:val="single" w:color="auto" w:sz="4" w:space="0"/>
              <w:bottom w:val="single" w:color="auto" w:sz="4" w:space="0"/>
              <w:right w:val="single" w:color="auto" w:sz="4" w:space="0"/>
            </w:tcBorders>
            <w:vAlign w:val="center"/>
          </w:tcPr>
          <w:p>
            <w:pPr>
              <w:spacing w:after="0" w:line="240" w:lineRule="auto"/>
              <w:jc w:val="center"/>
            </w:pPr>
            <w:r>
              <w:rPr>
                <w:rFonts w:ascii="宋体" w:hAnsi="宋体"/>
                <w:color w:val="000000"/>
                <w:kern w:val="0"/>
                <w:sz w:val="25"/>
                <w:szCs w:val="24"/>
              </w:rPr>
              <w:t>2026-03-28</w:t>
            </w:r>
          </w:p>
        </w:tc>
      </w:tr>
      <w:tr>
        <w:tblPrEx>
          <w:tblCellMar>
            <w:top w:w="0" w:type="dxa"/>
            <w:left w:w="0" w:type="dxa"/>
            <w:bottom w:w="0" w:type="dxa"/>
            <w:right w:w="0" w:type="dxa"/>
          </w:tblCellMar>
        </w:tblPrEx>
        <w:trPr>
          <w:cantSplit/>
          <w:trHeight w:val="375" w:hRule="atLeast"/>
        </w:trPr>
        <w:tc>
          <w:tcPr>
            <w:tcW w:w="7" w:type="dxa"/>
            <w:tcBorders>
              <w:top w:val="single" w:color="auto" w:sz="4" w:space="0"/>
              <w:left w:val="single" w:color="auto" w:sz="4" w:space="0"/>
              <w:bottom w:val="single" w:color="auto" w:sz="4" w:space="0"/>
              <w:right w:val="single" w:color="auto" w:sz="4" w:space="0"/>
            </w:tcBorders>
            <w:vAlign w:val="center"/>
          </w:tcPr>
          <w:p>
            <w:pPr>
              <w:widowControl/>
              <w:snapToGrid w:val="0"/>
              <w:spacing w:after="0" w:line="240" w:lineRule="auto"/>
              <w:jc w:val="center"/>
              <w:rPr>
                <w:rFonts w:ascii="宋体" w:hAnsi="宋体"/>
                <w:color w:val="000000"/>
                <w:kern w:val="0"/>
                <w:sz w:val="24"/>
                <w:szCs w:val="24"/>
              </w:rPr>
            </w:pPr>
            <w:r>
              <w:rPr>
                <w:rFonts w:ascii="宋体" w:hAnsi="宋体"/>
                <w:color w:val="000000"/>
                <w:kern w:val="0"/>
                <w:sz w:val="24"/>
                <w:szCs w:val="24"/>
              </w:rPr>
              <w:t>10</w:t>
            </w:r>
          </w:p>
        </w:tc>
        <w:tc>
          <w:tcPr>
            <w:tcW w:w="7" w:type="dxa"/>
            <w:vMerge w:val="restart"/>
            <w:tcBorders>
              <w:top w:val="single" w:color="auto" w:sz="4" w:space="0"/>
              <w:left w:val="single" w:color="auto" w:sz="4" w:space="0"/>
              <w:bottom w:val="single" w:color="auto" w:sz="4" w:space="0"/>
              <w:right w:val="single" w:color="auto" w:sz="4" w:space="0"/>
            </w:tcBorders>
            <w:vAlign w:val="center"/>
          </w:tcPr>
          <w:p>
            <w:pPr>
              <w:spacing w:after="0" w:line="240" w:lineRule="auto"/>
              <w:jc w:val="center"/>
            </w:pPr>
            <w:r>
              <w:rPr>
                <w:rFonts w:ascii="宋体" w:hAnsi="宋体"/>
                <w:color w:val="000000"/>
                <w:kern w:val="0"/>
                <w:sz w:val="25"/>
                <w:szCs w:val="24"/>
              </w:rPr>
              <w:t>交银施罗德基金管理有限公司旗下公募基金通过证券公司证券交易及佣金支付情况（2025年）</w:t>
            </w:r>
          </w:p>
        </w:tc>
        <w:tc>
          <w:tcPr>
            <w:tcW w:w="7" w:type="dxa"/>
            <w:vMerge w:val="restart"/>
            <w:tcBorders>
              <w:top w:val="single" w:color="auto" w:sz="4" w:space="0"/>
              <w:left w:val="single" w:color="auto" w:sz="4" w:space="0"/>
              <w:bottom w:val="single" w:color="auto" w:sz="4" w:space="0"/>
              <w:right w:val="single" w:color="auto" w:sz="4" w:space="0"/>
            </w:tcBorders>
            <w:vAlign w:val="center"/>
          </w:tcPr>
          <w:p>
            <w:pPr>
              <w:spacing w:after="0" w:line="240" w:lineRule="auto"/>
              <w:jc w:val="center"/>
            </w:pPr>
            <w:r>
              <w:rPr>
                <w:rFonts w:ascii="宋体" w:hAnsi="宋体"/>
                <w:color w:val="000000"/>
                <w:kern w:val="0"/>
                <w:sz w:val="25"/>
                <w:szCs w:val="24"/>
              </w:rPr>
              <w:t>中国证监会规定媒体及公司网站</w:t>
            </w:r>
          </w:p>
        </w:tc>
        <w:tc>
          <w:tcPr>
            <w:tcW w:w="7" w:type="dxa"/>
            <w:vMerge w:val="restart"/>
            <w:tcBorders>
              <w:top w:val="single" w:color="auto" w:sz="4" w:space="0"/>
              <w:left w:val="single" w:color="auto" w:sz="4" w:space="0"/>
              <w:bottom w:val="single" w:color="auto" w:sz="4" w:space="0"/>
              <w:right w:val="single" w:color="auto" w:sz="4" w:space="0"/>
            </w:tcBorders>
            <w:vAlign w:val="center"/>
          </w:tcPr>
          <w:p>
            <w:pPr>
              <w:spacing w:after="0" w:line="240" w:lineRule="auto"/>
              <w:jc w:val="center"/>
            </w:pPr>
            <w:r>
              <w:rPr>
                <w:rFonts w:ascii="宋体" w:hAnsi="宋体"/>
                <w:color w:val="000000"/>
                <w:kern w:val="0"/>
                <w:sz w:val="25"/>
                <w:szCs w:val="24"/>
              </w:rPr>
              <w:t>2026-03-28</w:t>
            </w:r>
          </w:p>
        </w:tc>
      </w:tr>
      <w:tr>
        <w:tblPrEx>
          <w:tblCellMar>
            <w:top w:w="0" w:type="dxa"/>
            <w:left w:w="0" w:type="dxa"/>
            <w:bottom w:w="0" w:type="dxa"/>
            <w:right w:w="0" w:type="dxa"/>
          </w:tblCellMar>
        </w:tblPrEx>
        <w:trPr>
          <w:cantSplit/>
          <w:trHeight w:val="375" w:hRule="atLeast"/>
        </w:trPr>
        <w:tc>
          <w:tcPr>
            <w:tcW w:w="7" w:type="dxa"/>
            <w:tcBorders>
              <w:top w:val="single" w:color="auto" w:sz="4" w:space="0"/>
              <w:left w:val="single" w:color="auto" w:sz="4" w:space="0"/>
              <w:bottom w:val="single" w:color="auto" w:sz="4" w:space="0"/>
              <w:right w:val="single" w:color="auto" w:sz="4" w:space="0"/>
            </w:tcBorders>
            <w:vAlign w:val="center"/>
          </w:tcPr>
          <w:p>
            <w:pPr>
              <w:widowControl/>
              <w:snapToGrid w:val="0"/>
              <w:spacing w:after="0" w:line="240" w:lineRule="auto"/>
              <w:jc w:val="center"/>
              <w:rPr>
                <w:rFonts w:ascii="宋体" w:hAnsi="宋体"/>
                <w:color w:val="000000"/>
                <w:kern w:val="0"/>
                <w:sz w:val="24"/>
                <w:szCs w:val="24"/>
              </w:rPr>
            </w:pPr>
            <w:r>
              <w:rPr>
                <w:rFonts w:ascii="宋体" w:hAnsi="宋体"/>
                <w:color w:val="000000"/>
                <w:kern w:val="0"/>
                <w:sz w:val="24"/>
                <w:szCs w:val="24"/>
              </w:rPr>
              <w:t>11</w:t>
            </w:r>
          </w:p>
        </w:tc>
        <w:tc>
          <w:tcPr>
            <w:tcW w:w="7" w:type="dxa"/>
            <w:vMerge w:val="restart"/>
            <w:tcBorders>
              <w:top w:val="single" w:color="auto" w:sz="4" w:space="0"/>
              <w:left w:val="single" w:color="auto" w:sz="4" w:space="0"/>
              <w:bottom w:val="single" w:color="auto" w:sz="4" w:space="0"/>
              <w:right w:val="single" w:color="auto" w:sz="4" w:space="0"/>
            </w:tcBorders>
            <w:vAlign w:val="center"/>
          </w:tcPr>
          <w:p>
            <w:pPr>
              <w:spacing w:after="0" w:line="240" w:lineRule="auto"/>
              <w:jc w:val="center"/>
            </w:pPr>
            <w:r>
              <w:rPr>
                <w:rFonts w:ascii="宋体" w:hAnsi="宋体"/>
                <w:color w:val="000000"/>
                <w:kern w:val="0"/>
                <w:sz w:val="25"/>
                <w:szCs w:val="24"/>
              </w:rPr>
              <w:t>交银施罗德定期支付双息平衡混合型证券投资基金2026年第1季度报告</w:t>
            </w:r>
          </w:p>
        </w:tc>
        <w:tc>
          <w:tcPr>
            <w:tcW w:w="7" w:type="dxa"/>
            <w:vMerge w:val="restart"/>
            <w:tcBorders>
              <w:top w:val="single" w:color="auto" w:sz="4" w:space="0"/>
              <w:left w:val="single" w:color="auto" w:sz="4" w:space="0"/>
              <w:bottom w:val="single" w:color="auto" w:sz="4" w:space="0"/>
              <w:right w:val="single" w:color="auto" w:sz="4" w:space="0"/>
            </w:tcBorders>
            <w:vAlign w:val="center"/>
          </w:tcPr>
          <w:p>
            <w:pPr>
              <w:spacing w:after="0" w:line="240" w:lineRule="auto"/>
              <w:jc w:val="center"/>
            </w:pPr>
            <w:r>
              <w:rPr>
                <w:rFonts w:ascii="宋体" w:hAnsi="宋体"/>
                <w:color w:val="000000"/>
                <w:kern w:val="0"/>
                <w:sz w:val="25"/>
                <w:szCs w:val="24"/>
              </w:rPr>
              <w:t>中国证监会规定媒体及公司网站</w:t>
            </w:r>
          </w:p>
        </w:tc>
        <w:tc>
          <w:tcPr>
            <w:tcW w:w="7" w:type="dxa"/>
            <w:vMerge w:val="restart"/>
            <w:tcBorders>
              <w:top w:val="single" w:color="auto" w:sz="4" w:space="0"/>
              <w:left w:val="single" w:color="auto" w:sz="4" w:space="0"/>
              <w:bottom w:val="single" w:color="auto" w:sz="4" w:space="0"/>
              <w:right w:val="single" w:color="auto" w:sz="4" w:space="0"/>
            </w:tcBorders>
            <w:vAlign w:val="center"/>
          </w:tcPr>
          <w:p>
            <w:pPr>
              <w:spacing w:after="0" w:line="240" w:lineRule="auto"/>
              <w:jc w:val="center"/>
            </w:pPr>
            <w:r>
              <w:rPr>
                <w:rFonts w:ascii="宋体" w:hAnsi="宋体"/>
                <w:color w:val="000000"/>
                <w:kern w:val="0"/>
                <w:sz w:val="25"/>
                <w:szCs w:val="24"/>
              </w:rPr>
              <w:t>2026-04-21</w:t>
            </w:r>
          </w:p>
        </w:tc>
      </w:tr>
      <w:tr>
        <w:tblPrEx>
          <w:tblCellMar>
            <w:top w:w="0" w:type="dxa"/>
            <w:left w:w="0" w:type="dxa"/>
            <w:bottom w:w="0" w:type="dxa"/>
            <w:right w:w="0" w:type="dxa"/>
          </w:tblCellMar>
        </w:tblPrEx>
        <w:trPr>
          <w:cantSplit/>
          <w:trHeight w:val="375" w:hRule="atLeast"/>
        </w:trPr>
        <w:tc>
          <w:tcPr>
            <w:tcW w:w="7" w:type="dxa"/>
            <w:tcBorders>
              <w:top w:val="single" w:color="auto" w:sz="4" w:space="0"/>
              <w:left w:val="single" w:color="auto" w:sz="4" w:space="0"/>
              <w:bottom w:val="single" w:color="auto" w:sz="4" w:space="0"/>
              <w:right w:val="single" w:color="auto" w:sz="4" w:space="0"/>
            </w:tcBorders>
            <w:vAlign w:val="center"/>
          </w:tcPr>
          <w:p>
            <w:pPr>
              <w:widowControl/>
              <w:snapToGrid w:val="0"/>
              <w:spacing w:after="0" w:line="240" w:lineRule="auto"/>
              <w:jc w:val="center"/>
              <w:rPr>
                <w:rFonts w:ascii="宋体" w:hAnsi="宋体"/>
                <w:color w:val="000000"/>
                <w:kern w:val="0"/>
                <w:sz w:val="24"/>
                <w:szCs w:val="24"/>
              </w:rPr>
            </w:pPr>
            <w:r>
              <w:rPr>
                <w:rFonts w:ascii="宋体" w:hAnsi="宋体"/>
                <w:color w:val="000000"/>
                <w:kern w:val="0"/>
                <w:sz w:val="24"/>
                <w:szCs w:val="24"/>
              </w:rPr>
              <w:t>12</w:t>
            </w:r>
          </w:p>
        </w:tc>
        <w:tc>
          <w:tcPr>
            <w:tcW w:w="7" w:type="dxa"/>
            <w:vMerge w:val="restart"/>
            <w:tcBorders>
              <w:top w:val="single" w:color="auto" w:sz="4" w:space="0"/>
              <w:left w:val="single" w:color="auto" w:sz="4" w:space="0"/>
              <w:bottom w:val="single" w:color="auto" w:sz="4" w:space="0"/>
              <w:right w:val="single" w:color="auto" w:sz="4" w:space="0"/>
            </w:tcBorders>
            <w:vAlign w:val="center"/>
          </w:tcPr>
          <w:p>
            <w:pPr>
              <w:spacing w:after="0" w:line="240" w:lineRule="auto"/>
              <w:jc w:val="center"/>
            </w:pPr>
            <w:r>
              <w:rPr>
                <w:rFonts w:ascii="宋体" w:hAnsi="宋体"/>
                <w:color w:val="000000"/>
                <w:kern w:val="0"/>
                <w:sz w:val="25"/>
                <w:szCs w:val="24"/>
              </w:rPr>
              <w:t>交银施罗德定期支付双息平衡混合型证券投资基金基金产品资料概要更新</w:t>
            </w:r>
          </w:p>
        </w:tc>
        <w:tc>
          <w:tcPr>
            <w:tcW w:w="7" w:type="dxa"/>
            <w:vMerge w:val="restart"/>
            <w:tcBorders>
              <w:top w:val="single" w:color="auto" w:sz="4" w:space="0"/>
              <w:left w:val="single" w:color="auto" w:sz="4" w:space="0"/>
              <w:bottom w:val="single" w:color="auto" w:sz="4" w:space="0"/>
              <w:right w:val="single" w:color="auto" w:sz="4" w:space="0"/>
            </w:tcBorders>
            <w:vAlign w:val="center"/>
          </w:tcPr>
          <w:p>
            <w:pPr>
              <w:spacing w:after="0" w:line="240" w:lineRule="auto"/>
              <w:jc w:val="center"/>
            </w:pPr>
            <w:r>
              <w:rPr>
                <w:rFonts w:ascii="宋体" w:hAnsi="宋体"/>
                <w:color w:val="000000"/>
                <w:kern w:val="0"/>
                <w:sz w:val="25"/>
                <w:szCs w:val="24"/>
              </w:rPr>
              <w:t>中国证监会规定媒体及公司网站</w:t>
            </w:r>
          </w:p>
        </w:tc>
        <w:tc>
          <w:tcPr>
            <w:tcW w:w="7" w:type="dxa"/>
            <w:vMerge w:val="restart"/>
            <w:tcBorders>
              <w:top w:val="single" w:color="auto" w:sz="4" w:space="0"/>
              <w:left w:val="single" w:color="auto" w:sz="4" w:space="0"/>
              <w:bottom w:val="single" w:color="auto" w:sz="4" w:space="0"/>
              <w:right w:val="single" w:color="auto" w:sz="4" w:space="0"/>
            </w:tcBorders>
            <w:vAlign w:val="center"/>
          </w:tcPr>
          <w:p>
            <w:pPr>
              <w:spacing w:after="0" w:line="240" w:lineRule="auto"/>
              <w:jc w:val="center"/>
            </w:pPr>
            <w:r>
              <w:rPr>
                <w:rFonts w:ascii="宋体" w:hAnsi="宋体"/>
                <w:color w:val="000000"/>
                <w:kern w:val="0"/>
                <w:sz w:val="25"/>
                <w:szCs w:val="24"/>
              </w:rPr>
              <w:t>2026-05-13</w:t>
            </w:r>
          </w:p>
        </w:tc>
      </w:tr>
      <w:tr>
        <w:tblPrEx>
          <w:tblCellMar>
            <w:top w:w="0" w:type="dxa"/>
            <w:left w:w="0" w:type="dxa"/>
            <w:bottom w:w="0" w:type="dxa"/>
            <w:right w:w="0" w:type="dxa"/>
          </w:tblCellMar>
        </w:tblPrEx>
        <w:trPr>
          <w:cantSplit/>
          <w:trHeight w:val="375" w:hRule="atLeast"/>
        </w:trPr>
        <w:tc>
          <w:tcPr>
            <w:tcW w:w="7" w:type="dxa"/>
            <w:tcBorders>
              <w:top w:val="single" w:color="auto" w:sz="4" w:space="0"/>
              <w:left w:val="single" w:color="auto" w:sz="4" w:space="0"/>
              <w:bottom w:val="single" w:color="auto" w:sz="4" w:space="0"/>
              <w:right w:val="single" w:color="auto" w:sz="4" w:space="0"/>
            </w:tcBorders>
            <w:vAlign w:val="center"/>
          </w:tcPr>
          <w:p>
            <w:pPr>
              <w:widowControl/>
              <w:snapToGrid w:val="0"/>
              <w:spacing w:after="0" w:line="240" w:lineRule="auto"/>
              <w:jc w:val="center"/>
              <w:rPr>
                <w:rFonts w:ascii="宋体" w:hAnsi="宋体"/>
                <w:color w:val="000000"/>
                <w:kern w:val="0"/>
                <w:sz w:val="24"/>
                <w:szCs w:val="24"/>
              </w:rPr>
            </w:pPr>
            <w:r>
              <w:rPr>
                <w:rFonts w:ascii="宋体" w:hAnsi="宋体"/>
                <w:color w:val="000000"/>
                <w:kern w:val="0"/>
                <w:sz w:val="24"/>
                <w:szCs w:val="24"/>
              </w:rPr>
              <w:t>13</w:t>
            </w:r>
          </w:p>
        </w:tc>
        <w:tc>
          <w:tcPr>
            <w:tcW w:w="7" w:type="dxa"/>
            <w:vMerge w:val="restart"/>
            <w:tcBorders>
              <w:top w:val="single" w:color="auto" w:sz="4" w:space="0"/>
              <w:left w:val="single" w:color="auto" w:sz="4" w:space="0"/>
              <w:bottom w:val="single" w:color="auto" w:sz="4" w:space="0"/>
              <w:right w:val="single" w:color="auto" w:sz="4" w:space="0"/>
            </w:tcBorders>
            <w:vAlign w:val="center"/>
          </w:tcPr>
          <w:p>
            <w:pPr>
              <w:spacing w:after="0" w:line="240" w:lineRule="auto"/>
              <w:jc w:val="center"/>
            </w:pPr>
            <w:r>
              <w:rPr>
                <w:rFonts w:ascii="宋体" w:hAnsi="宋体"/>
                <w:color w:val="000000"/>
                <w:kern w:val="0"/>
                <w:sz w:val="25"/>
                <w:szCs w:val="24"/>
              </w:rPr>
              <w:t>交银施罗德基金管理有限公司关于终止中证金牛（北京）基金销售有限公司办理相关销售业务的公告</w:t>
            </w:r>
          </w:p>
        </w:tc>
        <w:tc>
          <w:tcPr>
            <w:tcW w:w="7" w:type="dxa"/>
            <w:vMerge w:val="restart"/>
            <w:tcBorders>
              <w:top w:val="single" w:color="auto" w:sz="4" w:space="0"/>
              <w:left w:val="single" w:color="auto" w:sz="4" w:space="0"/>
              <w:bottom w:val="single" w:color="auto" w:sz="4" w:space="0"/>
              <w:right w:val="single" w:color="auto" w:sz="4" w:space="0"/>
            </w:tcBorders>
            <w:vAlign w:val="center"/>
          </w:tcPr>
          <w:p>
            <w:pPr>
              <w:spacing w:after="0" w:line="240" w:lineRule="auto"/>
              <w:jc w:val="center"/>
            </w:pPr>
            <w:r>
              <w:rPr>
                <w:rFonts w:ascii="宋体" w:hAnsi="宋体"/>
                <w:color w:val="000000"/>
                <w:kern w:val="0"/>
                <w:sz w:val="25"/>
                <w:szCs w:val="24"/>
              </w:rPr>
              <w:t>中国证监会规定媒体及公司网站</w:t>
            </w:r>
          </w:p>
        </w:tc>
        <w:tc>
          <w:tcPr>
            <w:tcW w:w="7" w:type="dxa"/>
            <w:vMerge w:val="restart"/>
            <w:tcBorders>
              <w:top w:val="single" w:color="auto" w:sz="4" w:space="0"/>
              <w:left w:val="single" w:color="auto" w:sz="4" w:space="0"/>
              <w:bottom w:val="single" w:color="auto" w:sz="4" w:space="0"/>
              <w:right w:val="single" w:color="auto" w:sz="4" w:space="0"/>
            </w:tcBorders>
            <w:vAlign w:val="center"/>
          </w:tcPr>
          <w:p>
            <w:pPr>
              <w:spacing w:after="0" w:line="240" w:lineRule="auto"/>
              <w:jc w:val="center"/>
            </w:pPr>
            <w:r>
              <w:rPr>
                <w:rFonts w:ascii="宋体" w:hAnsi="宋体"/>
                <w:color w:val="000000"/>
                <w:kern w:val="0"/>
                <w:sz w:val="25"/>
                <w:szCs w:val="24"/>
              </w:rPr>
              <w:t>2026-06-06</w:t>
            </w:r>
          </w:p>
        </w:tc>
      </w:tr>
      <w:tr>
        <w:tblPrEx>
          <w:tblCellMar>
            <w:top w:w="0" w:type="dxa"/>
            <w:left w:w="0" w:type="dxa"/>
            <w:bottom w:w="0" w:type="dxa"/>
            <w:right w:w="0" w:type="dxa"/>
          </w:tblCellMar>
        </w:tblPrEx>
        <w:trPr>
          <w:cantSplit/>
          <w:trHeight w:val="375" w:hRule="atLeast"/>
        </w:trPr>
        <w:tc>
          <w:tcPr>
            <w:tcW w:w="7" w:type="dxa"/>
            <w:tcBorders>
              <w:top w:val="single" w:color="auto" w:sz="4" w:space="0"/>
              <w:left w:val="single" w:color="auto" w:sz="4" w:space="0"/>
              <w:bottom w:val="single" w:color="auto" w:sz="4" w:space="0"/>
              <w:right w:val="single" w:color="auto" w:sz="4" w:space="0"/>
            </w:tcBorders>
            <w:vAlign w:val="center"/>
          </w:tcPr>
          <w:p>
            <w:pPr>
              <w:widowControl/>
              <w:snapToGrid w:val="0"/>
              <w:spacing w:after="0" w:line="240" w:lineRule="auto"/>
              <w:jc w:val="center"/>
              <w:rPr>
                <w:rFonts w:ascii="宋体" w:hAnsi="宋体"/>
                <w:color w:val="000000"/>
                <w:kern w:val="0"/>
                <w:sz w:val="24"/>
                <w:szCs w:val="24"/>
              </w:rPr>
            </w:pPr>
            <w:r>
              <w:rPr>
                <w:rFonts w:ascii="宋体" w:hAnsi="宋体"/>
                <w:color w:val="000000"/>
                <w:kern w:val="0"/>
                <w:sz w:val="24"/>
                <w:szCs w:val="24"/>
              </w:rPr>
              <w:t>14</w:t>
            </w:r>
          </w:p>
        </w:tc>
        <w:tc>
          <w:tcPr>
            <w:tcW w:w="7" w:type="dxa"/>
            <w:tcBorders>
              <w:top w:val="single" w:color="auto" w:sz="4" w:space="0"/>
              <w:left w:val="single" w:color="auto" w:sz="4" w:space="0"/>
              <w:bottom w:val="single" w:color="auto" w:sz="4" w:space="0"/>
              <w:right w:val="single" w:color="auto" w:sz="4" w:space="0"/>
            </w:tcBorders>
            <w:vAlign w:val="center"/>
          </w:tcPr>
          <w:p>
            <w:pPr>
              <w:spacing w:after="0" w:line="240" w:lineRule="auto"/>
              <w:jc w:val="center"/>
            </w:pPr>
            <w:r>
              <w:rPr>
                <w:rFonts w:ascii="宋体" w:hAnsi="宋体"/>
                <w:color w:val="000000"/>
                <w:kern w:val="0"/>
                <w:sz w:val="25"/>
                <w:szCs w:val="24"/>
              </w:rPr>
              <w:t>交银施罗德基金管理有限公司关于高级管理人员变更的公告</w:t>
            </w:r>
          </w:p>
        </w:tc>
        <w:tc>
          <w:tcPr>
            <w:tcW w:w="7" w:type="dxa"/>
            <w:tcBorders>
              <w:top w:val="single" w:color="auto" w:sz="4" w:space="0"/>
              <w:left w:val="single" w:color="auto" w:sz="4" w:space="0"/>
              <w:bottom w:val="single" w:color="auto" w:sz="4" w:space="0"/>
              <w:right w:val="single" w:color="auto" w:sz="4" w:space="0"/>
            </w:tcBorders>
            <w:vAlign w:val="center"/>
          </w:tcPr>
          <w:p>
            <w:pPr>
              <w:spacing w:after="0" w:line="240" w:lineRule="auto"/>
              <w:jc w:val="center"/>
            </w:pPr>
            <w:r>
              <w:rPr>
                <w:rFonts w:ascii="宋体" w:hAnsi="宋体"/>
                <w:color w:val="000000"/>
                <w:kern w:val="0"/>
                <w:sz w:val="25"/>
                <w:szCs w:val="24"/>
              </w:rPr>
              <w:t>中国证监会规定媒体及公司网站</w:t>
            </w:r>
          </w:p>
        </w:tc>
        <w:tc>
          <w:tcPr>
            <w:tcW w:w="7" w:type="dxa"/>
            <w:tcBorders>
              <w:top w:val="single" w:color="auto" w:sz="4" w:space="0"/>
              <w:left w:val="single" w:color="auto" w:sz="4" w:space="0"/>
              <w:bottom w:val="single" w:color="auto" w:sz="4" w:space="0"/>
              <w:right w:val="single" w:color="auto" w:sz="4" w:space="0"/>
            </w:tcBorders>
            <w:vAlign w:val="center"/>
          </w:tcPr>
          <w:p>
            <w:pPr>
              <w:spacing w:after="0" w:line="240" w:lineRule="auto"/>
              <w:jc w:val="center"/>
            </w:pPr>
            <w:r>
              <w:rPr>
                <w:rFonts w:ascii="宋体" w:hAnsi="宋体"/>
                <w:color w:val="000000"/>
                <w:kern w:val="0"/>
                <w:sz w:val="25"/>
                <w:szCs w:val="24"/>
              </w:rPr>
              <w:t>2026-06-13</w:t>
            </w:r>
          </w:p>
        </w:tc>
      </w:tr>
      <w:tr>
        <w:tblPrEx>
          <w:tblCellMar>
            <w:top w:w="0" w:type="dxa"/>
            <w:left w:w="0" w:type="dxa"/>
            <w:bottom w:w="0" w:type="dxa"/>
            <w:right w:w="0" w:type="dxa"/>
          </w:tblCellMar>
        </w:tblPrEx>
        <w:trPr>
          <w:cantSplit/>
          <w:trHeight w:val="375" w:hRule="atLeast"/>
        </w:trPr>
        <w:tc>
          <w:tcPr>
            <w:tcW w:w="7" w:type="dxa"/>
            <w:tcBorders>
              <w:top w:val="single" w:color="auto" w:sz="4" w:space="0"/>
              <w:left w:val="single" w:color="auto" w:sz="4" w:space="0"/>
              <w:bottom w:val="single" w:color="auto" w:sz="4" w:space="0"/>
              <w:right w:val="single" w:color="auto" w:sz="4" w:space="0"/>
            </w:tcBorders>
            <w:vAlign w:val="center"/>
          </w:tcPr>
          <w:p>
            <w:pPr>
              <w:widowControl/>
              <w:snapToGrid w:val="0"/>
              <w:spacing w:after="0" w:line="240" w:lineRule="auto"/>
              <w:jc w:val="center"/>
              <w:rPr>
                <w:rFonts w:ascii="宋体" w:hAnsi="宋体"/>
                <w:color w:val="000000"/>
                <w:kern w:val="0"/>
                <w:sz w:val="24"/>
                <w:szCs w:val="24"/>
              </w:rPr>
            </w:pPr>
            <w:r>
              <w:rPr>
                <w:rFonts w:ascii="宋体" w:hAnsi="宋体"/>
                <w:color w:val="000000"/>
                <w:kern w:val="0"/>
                <w:sz w:val="24"/>
                <w:szCs w:val="24"/>
              </w:rPr>
              <w:t>15</w:t>
            </w:r>
          </w:p>
        </w:tc>
        <w:tc>
          <w:tcPr>
            <w:tcW w:w="7" w:type="dxa"/>
            <w:tcBorders>
              <w:top w:val="single" w:color="auto" w:sz="4" w:space="0"/>
              <w:left w:val="single" w:color="auto" w:sz="4" w:space="0"/>
              <w:bottom w:val="single" w:color="auto" w:sz="4" w:space="0"/>
              <w:right w:val="single" w:color="auto" w:sz="4" w:space="0"/>
            </w:tcBorders>
            <w:vAlign w:val="center"/>
          </w:tcPr>
          <w:p>
            <w:pPr>
              <w:spacing w:after="0" w:line="240" w:lineRule="auto"/>
              <w:jc w:val="center"/>
            </w:pPr>
            <w:r>
              <w:rPr>
                <w:rFonts w:ascii="宋体" w:hAnsi="宋体"/>
                <w:color w:val="000000"/>
                <w:kern w:val="0"/>
                <w:sz w:val="25"/>
                <w:szCs w:val="24"/>
              </w:rPr>
              <w:t>交银施罗德定期支付双息平衡混合型证券投资基金2026年第2季度报告</w:t>
            </w:r>
          </w:p>
        </w:tc>
        <w:tc>
          <w:tcPr>
            <w:tcW w:w="7" w:type="dxa"/>
            <w:tcBorders>
              <w:top w:val="single" w:color="auto" w:sz="4" w:space="0"/>
              <w:left w:val="single" w:color="auto" w:sz="4" w:space="0"/>
              <w:bottom w:val="single" w:color="auto" w:sz="4" w:space="0"/>
              <w:right w:val="single" w:color="auto" w:sz="4" w:space="0"/>
            </w:tcBorders>
            <w:vAlign w:val="center"/>
          </w:tcPr>
          <w:p>
            <w:pPr>
              <w:spacing w:after="0" w:line="240" w:lineRule="auto"/>
              <w:jc w:val="center"/>
            </w:pPr>
            <w:r>
              <w:rPr>
                <w:rFonts w:ascii="宋体" w:hAnsi="宋体"/>
                <w:color w:val="000000"/>
                <w:kern w:val="0"/>
                <w:sz w:val="25"/>
                <w:szCs w:val="24"/>
              </w:rPr>
              <w:t>中国证监会规定媒体及公司网站</w:t>
            </w:r>
          </w:p>
        </w:tc>
        <w:tc>
          <w:tcPr>
            <w:tcW w:w="7" w:type="dxa"/>
            <w:tcBorders>
              <w:top w:val="single" w:color="auto" w:sz="4" w:space="0"/>
              <w:left w:val="single" w:color="auto" w:sz="4" w:space="0"/>
              <w:bottom w:val="single" w:color="auto" w:sz="4" w:space="0"/>
              <w:right w:val="single" w:color="auto" w:sz="4" w:space="0"/>
            </w:tcBorders>
            <w:vAlign w:val="center"/>
          </w:tcPr>
          <w:p>
            <w:pPr>
              <w:spacing w:after="0" w:line="240" w:lineRule="auto"/>
              <w:jc w:val="center"/>
            </w:pPr>
            <w:r>
              <w:rPr>
                <w:rFonts w:ascii="宋体" w:hAnsi="宋体"/>
                <w:color w:val="000000"/>
                <w:kern w:val="0"/>
                <w:sz w:val="25"/>
                <w:szCs w:val="24"/>
              </w:rPr>
              <w:t>2026-07-20</w:t>
            </w:r>
          </w:p>
        </w:tc>
      </w:tr>
      <w:tr>
        <w:tblPrEx>
          <w:tblCellMar>
            <w:top w:w="0" w:type="dxa"/>
            <w:left w:w="0" w:type="dxa"/>
            <w:bottom w:w="0" w:type="dxa"/>
            <w:right w:w="0" w:type="dxa"/>
          </w:tblCellMar>
        </w:tblPrEx>
        <w:trPr>
          <w:cantSplit/>
          <w:trHeight w:val="375" w:hRule="atLeast"/>
        </w:trPr>
        <w:tc>
          <w:tcPr>
            <w:tcW w:w="7" w:type="dxa"/>
            <w:tcBorders>
              <w:top w:val="single" w:color="auto" w:sz="4" w:space="0"/>
              <w:left w:val="single" w:color="auto" w:sz="4" w:space="0"/>
              <w:bottom w:val="single" w:color="auto" w:sz="4" w:space="0"/>
              <w:right w:val="single" w:color="auto" w:sz="4" w:space="0"/>
            </w:tcBorders>
            <w:vAlign w:val="center"/>
          </w:tcPr>
          <w:p>
            <w:pPr>
              <w:widowControl/>
              <w:snapToGrid w:val="0"/>
              <w:spacing w:after="0" w:line="240" w:lineRule="auto"/>
              <w:jc w:val="center"/>
              <w:rPr>
                <w:rFonts w:ascii="宋体" w:hAnsi="宋体"/>
                <w:color w:val="000000"/>
                <w:kern w:val="0"/>
                <w:sz w:val="24"/>
                <w:szCs w:val="24"/>
              </w:rPr>
            </w:pPr>
            <w:r>
              <w:rPr>
                <w:rFonts w:ascii="宋体" w:hAnsi="宋体"/>
                <w:color w:val="000000"/>
                <w:kern w:val="0"/>
                <w:sz w:val="24"/>
                <w:szCs w:val="24"/>
              </w:rPr>
              <w:t>16</w:t>
            </w:r>
          </w:p>
        </w:tc>
        <w:tc>
          <w:tcPr>
            <w:tcW w:w="7" w:type="dxa"/>
            <w:tcBorders>
              <w:top w:val="single" w:color="auto" w:sz="4" w:space="0"/>
              <w:left w:val="single" w:color="auto" w:sz="4" w:space="0"/>
              <w:bottom w:val="single" w:color="auto" w:sz="4" w:space="0"/>
              <w:right w:val="single" w:color="auto" w:sz="4" w:space="0"/>
            </w:tcBorders>
            <w:vAlign w:val="center"/>
          </w:tcPr>
          <w:p>
            <w:pPr>
              <w:spacing w:after="0" w:line="240" w:lineRule="auto"/>
              <w:jc w:val="center"/>
            </w:pPr>
            <w:r>
              <w:rPr>
                <w:rFonts w:ascii="宋体" w:hAnsi="宋体"/>
                <w:color w:val="000000"/>
                <w:kern w:val="0"/>
                <w:sz w:val="25"/>
                <w:szCs w:val="24"/>
              </w:rPr>
              <w:t>交银施罗德定期支付双息平衡混合型证券投资基金基金经理变更公告</w:t>
            </w:r>
          </w:p>
        </w:tc>
        <w:tc>
          <w:tcPr>
            <w:tcW w:w="7" w:type="dxa"/>
            <w:tcBorders>
              <w:top w:val="single" w:color="auto" w:sz="4" w:space="0"/>
              <w:left w:val="single" w:color="auto" w:sz="4" w:space="0"/>
              <w:bottom w:val="single" w:color="auto" w:sz="4" w:space="0"/>
              <w:right w:val="single" w:color="auto" w:sz="4" w:space="0"/>
            </w:tcBorders>
            <w:vAlign w:val="center"/>
          </w:tcPr>
          <w:p>
            <w:pPr>
              <w:spacing w:after="0" w:line="240" w:lineRule="auto"/>
              <w:jc w:val="center"/>
            </w:pPr>
            <w:r>
              <w:rPr>
                <w:rFonts w:ascii="宋体" w:hAnsi="宋体"/>
                <w:color w:val="000000"/>
                <w:kern w:val="0"/>
                <w:sz w:val="25"/>
                <w:szCs w:val="24"/>
              </w:rPr>
              <w:t>中国证监会规定媒体及公司网站</w:t>
            </w:r>
          </w:p>
        </w:tc>
        <w:tc>
          <w:tcPr>
            <w:tcW w:w="7" w:type="dxa"/>
            <w:tcBorders>
              <w:top w:val="single" w:color="auto" w:sz="4" w:space="0"/>
              <w:left w:val="single" w:color="auto" w:sz="4" w:space="0"/>
              <w:bottom w:val="single" w:color="auto" w:sz="4" w:space="0"/>
              <w:right w:val="single" w:color="auto" w:sz="4" w:space="0"/>
            </w:tcBorders>
            <w:vAlign w:val="center"/>
          </w:tcPr>
          <w:p>
            <w:pPr>
              <w:spacing w:after="0" w:line="240" w:lineRule="auto"/>
              <w:jc w:val="center"/>
            </w:pPr>
            <w:r>
              <w:rPr>
                <w:rFonts w:ascii="宋体" w:hAnsi="宋体"/>
                <w:color w:val="000000"/>
                <w:kern w:val="0"/>
                <w:sz w:val="25"/>
                <w:szCs w:val="24"/>
              </w:rPr>
              <w:t>2026-08-27</w:t>
            </w:r>
          </w:p>
        </w:tc>
      </w:tr>
      <w:tr>
        <w:tblPrEx>
          <w:tblCellMar>
            <w:top w:w="0" w:type="dxa"/>
            <w:left w:w="0" w:type="dxa"/>
            <w:bottom w:w="0" w:type="dxa"/>
            <w:right w:w="0" w:type="dxa"/>
          </w:tblCellMar>
        </w:tblPrEx>
        <w:trPr>
          <w:cantSplit/>
          <w:trHeight w:val="375" w:hRule="atLeast"/>
        </w:trPr>
        <w:tc>
          <w:tcPr>
            <w:tcW w:w="7" w:type="dxa"/>
            <w:tcBorders>
              <w:top w:val="single" w:color="auto" w:sz="4" w:space="0"/>
              <w:left w:val="single" w:color="auto" w:sz="4" w:space="0"/>
              <w:bottom w:val="single" w:color="auto" w:sz="4" w:space="0"/>
              <w:right w:val="single" w:color="auto" w:sz="4" w:space="0"/>
            </w:tcBorders>
            <w:vAlign w:val="center"/>
          </w:tcPr>
          <w:p>
            <w:pPr>
              <w:widowControl/>
              <w:snapToGrid w:val="0"/>
              <w:spacing w:after="0" w:line="240" w:lineRule="auto"/>
              <w:jc w:val="center"/>
              <w:rPr>
                <w:rFonts w:ascii="宋体" w:hAnsi="宋体"/>
                <w:color w:val="000000"/>
                <w:kern w:val="0"/>
                <w:sz w:val="24"/>
                <w:szCs w:val="24"/>
              </w:rPr>
            </w:pPr>
            <w:r>
              <w:rPr>
                <w:rFonts w:ascii="宋体" w:hAnsi="宋体"/>
                <w:color w:val="000000"/>
                <w:kern w:val="0"/>
                <w:sz w:val="24"/>
                <w:szCs w:val="24"/>
              </w:rPr>
              <w:t>17</w:t>
            </w:r>
          </w:p>
        </w:tc>
        <w:tc>
          <w:tcPr>
            <w:tcW w:w="7" w:type="dxa"/>
            <w:tcBorders>
              <w:top w:val="single" w:color="auto" w:sz="4" w:space="0"/>
              <w:left w:val="single" w:color="auto" w:sz="4" w:space="0"/>
              <w:bottom w:val="single" w:color="auto" w:sz="4" w:space="0"/>
              <w:right w:val="single" w:color="auto" w:sz="4" w:space="0"/>
            </w:tcBorders>
            <w:vAlign w:val="center"/>
          </w:tcPr>
          <w:p>
            <w:pPr>
              <w:spacing w:after="0" w:line="240" w:lineRule="auto"/>
              <w:jc w:val="center"/>
            </w:pPr>
            <w:r>
              <w:rPr>
                <w:rFonts w:ascii="宋体" w:hAnsi="宋体"/>
                <w:color w:val="000000"/>
                <w:kern w:val="0"/>
                <w:sz w:val="25"/>
                <w:szCs w:val="24"/>
              </w:rPr>
              <w:t>交银施罗德基金管理有限公司关于交银施罗德定期支付双息平衡混合型证券投资基金基金经理变更公告</w:t>
            </w:r>
          </w:p>
        </w:tc>
        <w:tc>
          <w:tcPr>
            <w:tcW w:w="7" w:type="dxa"/>
            <w:tcBorders>
              <w:top w:val="single" w:color="auto" w:sz="4" w:space="0"/>
              <w:left w:val="single" w:color="auto" w:sz="4" w:space="0"/>
              <w:bottom w:val="single" w:color="auto" w:sz="4" w:space="0"/>
              <w:right w:val="single" w:color="auto" w:sz="4" w:space="0"/>
            </w:tcBorders>
            <w:vAlign w:val="center"/>
          </w:tcPr>
          <w:p>
            <w:pPr>
              <w:spacing w:after="0" w:line="240" w:lineRule="auto"/>
              <w:jc w:val="center"/>
            </w:pPr>
            <w:r>
              <w:rPr>
                <w:rFonts w:ascii="宋体" w:hAnsi="宋体"/>
                <w:color w:val="000000"/>
                <w:kern w:val="0"/>
                <w:sz w:val="25"/>
                <w:szCs w:val="24"/>
              </w:rPr>
              <w:t>中国证监会规定媒体及公司网站</w:t>
            </w:r>
          </w:p>
        </w:tc>
        <w:tc>
          <w:tcPr>
            <w:tcW w:w="7" w:type="dxa"/>
            <w:tcBorders>
              <w:top w:val="single" w:color="auto" w:sz="4" w:space="0"/>
              <w:left w:val="single" w:color="auto" w:sz="4" w:space="0"/>
              <w:bottom w:val="single" w:color="auto" w:sz="4" w:space="0"/>
              <w:right w:val="single" w:color="auto" w:sz="4" w:space="0"/>
            </w:tcBorders>
            <w:vAlign w:val="center"/>
          </w:tcPr>
          <w:p>
            <w:pPr>
              <w:spacing w:after="0" w:line="240" w:lineRule="auto"/>
              <w:jc w:val="center"/>
            </w:pPr>
            <w:r>
              <w:rPr>
                <w:rFonts w:ascii="宋体" w:hAnsi="宋体"/>
                <w:color w:val="000000"/>
                <w:kern w:val="0"/>
                <w:sz w:val="25"/>
                <w:szCs w:val="24"/>
              </w:rPr>
              <w:t>2026-08-29</w:t>
            </w:r>
          </w:p>
        </w:tc>
      </w:tr>
      <w:tr>
        <w:tblPrEx>
          <w:tblCellMar>
            <w:top w:w="0" w:type="dxa"/>
            <w:left w:w="0" w:type="dxa"/>
            <w:bottom w:w="0" w:type="dxa"/>
            <w:right w:w="0" w:type="dxa"/>
          </w:tblCellMar>
        </w:tblPrEx>
        <w:trPr>
          <w:cantSplit/>
          <w:trHeight w:val="375" w:hRule="atLeast"/>
        </w:trPr>
        <w:tc>
          <w:tcPr>
            <w:tcW w:w="7" w:type="dxa"/>
            <w:tcBorders>
              <w:top w:val="single" w:color="auto" w:sz="4" w:space="0"/>
              <w:left w:val="single" w:color="auto" w:sz="4" w:space="0"/>
              <w:bottom w:val="single" w:color="auto" w:sz="4" w:space="0"/>
              <w:right w:val="single" w:color="auto" w:sz="4" w:space="0"/>
            </w:tcBorders>
            <w:vAlign w:val="center"/>
          </w:tcPr>
          <w:p>
            <w:pPr>
              <w:widowControl/>
              <w:snapToGrid w:val="0"/>
              <w:spacing w:after="0" w:line="240" w:lineRule="auto"/>
              <w:jc w:val="center"/>
              <w:rPr>
                <w:rFonts w:ascii="宋体" w:hAnsi="宋体"/>
                <w:color w:val="000000"/>
                <w:kern w:val="0"/>
                <w:sz w:val="24"/>
                <w:szCs w:val="24"/>
              </w:rPr>
            </w:pPr>
            <w:r>
              <w:rPr>
                <w:rFonts w:ascii="宋体" w:hAnsi="宋体"/>
                <w:color w:val="000000"/>
                <w:kern w:val="0"/>
                <w:sz w:val="24"/>
                <w:szCs w:val="24"/>
              </w:rPr>
              <w:t>18</w:t>
            </w:r>
          </w:p>
        </w:tc>
        <w:tc>
          <w:tcPr>
            <w:tcW w:w="7" w:type="dxa"/>
            <w:tcBorders>
              <w:top w:val="single" w:color="auto" w:sz="4" w:space="0"/>
              <w:left w:val="single" w:color="auto" w:sz="4" w:space="0"/>
              <w:bottom w:val="single" w:color="auto" w:sz="4" w:space="0"/>
              <w:right w:val="single" w:color="auto" w:sz="4" w:space="0"/>
            </w:tcBorders>
            <w:vAlign w:val="center"/>
          </w:tcPr>
          <w:p>
            <w:pPr>
              <w:spacing w:after="0" w:line="240" w:lineRule="auto"/>
              <w:jc w:val="center"/>
            </w:pPr>
            <w:r>
              <w:rPr>
                <w:rFonts w:ascii="宋体" w:hAnsi="宋体"/>
                <w:color w:val="000000"/>
                <w:kern w:val="0"/>
                <w:sz w:val="25"/>
                <w:szCs w:val="24"/>
              </w:rPr>
              <w:t>交银施罗德定期支付双息平衡混合型证券投资基金2026年中期报告</w:t>
            </w:r>
          </w:p>
        </w:tc>
        <w:tc>
          <w:tcPr>
            <w:tcW w:w="7" w:type="dxa"/>
            <w:tcBorders>
              <w:top w:val="single" w:color="auto" w:sz="4" w:space="0"/>
              <w:left w:val="single" w:color="auto" w:sz="4" w:space="0"/>
              <w:bottom w:val="single" w:color="auto" w:sz="4" w:space="0"/>
              <w:right w:val="single" w:color="auto" w:sz="4" w:space="0"/>
            </w:tcBorders>
            <w:vAlign w:val="center"/>
          </w:tcPr>
          <w:p>
            <w:pPr>
              <w:spacing w:after="0" w:line="240" w:lineRule="auto"/>
              <w:jc w:val="center"/>
            </w:pPr>
            <w:r>
              <w:rPr>
                <w:rFonts w:ascii="宋体" w:hAnsi="宋体"/>
                <w:color w:val="000000"/>
                <w:kern w:val="0"/>
                <w:sz w:val="25"/>
                <w:szCs w:val="24"/>
              </w:rPr>
              <w:t>中国证监会规定媒体及公司网站</w:t>
            </w:r>
          </w:p>
        </w:tc>
        <w:tc>
          <w:tcPr>
            <w:tcW w:w="7" w:type="dxa"/>
            <w:tcBorders>
              <w:top w:val="single" w:color="auto" w:sz="4" w:space="0"/>
              <w:left w:val="single" w:color="auto" w:sz="4" w:space="0"/>
              <w:bottom w:val="single" w:color="auto" w:sz="4" w:space="0"/>
              <w:right w:val="single" w:color="auto" w:sz="4" w:space="0"/>
            </w:tcBorders>
            <w:vAlign w:val="center"/>
          </w:tcPr>
          <w:p>
            <w:pPr>
              <w:spacing w:after="0" w:line="240" w:lineRule="auto"/>
              <w:jc w:val="center"/>
            </w:pPr>
            <w:r>
              <w:rPr>
                <w:rFonts w:ascii="宋体" w:hAnsi="宋体"/>
                <w:color w:val="000000"/>
                <w:kern w:val="0"/>
                <w:sz w:val="25"/>
                <w:szCs w:val="24"/>
              </w:rPr>
              <w:t>2026-08-31</w:t>
            </w:r>
          </w:p>
        </w:tc>
      </w:tr>
    </w:tbl>
    <w:p>
      <w:pPr>
        <w:pStyle w:val="2"/>
        <w:snapToGrid w:val="0"/>
        <w:spacing w:before="240" w:beforeLines="0" w:after="0"/>
        <w:rPr>
          <w:rFonts w:ascii="宋体" w:hAnsi="宋体"/>
          <w:szCs w:val="30"/>
        </w:rPr>
      </w:pPr>
      <w:r>
        <w:br w:type="page"/>
      </w:r>
      <w:bookmarkStart w:id="52" w:name="_Toc256000052"/>
      <w:bookmarkStart w:id="53" w:name="_Toc256000025"/>
      <w:r>
        <w:rPr>
          <w:rFonts w:ascii="宋体" w:hAnsi="宋体"/>
          <w:sz w:val="30"/>
        </w:rPr>
        <w:t>二十五、招募说明书的存放及查阅方式</w:t>
      </w:r>
      <w:bookmarkEnd w:id="52"/>
      <w:bookmarkEnd w:id="53"/>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招募说明书存放在基金管理人、基金托管人的办公场所，投资人可在办公时间查阅；投资人在支付工本费后，可在合理时间内取得上述文件复制件或复印件。对投资人按此种方式所获得的文件及其复印件，基金管理人和基金托管人保证文本的内容与所公告的内容完全一致。</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投资人还可以直接登录基金管理人的网站(www.fund001.com)查阅和下载招募说明书。</w:t>
      </w:r>
    </w:p>
    <w:p>
      <w:pPr>
        <w:pStyle w:val="2"/>
        <w:snapToGrid w:val="0"/>
        <w:spacing w:before="240" w:beforeLines="0" w:after="0"/>
        <w:rPr>
          <w:rFonts w:ascii="宋体" w:hAnsi="宋体"/>
          <w:szCs w:val="30"/>
        </w:rPr>
      </w:pPr>
      <w:r>
        <w:br w:type="page"/>
      </w:r>
      <w:bookmarkStart w:id="54" w:name="_Toc256000053"/>
      <w:bookmarkStart w:id="55" w:name="_Toc256000026"/>
      <w:r>
        <w:rPr>
          <w:rFonts w:ascii="宋体" w:hAnsi="宋体"/>
          <w:sz w:val="30"/>
        </w:rPr>
        <w:t>二十六、备查文件</w:t>
      </w:r>
      <w:bookmarkEnd w:id="54"/>
      <w:bookmarkEnd w:id="55"/>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以下备查文件存放在基金管理人的办公场所，在办公时间可供免费查阅。</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（一）中国证监会批准交银施罗德定期支付双息平衡混合型证券投资基金募集的文件</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（二）《交银施罗德定期支付双息平衡混合型证券投资基金基金合同》</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（三）《交银施罗德定期支付双息平衡混合型证券投资基金托管协议》</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（四）基金管理人业务资格批件、营业执照</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（五）基金托管人业务资格批件、营业执照</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（六）关于申请募集交银施罗德定期支付双息平衡混合型证券投资基金之法律意见书</w:t>
      </w:r>
    </w:p>
    <w:sectPr>
      <w:footerReference r:id="rId13" w:type="default"/>
      <w:pgSz w:w="11920" w:h="16840"/>
      <w:pgMar w:top="1360" w:right="1580" w:bottom="280" w:left="1680" w:header="0" w:footer="1186" w:gutter="0"/>
      <w:cols w:space="720" w:num="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ambria">
    <w:panose1 w:val="02040503050406030204"/>
    <w:charset w:val="00"/>
    <w:family w:val="roman"/>
    <w:pitch w:val="default"/>
    <w:sig w:usb0="E00006FF" w:usb1="420024FF" w:usb2="02000000" w:usb3="00000000" w:csb0="2000019F" w:csb1="00000000"/>
  </w:font>
  <w:font w:name="ˎ̥">
    <w:altName w:val="Times New Roman"/>
    <w:panose1 w:val="00000000000000000000"/>
    <w:charset w:val="00"/>
    <w:family w:val="roman"/>
    <w:pitch w:val="default"/>
    <w:sig w:usb0="00000000" w:usb1="00000000" w:usb2="00000000"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autoSpaceDE w:val="0"/>
      <w:autoSpaceDN w:val="0"/>
      <w:adjustRightInd w:val="0"/>
      <w:spacing w:line="200" w:lineRule="exact"/>
      <w:jc w:val="left"/>
      <w:rPr>
        <w:rFonts w:ascii="Times New Roman" w:hAnsi="Times New Roman"/>
        <w:kern w:val="0"/>
        <w:sz w:val="20"/>
        <w:szCs w:val="20"/>
      </w:rPr>
    </w:pPr>
    <w:r>
      <w:pict>
        <v:shape id="_x0000_s2049" o:spid="_x0000_s2049" o:spt="202" type="#_x0000_t202" style="position:absolute;left:0pt;margin-left:293.4pt;margin-top:782.6pt;height:11pt;width:21.6pt;mso-position-horizontal-relative:page;mso-position-vertical-relative:page;z-index:-251657216;mso-width-relative:page;mso-height-relative:page;" filled="f" stroked="f" coordsize="21600,21600" o:allowincell="f">
          <v:path/>
          <v:fill on="f" focussize="0,0"/>
          <v:stroke on="f" joinstyle="miter"/>
          <v:imagedata o:title=""/>
          <o:lock v:ext="edit"/>
          <v:textbox inset="0mm,0mm,0mm,0mm">
            <w:txbxContent>
              <w:p>
                <w:pPr>
                  <w:autoSpaceDE w:val="0"/>
                  <w:autoSpaceDN w:val="0"/>
                  <w:adjustRightInd w:val="0"/>
                  <w:spacing w:line="204" w:lineRule="exact"/>
                  <w:ind w:left="40"/>
                  <w:jc w:val="left"/>
                  <w:rPr>
                    <w:rFonts w:ascii="Times New Roman" w:hAnsi="Times New Roman"/>
                    <w:kern w:val="0"/>
                    <w:sz w:val="18"/>
                    <w:szCs w:val="18"/>
                  </w:rPr>
                </w:pPr>
                <w:r>
                  <w:rPr>
                    <w:rFonts w:ascii="Times New Roman" w:hAnsi="Times New Roman"/>
                    <w:kern w:val="0"/>
                    <w:sz w:val="18"/>
                    <w:szCs w:val="18"/>
                  </w:rPr>
                  <w:fldChar w:fldCharType="begin"/>
                </w:r>
                <w:r>
                  <w:rPr>
                    <w:rFonts w:ascii="Times New Roman" w:hAnsi="Times New Roman"/>
                    <w:kern w:val="0"/>
                    <w:sz w:val="18"/>
                    <w:szCs w:val="18"/>
                  </w:rPr>
                  <w:instrText xml:space="preserve"> PAGE </w:instrText>
                </w:r>
                <w:r>
                  <w:rPr>
                    <w:rFonts w:ascii="Times New Roman" w:hAnsi="Times New Roman"/>
                    <w:kern w:val="0"/>
                    <w:sz w:val="18"/>
                    <w:szCs w:val="18"/>
                  </w:rPr>
                  <w:fldChar w:fldCharType="separate"/>
                </w:r>
                <w:r>
                  <w:rPr>
                    <w:rFonts w:ascii="Times New Roman" w:hAnsi="Times New Roman"/>
                    <w:kern w:val="0"/>
                    <w:sz w:val="18"/>
                    <w:szCs w:val="18"/>
                  </w:rPr>
                  <w:t>2</w:t>
                </w:r>
                <w:r>
                  <w:rPr>
                    <w:rFonts w:ascii="Times New Roman" w:hAnsi="Times New Roman"/>
                    <w:kern w:val="0"/>
                    <w:sz w:val="18"/>
                    <w:szCs w:val="18"/>
                  </w:rPr>
                  <w:fldChar w:fldCharType="end"/>
                </w:r>
              </w:p>
            </w:txbxContent>
          </v:textbox>
        </v:shape>
      </w:pic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8"/>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8"/>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autoSpaceDE w:val="0"/>
      <w:autoSpaceDN w:val="0"/>
      <w:adjustRightInd w:val="0"/>
      <w:spacing w:line="200" w:lineRule="exact"/>
      <w:jc w:val="left"/>
      <w:rPr>
        <w:rFonts w:ascii="Times New Roman" w:hAnsi="Times New Roman"/>
        <w:kern w:val="0"/>
        <w:sz w:val="20"/>
        <w:szCs w:val="20"/>
      </w:rPr>
    </w:pPr>
    <w:r>
      <w:pict>
        <v:shape id="_x0000_s2050" o:spid="_x0000_s2050" o:spt="202" type="#_x0000_t202" style="position:absolute;left:0pt;margin-left:291.25pt;margin-top:773.85pt;height:11pt;width:33.5pt;mso-position-horizontal-relative:page;mso-position-vertical-relative:page;z-index:-251656192;mso-width-relative:page;mso-height-relative:page;" filled="f" stroked="f" coordsize="21600,21600" o:allowincell="f">
          <v:path/>
          <v:fill on="f" focussize="0,0"/>
          <v:stroke on="f" joinstyle="miter"/>
          <v:imagedata o:title=""/>
          <o:lock v:ext="edit"/>
          <v:textbox inset="0mm,0mm,0mm,0mm">
            <w:txbxContent>
              <w:p>
                <w:pPr>
                  <w:autoSpaceDE w:val="0"/>
                  <w:autoSpaceDN w:val="0"/>
                  <w:adjustRightInd w:val="0"/>
                  <w:spacing w:line="204" w:lineRule="exact"/>
                  <w:ind w:left="40"/>
                  <w:jc w:val="left"/>
                  <w:rPr>
                    <w:rFonts w:ascii="Times New Roman" w:hAnsi="Times New Roman"/>
                    <w:kern w:val="0"/>
                    <w:sz w:val="18"/>
                    <w:szCs w:val="18"/>
                  </w:rPr>
                </w:pPr>
                <w:r>
                  <w:rPr>
                    <w:rFonts w:ascii="Times New Roman" w:hAnsi="Times New Roman"/>
                    <w:kern w:val="0"/>
                    <w:sz w:val="18"/>
                    <w:szCs w:val="18"/>
                  </w:rPr>
                  <w:fldChar w:fldCharType="begin"/>
                </w:r>
                <w:r>
                  <w:rPr>
                    <w:rFonts w:ascii="Times New Roman" w:hAnsi="Times New Roman"/>
                    <w:kern w:val="0"/>
                    <w:sz w:val="18"/>
                    <w:szCs w:val="18"/>
                  </w:rPr>
                  <w:instrText xml:space="preserve"> PAGE </w:instrText>
                </w:r>
                <w:r>
                  <w:rPr>
                    <w:rFonts w:ascii="Times New Roman" w:hAnsi="Times New Roman"/>
                    <w:kern w:val="0"/>
                    <w:sz w:val="18"/>
                    <w:szCs w:val="18"/>
                  </w:rPr>
                  <w:fldChar w:fldCharType="separate"/>
                </w:r>
                <w:r>
                  <w:rPr>
                    <w:rFonts w:ascii="Times New Roman" w:hAnsi="Times New Roman"/>
                    <w:kern w:val="0"/>
                    <w:sz w:val="18"/>
                    <w:szCs w:val="18"/>
                  </w:rPr>
                  <w:t>3</w:t>
                </w:r>
                <w:r>
                  <w:rPr>
                    <w:rFonts w:ascii="Times New Roman" w:hAnsi="Times New Roman"/>
                    <w:kern w:val="0"/>
                    <w:sz w:val="18"/>
                    <w:szCs w:val="18"/>
                  </w:rPr>
                  <w:fldChar w:fldCharType="end"/>
                </w:r>
              </w:p>
            </w:txbxContent>
          </v:textbox>
        </v:shape>
      </w:pic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autoSpaceDE w:val="0"/>
      <w:autoSpaceDN w:val="0"/>
      <w:adjustRightInd w:val="0"/>
      <w:spacing w:line="200" w:lineRule="exact"/>
      <w:jc w:val="left"/>
      <w:rPr>
        <w:rFonts w:ascii="Times New Roman" w:hAnsi="Times New Roman"/>
        <w:kern w:val="0"/>
        <w:sz w:val="20"/>
        <w:szCs w:val="20"/>
      </w:rPr>
    </w:pPr>
    <w:r>
      <w:pict>
        <v:shape id="_x0000_s2051" o:spid="_x0000_s2051" o:spt="202" type="#_x0000_t202" style="position:absolute;left:0pt;margin-left:291.25pt;margin-top:773.85pt;height:11pt;width:33.5pt;mso-position-horizontal-relative:page;mso-position-vertical-relative:page;z-index:-251655168;mso-width-relative:page;mso-height-relative:page;" filled="f" stroked="f" coordsize="21600,21600" o:allowincell="f">
          <v:path/>
          <v:fill on="f" focussize="0,0"/>
          <v:stroke on="f" joinstyle="miter"/>
          <v:imagedata o:title=""/>
          <o:lock v:ext="edit"/>
          <v:textbox inset="0mm,0mm,0mm,0mm">
            <w:txbxContent>
              <w:p>
                <w:pPr>
                  <w:autoSpaceDE w:val="0"/>
                  <w:autoSpaceDN w:val="0"/>
                  <w:adjustRightInd w:val="0"/>
                  <w:spacing w:line="204" w:lineRule="exact"/>
                  <w:ind w:left="40"/>
                  <w:jc w:val="left"/>
                  <w:rPr>
                    <w:rFonts w:ascii="Times New Roman" w:hAnsi="Times New Roman"/>
                    <w:kern w:val="0"/>
                    <w:sz w:val="18"/>
                    <w:szCs w:val="18"/>
                  </w:rPr>
                </w:pPr>
                <w:r>
                  <w:rPr>
                    <w:rFonts w:ascii="Times New Roman" w:hAnsi="Times New Roman"/>
                    <w:kern w:val="0"/>
                    <w:sz w:val="18"/>
                    <w:szCs w:val="18"/>
                  </w:rPr>
                  <w:fldChar w:fldCharType="begin"/>
                </w:r>
                <w:r>
                  <w:rPr>
                    <w:rFonts w:ascii="Times New Roman" w:hAnsi="Times New Roman"/>
                    <w:kern w:val="0"/>
                    <w:sz w:val="18"/>
                    <w:szCs w:val="18"/>
                  </w:rPr>
                  <w:instrText xml:space="preserve"> PAGE </w:instrText>
                </w:r>
                <w:r>
                  <w:rPr>
                    <w:rFonts w:ascii="Times New Roman" w:hAnsi="Times New Roman"/>
                    <w:kern w:val="0"/>
                    <w:sz w:val="18"/>
                    <w:szCs w:val="18"/>
                  </w:rPr>
                  <w:fldChar w:fldCharType="separate"/>
                </w:r>
                <w:r>
                  <w:rPr>
                    <w:rFonts w:ascii="Times New Roman" w:hAnsi="Times New Roman"/>
                    <w:kern w:val="0"/>
                    <w:sz w:val="18"/>
                    <w:szCs w:val="18"/>
                  </w:rPr>
                  <w:t>157</w:t>
                </w:r>
                <w:r>
                  <w:rPr>
                    <w:rFonts w:ascii="Times New Roman" w:hAnsi="Times New Roman"/>
                    <w:kern w:val="0"/>
                    <w:sz w:val="18"/>
                    <w:szCs w:val="18"/>
                  </w:rPr>
                  <w:fldChar w:fldCharType="end"/>
                </w:r>
              </w:p>
            </w:txbxContent>
          </v:textbox>
        </v:shape>
      </w:pic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276" w:lineRule="auto"/>
      </w:pPr>
      <w:r>
        <w:separator/>
      </w:r>
    </w:p>
  </w:footnote>
  <w:footnote w:type="continuationSeparator" w:id="1">
    <w:p>
      <w:pPr>
        <w:spacing w:before="0" w:after="0" w:line="276"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9"/>
      <w:jc w:val="right"/>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9"/>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9"/>
      <w:snapToGrid w:val="0"/>
      <w:spacing w:before="0" w:after="0"/>
      <w:ind w:left="0" w:right="0" w:firstLine="0"/>
      <w:jc w:val="right"/>
      <w:rPr>
        <w:rFonts w:hint="eastAsia" w:ascii="宋体" w:hAnsi="宋体"/>
      </w:rPr>
    </w:pPr>
    <w:r>
      <w:rPr>
        <w:rFonts w:hint="eastAsia" w:ascii="宋体" w:hAnsi="宋体"/>
      </w:rPr>
      <w:t>交银施罗德定期支付双息平衡混合型证券投资基金招募说明书（更新）</w:t>
    </w: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9"/>
      <w:jc w:val="right"/>
      <w:rPr>
        <w:rFonts w:hint="eastAsia"/>
      </w:rPr>
    </w:pPr>
  </w:p>
  <w:p>
    <w:pPr>
      <w:pStyle w:val="9"/>
      <w:jc w:val="right"/>
      <w:rPr>
        <w:rFonts w:hint="eastAsia"/>
      </w:rPr>
    </w:pPr>
  </w:p>
  <w:p>
    <w:pPr>
      <w:pStyle w:val="9"/>
      <w:snapToGrid w:val="0"/>
      <w:spacing w:before="0" w:after="0"/>
      <w:ind w:left="0" w:right="0" w:firstLine="0"/>
      <w:jc w:val="right"/>
      <w:rPr>
        <w:rFonts w:hint="eastAsia" w:ascii="宋体" w:hAnsi="宋体"/>
      </w:rPr>
    </w:pPr>
    <w:r>
      <w:rPr>
        <w:rFonts w:hint="eastAsia" w:ascii="宋体" w:hAnsi="宋体"/>
      </w:rPr>
      <w:t>交银施罗德定期支付双息平衡混合型证券投资基金招募说明书（更新）</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547D73EE"/>
    <w:multiLevelType w:val="multilevel"/>
    <w:tmpl w:val="547D73EE"/>
    <w:lvl w:ilvl="0" w:tentative="0">
      <w:start w:val="1"/>
      <w:numFmt w:val="decimal"/>
      <w:pStyle w:val="25"/>
      <w:suff w:val="space"/>
      <w:lvlText w:val="§%1"/>
      <w:lvlJc w:val="left"/>
      <w:pPr>
        <w:ind w:left="425" w:hanging="425"/>
      </w:pPr>
      <w:rPr>
        <w:rFonts w:hint="eastAsia"/>
      </w:rPr>
    </w:lvl>
    <w:lvl w:ilvl="1" w:tentative="0">
      <w:start w:val="1"/>
      <w:numFmt w:val="decimal"/>
      <w:pStyle w:val="26"/>
      <w:suff w:val="space"/>
      <w:lvlText w:val="%1.%2"/>
      <w:lvlJc w:val="left"/>
      <w:pPr>
        <w:ind w:left="738" w:hanging="454"/>
      </w:pPr>
      <w:rPr>
        <w:rFonts w:hint="eastAsia"/>
      </w:rPr>
    </w:lvl>
    <w:lvl w:ilvl="2" w:tentative="0">
      <w:start w:val="1"/>
      <w:numFmt w:val="decimal"/>
      <w:pStyle w:val="27"/>
      <w:suff w:val="space"/>
      <w:lvlText w:val="%1.%2.%3"/>
      <w:lvlJc w:val="left"/>
      <w:pPr>
        <w:ind w:left="624" w:hanging="624"/>
      </w:pPr>
    </w:lvl>
    <w:lvl w:ilvl="3" w:tentative="0">
      <w:start w:val="1"/>
      <w:numFmt w:val="decimal"/>
      <w:pStyle w:val="29"/>
      <w:suff w:val="space"/>
      <w:lvlText w:val="%1.%2.%3.%4"/>
      <w:lvlJc w:val="left"/>
      <w:pPr>
        <w:ind w:left="794" w:hanging="794"/>
      </w:pPr>
      <w:rPr>
        <w:rFonts w:hint="eastAsia"/>
      </w:rPr>
    </w:lvl>
    <w:lvl w:ilvl="4" w:tentative="0">
      <w:start w:val="1"/>
      <w:numFmt w:val="decimal"/>
      <w:pStyle w:val="28"/>
      <w:suff w:val="space"/>
      <w:lvlText w:val="%1.%2.%3.%4.%5"/>
      <w:lvlJc w:val="left"/>
      <w:pPr>
        <w:ind w:left="1021" w:hanging="1021"/>
      </w:pPr>
      <w:rPr>
        <w:rFonts w:hint="eastAsia"/>
      </w:rPr>
    </w:lvl>
    <w:lvl w:ilvl="5" w:tentative="0">
      <w:start w:val="1"/>
      <w:numFmt w:val="decimal"/>
      <w:pStyle w:val="21"/>
      <w:suff w:val="space"/>
      <w:lvlText w:val="%1.%2.%3.%4.%5.%6"/>
      <w:lvlJc w:val="left"/>
      <w:pPr>
        <w:ind w:left="1021" w:hanging="1021"/>
      </w:pPr>
      <w:rPr>
        <w:rFonts w:hint="eastAsia"/>
      </w:rPr>
    </w:lvl>
    <w:lvl w:ilvl="6" w:tentative="0">
      <w:start w:val="1"/>
      <w:numFmt w:val="decimal"/>
      <w:lvlText w:val="%1.%2.%3.%4.%5.%6.%7"/>
      <w:lvlJc w:val="left"/>
      <w:pPr>
        <w:ind w:left="3827" w:hanging="1276"/>
      </w:pPr>
      <w:rPr>
        <w:rFonts w:hint="eastAsia"/>
      </w:rPr>
    </w:lvl>
    <w:lvl w:ilvl="7" w:tentative="0">
      <w:start w:val="1"/>
      <w:numFmt w:val="decimal"/>
      <w:lvlText w:val="%1.%2.%3.%4.%5.%6.%7.%8"/>
      <w:lvlJc w:val="left"/>
      <w:pPr>
        <w:ind w:left="4394" w:hanging="1418"/>
      </w:pPr>
      <w:rPr>
        <w:rFonts w:hint="eastAsia"/>
      </w:rPr>
    </w:lvl>
    <w:lvl w:ilvl="8" w:tentative="0">
      <w:start w:val="1"/>
      <w:numFmt w:val="decimal"/>
      <w:lvlText w:val="%1.%2.%3.%4.%5.%6.%7.%8.%9"/>
      <w:lvlJc w:val="left"/>
      <w:pPr>
        <w:ind w:left="5102" w:hanging="1700"/>
      </w:pPr>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bordersDoNotSurroundHeader w:val="1"/>
  <w:bordersDoNotSurroundFooter w:val="1"/>
  <w:documentProtection w:enforcement="0"/>
  <w:defaultTabStop w:val="720"/>
  <w:drawingGridHorizontalSpacing w:val="105"/>
  <w:drawingGridVerticalSpacing w:val="120"/>
  <w:displayHorizontalDrawingGridEvery w:val="0"/>
  <w:displayVerticalDrawingGridEvery w:val="3"/>
  <w:doNotShadeFormData w:val="1"/>
  <w:characterSpacingControl w:val="doNotCompress"/>
  <w:doNotValidateAgainstSchema/>
  <w:doNotDemarcateInvalidXml/>
  <w:hdrShapeDefaults>
    <o:shapelayout v:ext="edit">
      <o:idmap v:ext="edit" data="2"/>
    </o:shapelayout>
  </w:hdrShapeDefaults>
  <w:footnotePr>
    <w:footnote w:id="0"/>
    <w:footnote w:id="1"/>
  </w:footnotePr>
  <w:endnotePr>
    <w:endnote w:id="0"/>
    <w:endnote w:id="1"/>
  </w:endnotePr>
  <w:compat>
    <w:spaceForUL/>
    <w:doNotLeaveBackslashAlone/>
    <w:ulTrailSpace/>
    <w:doNotExpandShiftReturn/>
    <w:footnoteLayoutLikeWW8/>
    <w:shapeLayoutLikeWW8/>
    <w:alignTablesRowByRow/>
    <w:forgetLastTabAlignment/>
    <w:adjustLineHeightInTable/>
    <w:doNotUseHTMLParagraphAutoSpacing/>
    <w:layoutRawTableWidth/>
    <w:layoutTableRowsApart/>
    <w:useWord97LineBreakRules/>
    <w:doNotBreakWrappedTables/>
    <w:doNotSnapToGridInCell/>
    <w:selectFldWithFirstOrLastChar/>
    <w:doNotWrapTextWithPunct/>
    <w:doNotUseEastAsianBreakRules/>
    <w:useWord2002TableStyleRules/>
    <w:growAutofit/>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00000"/>
    <w:rsid w:val="05C075FF"/>
    <w:rsid w:val="1929558D"/>
    <w:rsid w:val="1B7318E5"/>
    <w:rsid w:val="21E34627"/>
    <w:rsid w:val="686B1ED4"/>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Calibri" w:hAnsi="Calibri"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semiHidden="0" w:name="heading 2"/>
    <w:lsdException w:qFormat="1" w:uiPriority="9" w:name="heading 3"/>
    <w:lsdException w:qFormat="1" w:uiPriority="9" w:semiHidden="0"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semiHidden="0" w:name="toc 1"/>
    <w:lsdException w:uiPriority="39" w:semiHidden="0"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0" w:semiHidden="0" w:name="annotation text"/>
    <w:lsdException w:uiPriority="99" w:semiHidden="0" w:name="header"/>
    <w:lsdException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0" w:semiHidden="0"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semiHidden="0"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0"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qFormat="1" w:uiPriority="99" w:semiHidden="0"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semiHidden="0" w:name="Normal Table"/>
    <w:lsdException w:qFormat="1" w:uiPriority="99" w:semiHidden="0"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nhideWhenUsed="0" w:uiPriority="0"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qFormat="1"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spacing w:after="200" w:line="276" w:lineRule="auto"/>
      <w:jc w:val="both"/>
    </w:pPr>
    <w:rPr>
      <w:rFonts w:ascii="Calibri" w:hAnsi="Calibri" w:eastAsia="宋体" w:cs="Times New Roman"/>
      <w:kern w:val="2"/>
      <w:sz w:val="21"/>
      <w:szCs w:val="22"/>
      <w:lang w:val="en-US" w:eastAsia="zh-CN" w:bidi="ar-SA"/>
    </w:rPr>
  </w:style>
  <w:style w:type="paragraph" w:styleId="2">
    <w:name w:val="heading 1"/>
    <w:basedOn w:val="1"/>
    <w:next w:val="1"/>
    <w:link w:val="40"/>
    <w:qFormat/>
    <w:uiPriority w:val="9"/>
    <w:pPr>
      <w:keepNext/>
      <w:keepLines/>
      <w:spacing w:before="100" w:beforeLines="100" w:after="100" w:afterLines="100" w:line="360" w:lineRule="auto"/>
      <w:jc w:val="center"/>
      <w:outlineLvl w:val="0"/>
    </w:pPr>
    <w:rPr>
      <w:b/>
      <w:bCs/>
      <w:kern w:val="44"/>
      <w:sz w:val="28"/>
      <w:szCs w:val="44"/>
    </w:rPr>
  </w:style>
  <w:style w:type="paragraph" w:styleId="3">
    <w:name w:val="heading 2"/>
    <w:basedOn w:val="1"/>
    <w:next w:val="1"/>
    <w:link w:val="38"/>
    <w:unhideWhenUsed/>
    <w:qFormat/>
    <w:uiPriority w:val="9"/>
    <w:pPr>
      <w:keepNext/>
      <w:keepLines/>
      <w:spacing w:before="260" w:after="260" w:line="416" w:lineRule="auto"/>
      <w:outlineLvl w:val="1"/>
    </w:pPr>
    <w:rPr>
      <w:rFonts w:ascii="Cambria" w:hAnsi="Cambria"/>
      <w:b/>
      <w:bCs/>
      <w:sz w:val="32"/>
      <w:szCs w:val="32"/>
    </w:rPr>
  </w:style>
  <w:style w:type="paragraph" w:styleId="4">
    <w:name w:val="heading 4"/>
    <w:basedOn w:val="1"/>
    <w:next w:val="1"/>
    <w:link w:val="39"/>
    <w:unhideWhenUsed/>
    <w:qFormat/>
    <w:uiPriority w:val="9"/>
    <w:pPr>
      <w:keepNext/>
      <w:keepLines/>
      <w:spacing w:before="280" w:after="290" w:line="376" w:lineRule="auto"/>
      <w:outlineLvl w:val="3"/>
    </w:pPr>
    <w:rPr>
      <w:rFonts w:ascii="Cambria" w:hAnsi="Cambria"/>
      <w:b/>
      <w:bCs/>
      <w:sz w:val="28"/>
      <w:szCs w:val="28"/>
    </w:rPr>
  </w:style>
  <w:style w:type="character" w:default="1" w:styleId="17">
    <w:name w:val="Default Paragraph Font"/>
    <w:unhideWhenUsed/>
    <w:uiPriority w:val="1"/>
  </w:style>
  <w:style w:type="table" w:default="1" w:styleId="14">
    <w:name w:val="Normal Table"/>
    <w:unhideWhenUsed/>
    <w:qFormat/>
    <w:uiPriority w:val="99"/>
    <w:tblPr>
      <w:tblCellMar>
        <w:top w:w="0" w:type="dxa"/>
        <w:left w:w="108" w:type="dxa"/>
        <w:bottom w:w="0" w:type="dxa"/>
        <w:right w:w="108" w:type="dxa"/>
      </w:tblCellMar>
    </w:tblPr>
  </w:style>
  <w:style w:type="paragraph" w:styleId="5">
    <w:name w:val="Document Map"/>
    <w:basedOn w:val="1"/>
    <w:link w:val="36"/>
    <w:unhideWhenUsed/>
    <w:qFormat/>
    <w:uiPriority w:val="99"/>
    <w:rPr>
      <w:rFonts w:ascii="宋体"/>
      <w:sz w:val="18"/>
      <w:szCs w:val="18"/>
    </w:rPr>
  </w:style>
  <w:style w:type="paragraph" w:styleId="6">
    <w:name w:val="annotation text"/>
    <w:basedOn w:val="1"/>
    <w:link w:val="32"/>
    <w:unhideWhenUsed/>
    <w:qFormat/>
    <w:uiPriority w:val="0"/>
    <w:pPr>
      <w:jc w:val="left"/>
    </w:pPr>
  </w:style>
  <w:style w:type="paragraph" w:styleId="7">
    <w:name w:val="Balloon Text"/>
    <w:basedOn w:val="1"/>
    <w:semiHidden/>
    <w:uiPriority w:val="0"/>
    <w:rPr>
      <w:sz w:val="18"/>
      <w:szCs w:val="18"/>
    </w:rPr>
  </w:style>
  <w:style w:type="paragraph" w:styleId="8">
    <w:name w:val="footer"/>
    <w:basedOn w:val="1"/>
    <w:link w:val="37"/>
    <w:unhideWhenUsed/>
    <w:uiPriority w:val="99"/>
    <w:pPr>
      <w:tabs>
        <w:tab w:val="center" w:pos="4153"/>
        <w:tab w:val="right" w:pos="8306"/>
      </w:tabs>
      <w:snapToGrid w:val="0"/>
      <w:jc w:val="left"/>
    </w:pPr>
    <w:rPr>
      <w:kern w:val="0"/>
      <w:sz w:val="18"/>
      <w:szCs w:val="18"/>
    </w:rPr>
  </w:style>
  <w:style w:type="paragraph" w:styleId="9">
    <w:name w:val="header"/>
    <w:basedOn w:val="1"/>
    <w:link w:val="34"/>
    <w:unhideWhenUsed/>
    <w:uiPriority w:val="99"/>
    <w:pPr>
      <w:pBdr>
        <w:bottom w:val="single" w:color="auto" w:sz="6" w:space="1"/>
      </w:pBdr>
      <w:tabs>
        <w:tab w:val="center" w:pos="4153"/>
        <w:tab w:val="right" w:pos="8306"/>
      </w:tabs>
      <w:snapToGrid w:val="0"/>
      <w:jc w:val="center"/>
    </w:pPr>
    <w:rPr>
      <w:kern w:val="0"/>
      <w:sz w:val="18"/>
      <w:szCs w:val="18"/>
    </w:rPr>
  </w:style>
  <w:style w:type="paragraph" w:styleId="10">
    <w:name w:val="toc 1"/>
    <w:basedOn w:val="1"/>
    <w:next w:val="1"/>
    <w:unhideWhenUsed/>
    <w:uiPriority w:val="39"/>
    <w:pPr>
      <w:spacing w:after="0" w:line="320" w:lineRule="auto"/>
    </w:pPr>
    <w:rPr>
      <w:rFonts w:eastAsia="宋体"/>
      <w:sz w:val="24"/>
    </w:rPr>
  </w:style>
  <w:style w:type="paragraph" w:styleId="11">
    <w:name w:val="Subtitle"/>
    <w:basedOn w:val="1"/>
    <w:next w:val="1"/>
    <w:link w:val="35"/>
    <w:qFormat/>
    <w:uiPriority w:val="0"/>
    <w:pPr>
      <w:spacing w:before="240" w:after="60" w:line="312" w:lineRule="auto"/>
      <w:jc w:val="center"/>
      <w:outlineLvl w:val="1"/>
    </w:pPr>
    <w:rPr>
      <w:rFonts w:ascii="Cambria" w:hAnsi="Cambria"/>
      <w:b/>
      <w:bCs/>
      <w:kern w:val="28"/>
      <w:sz w:val="32"/>
      <w:szCs w:val="32"/>
    </w:rPr>
  </w:style>
  <w:style w:type="paragraph" w:styleId="12">
    <w:name w:val="toc 2"/>
    <w:basedOn w:val="1"/>
    <w:next w:val="1"/>
    <w:unhideWhenUsed/>
    <w:uiPriority w:val="39"/>
    <w:pPr>
      <w:ind w:left="480" w:leftChars="200"/>
    </w:pPr>
  </w:style>
  <w:style w:type="paragraph" w:styleId="13">
    <w:name w:val="annotation subject"/>
    <w:basedOn w:val="6"/>
    <w:next w:val="6"/>
    <w:link w:val="33"/>
    <w:unhideWhenUsed/>
    <w:qFormat/>
    <w:uiPriority w:val="99"/>
    <w:rPr>
      <w:b/>
      <w:bCs/>
    </w:rPr>
  </w:style>
  <w:style w:type="table" w:styleId="15">
    <w:name w:val="Table Grid"/>
    <w:basedOn w:val="14"/>
    <w:uiPriority w:val="59"/>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table" w:styleId="16">
    <w:name w:val="Light Shading Accent 5"/>
    <w:basedOn w:val="14"/>
    <w:qFormat/>
    <w:uiPriority w:val="60"/>
    <w:rPr>
      <w:color w:val="31849B"/>
    </w:rPr>
    <w:tblPr>
      <w:tblBorders>
        <w:top w:val="single" w:color="4BACC6" w:sz="8" w:space="0"/>
        <w:bottom w:val="single" w:color="4BACC6" w:sz="8" w:space="0"/>
      </w:tblBorders>
    </w:tblPr>
    <w:tblStylePr w:type="firstRow">
      <w:pPr>
        <w:spacing w:before="0" w:after="0" w:line="240" w:lineRule="auto"/>
      </w:pPr>
      <w:rPr>
        <w:b/>
        <w:bCs/>
      </w:rPr>
      <w:tblPr/>
      <w:tcPr>
        <w:tcBorders>
          <w:top w:val="single" w:color="4BACC6" w:sz="8" w:space="0"/>
          <w:left w:val="single" w:color="4BACC6" w:sz="8" w:space="0"/>
          <w:bottom w:val="nil"/>
          <w:right w:val="nil"/>
          <w:insideH w:val="nil"/>
          <w:insideV w:val="nil"/>
          <w:tl2br w:val="nil"/>
          <w:tr2bl w:val="nil"/>
        </w:tcBorders>
      </w:tcPr>
    </w:tblStylePr>
    <w:tblStylePr w:type="lastRow">
      <w:pPr>
        <w:spacing w:before="0" w:after="0" w:line="240" w:lineRule="auto"/>
      </w:pPr>
      <w:rPr>
        <w:b/>
        <w:bCs/>
      </w:rPr>
      <w:tblPr/>
      <w:tcPr>
        <w:tcBorders>
          <w:top w:val="single" w:color="4BACC6" w:sz="8" w:space="0"/>
          <w:left w:val="single" w:color="4BACC6" w:sz="8" w:space="0"/>
          <w:bottom w:val="nil"/>
          <w:right w:val="nil"/>
          <w:insideH w:val="nil"/>
          <w:insideV w:val="nil"/>
          <w:tl2br w:val="nil"/>
          <w:tr2bl w:val="nil"/>
        </w:tcBorders>
      </w:tcPr>
    </w:tblStylePr>
    <w:tblStylePr w:type="firstCol">
      <w:rPr>
        <w:b/>
        <w:bCs/>
      </w:rPr>
    </w:tblStylePr>
    <w:tblStylePr w:type="lastCol">
      <w:rPr>
        <w:b/>
        <w:bCs/>
      </w:rPr>
    </w:tblStylePr>
    <w:tblStylePr w:type="band1Vert">
      <w:tblPr/>
      <w:tcPr>
        <w:tcBorders>
          <w:top w:val="nil"/>
          <w:left w:val="nil"/>
          <w:bottom w:val="nil"/>
          <w:right w:val="nil"/>
          <w:insideH w:val="nil"/>
          <w:insideV w:val="nil"/>
          <w:tl2br w:val="nil"/>
          <w:tr2bl w:val="nil"/>
        </w:tcBorders>
        <w:shd w:val="clear" w:color="auto" w:fill="D2EAF1"/>
      </w:tcPr>
    </w:tblStylePr>
    <w:tblStylePr w:type="band1Horz">
      <w:tblPr/>
      <w:tcPr>
        <w:tcBorders>
          <w:top w:val="nil"/>
          <w:left w:val="nil"/>
          <w:bottom w:val="nil"/>
          <w:right w:val="nil"/>
          <w:insideH w:val="nil"/>
          <w:insideV w:val="nil"/>
          <w:tl2br w:val="nil"/>
          <w:tr2bl w:val="nil"/>
        </w:tcBorders>
        <w:shd w:val="clear" w:color="auto" w:fill="D2EAF1"/>
      </w:tcPr>
    </w:tblStylePr>
  </w:style>
  <w:style w:type="character" w:styleId="18">
    <w:name w:val="Hyperlink"/>
    <w:unhideWhenUsed/>
    <w:qFormat/>
    <w:uiPriority w:val="99"/>
    <w:rPr>
      <w:color w:val="0000FF"/>
      <w:u w:val="single"/>
    </w:rPr>
  </w:style>
  <w:style w:type="character" w:styleId="19">
    <w:name w:val="annotation reference"/>
    <w:unhideWhenUsed/>
    <w:uiPriority w:val="0"/>
    <w:rPr>
      <w:sz w:val="21"/>
      <w:szCs w:val="21"/>
    </w:rPr>
  </w:style>
  <w:style w:type="paragraph" w:customStyle="1" w:styleId="20">
    <w:name w:val="20"/>
    <w:basedOn w:val="2"/>
    <w:next w:val="1"/>
    <w:qFormat/>
    <w:uiPriority w:val="39"/>
    <w:pPr>
      <w:widowControl/>
      <w:spacing w:before="480" w:beforeLines="0" w:line="276" w:lineRule="auto"/>
      <w:jc w:val="left"/>
      <w:outlineLvl w:val="9"/>
    </w:pPr>
    <w:rPr>
      <w:rFonts w:ascii="Cambria" w:hAnsi="Cambria" w:eastAsia="宋体" w:cs="Times New Roman"/>
      <w:color w:val="365F91"/>
      <w:kern w:val="0"/>
      <w:szCs w:val="28"/>
    </w:rPr>
  </w:style>
  <w:style w:type="paragraph" w:customStyle="1" w:styleId="21">
    <w:name w:val="XBRLTitle6"/>
    <w:basedOn w:val="11"/>
    <w:next w:val="4"/>
    <w:qFormat/>
    <w:uiPriority w:val="0"/>
    <w:pPr>
      <w:keepNext/>
      <w:keepLines/>
      <w:numPr>
        <w:ilvl w:val="5"/>
        <w:numId w:val="1"/>
      </w:numPr>
      <w:ind w:left="0" w:firstLine="0"/>
      <w:jc w:val="left"/>
    </w:pPr>
    <w:rPr>
      <w:bCs w:val="0"/>
      <w:sz w:val="24"/>
    </w:rPr>
  </w:style>
  <w:style w:type="paragraph" w:customStyle="1" w:styleId="22">
    <w:name w:val="22"/>
    <w:semiHidden/>
    <w:qFormat/>
    <w:uiPriority w:val="99"/>
    <w:pPr>
      <w:spacing w:after="200" w:line="276" w:lineRule="auto"/>
    </w:pPr>
    <w:rPr>
      <w:rFonts w:ascii="Calibri" w:hAnsi="Calibri" w:eastAsia="宋体" w:cs="Times New Roman"/>
      <w:kern w:val="2"/>
      <w:sz w:val="21"/>
      <w:szCs w:val="22"/>
      <w:lang w:val="en-US" w:eastAsia="zh-CN" w:bidi="ar-SA"/>
    </w:rPr>
  </w:style>
  <w:style w:type="paragraph" w:customStyle="1" w:styleId="23">
    <w:name w:val="Default"/>
    <w:uiPriority w:val="0"/>
    <w:pPr>
      <w:widowControl w:val="0"/>
      <w:autoSpaceDE w:val="0"/>
      <w:autoSpaceDN w:val="0"/>
      <w:adjustRightInd w:val="0"/>
      <w:spacing w:after="200" w:line="276" w:lineRule="auto"/>
    </w:pPr>
    <w:rPr>
      <w:rFonts w:ascii="宋体" w:hAnsi="Calibri" w:eastAsia="宋体" w:cs="宋体"/>
      <w:color w:val="000000"/>
      <w:sz w:val="24"/>
      <w:szCs w:val="24"/>
      <w:lang w:val="en-US" w:eastAsia="zh-CN" w:bidi="ar-SA"/>
    </w:rPr>
  </w:style>
  <w:style w:type="paragraph" w:customStyle="1" w:styleId="24">
    <w:name w:val="Header_0"/>
    <w:unhideWhenUsed/>
    <w:qFormat/>
    <w:uiPriority w:val="99"/>
    <w:pPr>
      <w:pBdr>
        <w:bottom w:val="single" w:color="auto" w:sz="6" w:space="1"/>
      </w:pBdr>
      <w:tabs>
        <w:tab w:val="center" w:pos="4153"/>
        <w:tab w:val="right" w:pos="8306"/>
      </w:tabs>
      <w:snapToGrid w:val="0"/>
      <w:spacing w:after="200" w:line="276" w:lineRule="auto"/>
      <w:jc w:val="left"/>
    </w:pPr>
    <w:rPr>
      <w:rFonts w:ascii="Calibri" w:hAnsi="Calibri" w:eastAsia="宋体" w:cs="Times New Roman"/>
      <w:sz w:val="18"/>
      <w:szCs w:val="18"/>
    </w:rPr>
  </w:style>
  <w:style w:type="paragraph" w:customStyle="1" w:styleId="25">
    <w:name w:val="XBRLTitle1"/>
    <w:basedOn w:val="2"/>
    <w:next w:val="3"/>
    <w:qFormat/>
    <w:uiPriority w:val="0"/>
    <w:pPr>
      <w:numPr>
        <w:ilvl w:val="0"/>
        <w:numId w:val="1"/>
      </w:numPr>
      <w:spacing w:before="340" w:beforeLines="50" w:after="330" w:afterLines="50" w:line="240" w:lineRule="auto"/>
    </w:pPr>
    <w:rPr>
      <w:rFonts w:ascii="Cambria" w:hAnsi="Cambria"/>
    </w:rPr>
  </w:style>
  <w:style w:type="paragraph" w:customStyle="1" w:styleId="26">
    <w:name w:val="XBRLTitle2"/>
    <w:basedOn w:val="11"/>
    <w:next w:val="4"/>
    <w:qFormat/>
    <w:uiPriority w:val="0"/>
    <w:pPr>
      <w:keepNext/>
      <w:keepLines/>
      <w:numPr>
        <w:ilvl w:val="1"/>
        <w:numId w:val="1"/>
      </w:numPr>
      <w:jc w:val="left"/>
    </w:pPr>
    <w:rPr>
      <w:bCs w:val="0"/>
      <w:sz w:val="24"/>
    </w:rPr>
  </w:style>
  <w:style w:type="paragraph" w:customStyle="1" w:styleId="27">
    <w:name w:val="XBRLTitle3"/>
    <w:basedOn w:val="11"/>
    <w:next w:val="4"/>
    <w:qFormat/>
    <w:uiPriority w:val="0"/>
    <w:pPr>
      <w:keepNext/>
      <w:keepLines/>
      <w:numPr>
        <w:ilvl w:val="2"/>
        <w:numId w:val="1"/>
      </w:numPr>
      <w:ind w:left="0" w:firstLine="0"/>
      <w:jc w:val="left"/>
    </w:pPr>
    <w:rPr>
      <w:bCs w:val="0"/>
      <w:sz w:val="24"/>
    </w:rPr>
  </w:style>
  <w:style w:type="paragraph" w:customStyle="1" w:styleId="28">
    <w:name w:val="XBRLTitle5"/>
    <w:basedOn w:val="11"/>
    <w:next w:val="4"/>
    <w:qFormat/>
    <w:uiPriority w:val="0"/>
    <w:pPr>
      <w:keepNext/>
      <w:keepLines/>
      <w:numPr>
        <w:ilvl w:val="4"/>
        <w:numId w:val="1"/>
      </w:numPr>
      <w:ind w:left="0" w:firstLine="0"/>
      <w:jc w:val="left"/>
    </w:pPr>
    <w:rPr>
      <w:bCs w:val="0"/>
      <w:sz w:val="24"/>
    </w:rPr>
  </w:style>
  <w:style w:type="paragraph" w:customStyle="1" w:styleId="29">
    <w:name w:val="XBRLTitle4"/>
    <w:basedOn w:val="11"/>
    <w:next w:val="4"/>
    <w:qFormat/>
    <w:uiPriority w:val="0"/>
    <w:pPr>
      <w:keepNext/>
      <w:keepLines/>
      <w:numPr>
        <w:ilvl w:val="3"/>
        <w:numId w:val="1"/>
      </w:numPr>
      <w:ind w:left="0" w:firstLine="0"/>
      <w:jc w:val="left"/>
    </w:pPr>
    <w:rPr>
      <w:bCs w:val="0"/>
      <w:sz w:val="24"/>
    </w:rPr>
  </w:style>
  <w:style w:type="character" w:customStyle="1" w:styleId="30">
    <w:name w:val="副标题 Char1"/>
    <w:qFormat/>
    <w:uiPriority w:val="0"/>
    <w:rPr>
      <w:rFonts w:ascii="Cambria" w:hAnsi="Cambria"/>
      <w:b/>
      <w:kern w:val="28"/>
      <w:sz w:val="24"/>
      <w:szCs w:val="32"/>
    </w:rPr>
  </w:style>
  <w:style w:type="character" w:customStyle="1" w:styleId="31">
    <w:name w:val="txtcontent11"/>
    <w:qFormat/>
    <w:uiPriority w:val="0"/>
    <w:rPr>
      <w:rFonts w:hint="default" w:ascii="ˎ̥" w:hAnsi="ˎ̥"/>
      <w:color w:val="000000"/>
      <w:sz w:val="21"/>
      <w:szCs w:val="21"/>
    </w:rPr>
  </w:style>
  <w:style w:type="character" w:customStyle="1" w:styleId="32">
    <w:name w:val="批注文字 Char"/>
    <w:link w:val="6"/>
    <w:qFormat/>
    <w:uiPriority w:val="0"/>
    <w:rPr>
      <w:kern w:val="2"/>
      <w:sz w:val="21"/>
      <w:szCs w:val="22"/>
    </w:rPr>
  </w:style>
  <w:style w:type="character" w:customStyle="1" w:styleId="33">
    <w:name w:val="批注主题 Char"/>
    <w:link w:val="13"/>
    <w:semiHidden/>
    <w:qFormat/>
    <w:uiPriority w:val="99"/>
    <w:rPr>
      <w:b/>
      <w:bCs/>
      <w:kern w:val="2"/>
      <w:sz w:val="21"/>
      <w:szCs w:val="22"/>
    </w:rPr>
  </w:style>
  <w:style w:type="character" w:customStyle="1" w:styleId="34">
    <w:name w:val="页眉 Char"/>
    <w:link w:val="9"/>
    <w:uiPriority w:val="99"/>
    <w:rPr>
      <w:sz w:val="18"/>
      <w:szCs w:val="18"/>
    </w:rPr>
  </w:style>
  <w:style w:type="character" w:customStyle="1" w:styleId="35">
    <w:name w:val="副标题 Char"/>
    <w:link w:val="11"/>
    <w:uiPriority w:val="0"/>
    <w:rPr>
      <w:rFonts w:ascii="Cambria" w:hAnsi="Cambria" w:cs="Times New Roman"/>
      <w:b/>
      <w:bCs/>
      <w:kern w:val="28"/>
      <w:sz w:val="32"/>
      <w:szCs w:val="32"/>
    </w:rPr>
  </w:style>
  <w:style w:type="character" w:customStyle="1" w:styleId="36">
    <w:name w:val="文档结构图 Char"/>
    <w:link w:val="5"/>
    <w:semiHidden/>
    <w:uiPriority w:val="99"/>
    <w:rPr>
      <w:rFonts w:ascii="宋体"/>
      <w:kern w:val="2"/>
      <w:sz w:val="18"/>
      <w:szCs w:val="18"/>
    </w:rPr>
  </w:style>
  <w:style w:type="character" w:customStyle="1" w:styleId="37">
    <w:name w:val="页脚 Char"/>
    <w:link w:val="8"/>
    <w:uiPriority w:val="99"/>
    <w:rPr>
      <w:sz w:val="18"/>
      <w:szCs w:val="18"/>
    </w:rPr>
  </w:style>
  <w:style w:type="character" w:customStyle="1" w:styleId="38">
    <w:name w:val="标题 2 Char"/>
    <w:link w:val="3"/>
    <w:semiHidden/>
    <w:uiPriority w:val="9"/>
    <w:rPr>
      <w:rFonts w:ascii="Cambria" w:hAnsi="Cambria" w:eastAsia="宋体" w:cs="Times New Roman"/>
      <w:b/>
      <w:bCs/>
      <w:kern w:val="2"/>
      <w:sz w:val="32"/>
      <w:szCs w:val="32"/>
    </w:rPr>
  </w:style>
  <w:style w:type="character" w:customStyle="1" w:styleId="39">
    <w:name w:val="标题 4 Char"/>
    <w:link w:val="4"/>
    <w:semiHidden/>
    <w:uiPriority w:val="9"/>
    <w:rPr>
      <w:rFonts w:ascii="Cambria" w:hAnsi="Cambria" w:eastAsia="宋体" w:cs="Times New Roman"/>
      <w:b/>
      <w:bCs/>
      <w:kern w:val="2"/>
      <w:sz w:val="28"/>
      <w:szCs w:val="28"/>
    </w:rPr>
  </w:style>
  <w:style w:type="character" w:customStyle="1" w:styleId="40">
    <w:name w:val="标题 1 Char"/>
    <w:link w:val="2"/>
    <w:uiPriority w:val="9"/>
    <w:rPr>
      <w:b/>
      <w:bCs/>
      <w:kern w:val="44"/>
      <w:sz w:val="28"/>
      <w:szCs w:val="44"/>
    </w:rPr>
  </w:style>
</w:styles>
</file>

<file path=word/_rels/document.xml.rels><?xml version="1.0" encoding="UTF-8" standalone="yes"?>
<Relationships xmlns="http://schemas.openxmlformats.org/package/2006/relationships"><Relationship Id="rId9" Type="http://schemas.openxmlformats.org/officeDocument/2006/relationships/footer" Target="footer2.xml"/><Relationship Id="rId8" Type="http://schemas.openxmlformats.org/officeDocument/2006/relationships/footer" Target="footer1.xml"/><Relationship Id="rId7" Type="http://schemas.openxmlformats.org/officeDocument/2006/relationships/header" Target="header3.xml"/><Relationship Id="rId6" Type="http://schemas.openxmlformats.org/officeDocument/2006/relationships/header" Target="header2.xml"/><Relationship Id="rId5" Type="http://schemas.openxmlformats.org/officeDocument/2006/relationships/header" Target="header1.xml"/><Relationship Id="rId4" Type="http://schemas.openxmlformats.org/officeDocument/2006/relationships/endnotes" Target="endnotes.xml"/><Relationship Id="rId3" Type="http://schemas.openxmlformats.org/officeDocument/2006/relationships/footnotes" Target="footnotes.xml"/><Relationship Id="rId21" Type="http://schemas.openxmlformats.org/officeDocument/2006/relationships/fontTable" Target="fontTable.xml"/><Relationship Id="rId20" Type="http://schemas.openxmlformats.org/officeDocument/2006/relationships/numbering" Target="numbering.xml"/><Relationship Id="rId2" Type="http://schemas.openxmlformats.org/officeDocument/2006/relationships/settings" Target="settings.xml"/><Relationship Id="rId19" Type="http://schemas.openxmlformats.org/officeDocument/2006/relationships/customXml" Target="../customXml/item1.xml"/><Relationship Id="rId18" Type="http://schemas.openxmlformats.org/officeDocument/2006/relationships/image" Target="media/image4.png"/><Relationship Id="rId17" Type="http://schemas.openxmlformats.org/officeDocument/2006/relationships/image" Target="media/image3.png"/><Relationship Id="rId16" Type="http://schemas.openxmlformats.org/officeDocument/2006/relationships/image" Target="media/image2.png"/><Relationship Id="rId15" Type="http://schemas.openxmlformats.org/officeDocument/2006/relationships/image" Target="media/image1.png"/><Relationship Id="rId14" Type="http://schemas.openxmlformats.org/officeDocument/2006/relationships/theme" Target="theme/theme1.xml"/><Relationship Id="rId13" Type="http://schemas.openxmlformats.org/officeDocument/2006/relationships/footer" Target="footer5.xml"/><Relationship Id="rId12" Type="http://schemas.openxmlformats.org/officeDocument/2006/relationships/footer" Target="footer4.xml"/><Relationship Id="rId11" Type="http://schemas.openxmlformats.org/officeDocument/2006/relationships/header" Target="header4.xml"/><Relationship Id="rId10" Type="http://schemas.openxmlformats.org/officeDocument/2006/relationships/footer" Target="footer3.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ops>
  <customShpExts>
    <customShpInfo spid="_x0000_s2049"/>
    <customShpInfo spid="_x0000_s2050"/>
    <customShpInfo spid="_x0000_s205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158</Pages>
  <Words>13948</Words>
  <Characters>79510</Characters>
  <Lines>662</Lines>
  <Paragraphs>186</Paragraphs>
  <TotalTime>8</TotalTime>
  <ScaleCrop>false</ScaleCrop>
  <LinksUpToDate>false</LinksUpToDate>
  <CharactersWithSpaces>93272</CharactersWithSpaces>
  <Application>WPS Office_11.8.2.12085_F1E327BC-269C-435d-A152-05C5408002CA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2017-10-27T08:43:00Z</dcterms:created>
  <dc:creator>系统用户</dc:creator>
  <cp:lastModifiedBy>haotingting</cp:lastModifiedBy>
  <cp:lastPrinted>2013-02-18T03:10:00Z</cp:lastPrinted>
  <dcterms:modified xsi:type="dcterms:W3CDTF">2026-09-28T01:59:39Z</dcterms:modified>
  <cp:revision>12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2052-11.8.2.12085</vt:lpwstr>
  </property>
  <property fmtid="{D5CDD505-2E9C-101B-9397-08002B2CF9AE}" pid="3" name="ICV">
    <vt:lpwstr>8E8D530FC7AD41FB9375BB7A03DF26A6</vt:lpwstr>
  </property>
</Properties>
</file>