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交银施罗德先锋混合型证券投资基金（C类份额）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交银先锋混合C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013950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2009-04-10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封晴</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2020-07-03</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2011-08-01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本基金合同生效后，基金份额持有人数量不满200人或者基金资产净值低于5,000万元的，基金管理人应当及时报告中国证监会；连续20个工作日出现前述情形的，基金管理人应当向中国证监会说明原因并报送解决方案。</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本基金主要通过投资于经过严格的品质筛选且具有持续成长潜力企业的股票，特别是处于快速成长过程中的中型及小型企业股票，在适度控制风险的前提下，为基金份额持有人谋求长期持续的资本增值。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本基金的投资范围为国内依法发行上市的股票（含存托凭证）、债券、货币市场工具、权证、资产支持证券以及法律法规或中国证监会允许基金投资的其他证券品种。</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如法律法规或监管机构以后允许基金投资的其他证券品种，基金管理人在履行适当程序后，可以将其纳入投资范围。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资产（含存托凭证）占基金资产的60%-95%；债券、货币市场工具、权证、资产支持证券以及法律法规或中国证监会允许基金投资的其他证券品种占基金资产的5%-40%,其中现金以及投资于到期日在一年以内的政府债券的比例合计不低于基金资产净值的5%，现金不包括结算备付金、存出保证金和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在基金实际管理过程中，本基金具体配置比例由基金管理人根据中国宏观经济情况和证券市场的阶段性变化做主动调整，以求基金资产在各类资产的投资中达到风险和收益的最佳平衡，但比例不超出基金合同约定的限定范围。</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将严谨、规范化的选股方法与积极主动的投资风格相结合，在分析和判断宏观经济运行和行业景气变化，以及上市公司成长潜力的基础上，主要通过优选成长性好、成长具有可持续性、成长质量优良、定价相对合理的股票，特别是处于快速成长过程中的中型及小型企业股票进行投资，以谋求超额收益。</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1、资产配置；2、股票选择；3、债券投资；4、权证投资策略；5、资产支持证券投资策略；6、其他衍生工具投资策略。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75%×中证700指数+25%×中证综合债券指数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以具有持续成长潜力企业的股票，特别是处于快速成长过程中的中型及小型企业为主要投资对象，追求超额收益，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详见《交银施罗德先锋混合型证券投资基金招募说明书》“基金的投资”。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2、本基金份额于2021年11月8日开始确认，首次确认当年净值增长率按实际存续期计算；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0.60%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40000.00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2.03%</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本基金属于混合型基金，将维持较高的股票持仓比例。如果股票市场出现整体下跌，本基金的净值表现将受到影响。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主要投资于具有持续成长潜力的企业股票，特别是处于快速成长过程中的中型及小型企业股票，虽然可以通过分散投资策略和组合管理降低风险，但单个中小市值股票和大市值股票相比，具有相对较高的价格波动性。在选股策略上本基金特有的风险主要来自两个方面：一是对行业及上市公司的基本面研究是否准确、深入，二是对具有持续增长潜力的中型及小型企业股票的优选和判断是否科学、准确。基本面研究及上市企业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●《交银施罗德先锋混合型证券投资基金基金合同》、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《交银施罗德先锋混合型证券投资基金托管协议》、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《交银施罗德先锋混合型证券投资基金招募说明书》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