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交银施罗德内需增长一年持有期混合型证券投资基金</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交银内需增长一年混合</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010454</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中国农业银行股份有限公司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2020-12-11</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混合型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其他开放式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每个开放日开放申购；每份基金份额最短持有期限为一年，在最短持有期限内不可赎回</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韩威俊</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2020-12-11</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2005-07-01</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在合理控制风险的前提下，充分发挥专业的研究与管理能力，力争实现基金资产的长期稳健增值。</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中小板、创业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股票投资（含存托凭证）占基金资产的比例为60%-95%（其中投资于港股通标的股票的比例占股票资产的0%-50%），投资于内需增长主题相关证券的比例不低于非现金基金资产的80%；每个交易日日终在扣除股指期货合约需缴纳的交易保证金后，本基金保留的现金或者投资于到期日在一年以内的政府债券的比例合计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在分析和判断宏观经济周期和金融市场运行趋势的基础上，运用修正后的投资时钟分析框架，自上而下调整基金大类资产配置，确定债券组合久期和债券类别配置；在严谨深入的股票和债券研究分析基础上，自下而上精选个股和个券；在保持总体风险水平相对稳定的基础上，力争获取投资组合的较高回报。</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1、大类资产配置；2、股票投资策略；3、债券投资策略；4、资产支持证券投资策略；5、股指期货投资策略。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中证内地消费主题指数收益率×70%+恒生消费指数收益率×20%+中债-国债总财富（1-3年）指数收益率×10%</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本基金是一只混合型基金，其预期风险和预期收益高于债券型基金和货币市场基金，低于股票型基金。</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详见《交银施罗德内需增长一年持有期混合型证券投资基金招募说明书》“基金的投资”。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2、本基金合同于2020年12月11日生效，合同生效当年净值增长率按实际存续期计算；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100万元≤M＜200万元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200万元≤M＜500万元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基金份额持有人持有的每份基金份额最短持有期限为一年，本基金不收取赎回费。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40000.00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1.41%</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本基金每份基金份额的最短持有期限为一年，在最短持有期限内该份基金份额不可赎回，自最短持有期限的下一工作日起（含该日）可赎回。对于每笔认购的基金份额而言，最短持有期限自基金合同生效之日起（含该日）至一年后的年度对日的前一日；对于每笔申购的基金份额而言，最短持有期限自该笔申购份额确认日（含该日）至一年后的年度对日的前一日。因此，对于基金份额持有人而言，存在投资本基金后一年内无法赎回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（3）本基金投资于内需增长主题相关证券的比例不低于非现金基金资产的80%，因此本基金的股票投资业绩与本基金界定的“内需增长”主题覆盖的上市公司发行证券的相关性较大，需承担相应风险。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本基金可投资港股通标的股票，会面临港股通机制下因投资环境、投资标的、市场制度以及交易规则等差异带来的特有风险，具体如下：1）港股交易失败风险、2）汇率风险、3）境外市场的风险、4）本基金可根据投资策略需要或不同配置地市场环境的变化，选择将部分基金资产投资于港股或选择不将基金资产投资于港股，基金资产并非必然投资港股。</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对宏观经济趋势、政策以及上市公司基本面研究是否准确、深入，以及对股票的优选和判断是否科学、准确将影响本基金的收益。基本面研究及上市公司分析的错误均可能导致所选择的证券不能完全符合本基金的预期目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（6）基金合同提前终止风险。连续50个工作日出现基金份额持有人数量不满200人或者基金资产净值低于5000万元情形的，基金合同终止，不需召开基金份额持有人大会。</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8、投资流通受限证券的特定风险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12、其他风险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●《交银施罗德内需增长一年持有期混合型证券投资基金基金合同》、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《交银施罗德内需增长一年持有期混合型证券投资基金托管协议》、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《交银施罗德内需增长一年持有期混合型证券投资基金招募说明书》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