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交银施罗德稳利中短债债券型证券投资基金（C类份额）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2026-09-30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2026-10-09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交银稳利中短债债券C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008205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2019-12-13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侯嘉仪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2019-12-13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 央行票据、地方政府债、政府支持债、政府支持机构债、企业债、公司债、可分离 交易可转债的纯债部分、公开发行的次级债、短期融资券、超短期融资券、中期票 据)、资产支持证券、债券回购、银行存款(包括定期存款、协议存款、通知存款等)、 同业存单、货币市场工具，以及法律法规允许投资的其他金融工具。本基金不投资 于股票等资产，也不投资于可转换债券(可分离交易可转债的纯债部分除外)、可交 换债券。 如法律法规或监管机构以后允许基金投资其他品种，基金管理人在履行适当程 序后，可以将其纳入投资范围。 基金的投资组合比例为：本基金投资于债券资产的比例不低于基金资产的 80%， 其中投资于中短期债券的比例不低于非现金资产的 80%。本基金持有的现金或到期 日在一年以内的政府债券的比例合计不低于基金资产净值的 5%，其中现金不包括结 算备付金、存出保证金、应收申购款等。 本基金所指的中短期债券是指剩余期限不超过三年(含)的债券资产，包括国 债、金融债、央行票据、地方政府债、政府支持债、政府支持机构债、企业债、公 司债、可分离交易可转债的纯债部分、公开发行的次级债、短期融资券、超短期融 资券、中期票据。 如果法律法规或中国证监会变更投资品种的投资比例限制，基金管理人在履行 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中债总财富（1-3年）指数收益率×80%+一年期定期存款利率（税后）×20%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详见《交银施罗德稳利中短债债券型证券投资基金招募说明书》第十部分“基金的投资”。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2、本基金合同于2019年12月13日生效，合同生效当年净值增长率按实际存续期计算。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0.08%</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（4）基金合同提前终止风险。连续五十个工作日出现基金份额持有人数量不满200人或者基金资产净值低于5000万元情形的，基金管理人提前终止基金合同，不需召开基金份额持有人大会。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●《交银施罗德稳利中短债债券型证券投资基金基金合同》、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《交银施罗德稳利中短债债券型证券投资基金托管协议》、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《交银施罗德稳利中短债债券型证券投资基金招募说明书》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61568"/>
    <w:rsid w:val="00DB319C"/>
    <w:rsid w:val="00E51B6D"/>
    <w:rsid w:val="00F75715"/>
    <w:rsid w:val="00F811C4"/>
    <w:rsid w:val="00FC2918"/>
    <w:rsid w:val="250B2A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599</Words>
  <Characters>3415</Characters>
  <Lines>28</Lines>
  <Paragraphs>8</Paragraphs>
  <TotalTime>0</TotalTime>
  <ScaleCrop>false</ScaleCrop>
  <LinksUpToDate>false</LinksUpToDate>
  <CharactersWithSpaces>4006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2026-09-30T06:47:00Z</dcterms:created>
  <dc:creator>Cc</dc:creator>
  <cp:lastModifiedBy>haotingting</cp:lastModifiedBy>
  <dcterms:modified xsi:type="dcterms:W3CDTF">2026-09-30T06:51:23Z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10974E6A08774FBDAC59D8C0638161E7</vt:lpwstr>
  </property>
</Properties>
</file>