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交银施罗德国证新能源指数证券投资基金（LOF）招募说明书（更新）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基金托管人：中国建设银行股份有限公司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256000000"/>
      <w:bookmarkStart w:id="1" w:name="_Toc324920538"/>
      <w:bookmarkStart w:id="2" w:name="_Toc256000026"/>
      <w:bookmarkStart w:id="3" w:name="_Toc496884613"/>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国证新能源指数证券投资基金（LOF）（以下简称“本基金”）由交银施罗德国证新能源指数分级证券投资基金变更而来。2020年10月16日至2020年10月27日交银施罗德国证新能源指数分级证券投资基金以通讯方式召开基金份额持有人大会，会议审议通过了《关于交银施罗德国证新能源指数分级证券投资基金转型及修改基金合同有关事项的议案》，同意交银施罗德国证新能源指数分级证券投资基金变更基金名称、运作方式、基金份额类别设置、投资范围、投资策略、投资限制、风险收益特征、基金资产估值、基金的收益和分配以及其他部分条款，补充基金合同自动终止条款，授权基金管理人办理本次基金转型及修改基金合同有关具体事宜。上述基金份额持有人大会决议自表决通过之日起生效。自2020年11月30日起，《交银施罗德国证新能源指数证券投资基金（LOF）基金合同》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保证招募说明书的内容真实、准确、完整。本招募说明书经中国证监会注册，但中国证监会对交银施罗德国证新能源指数分级证券投资基金的注册以及变更注册，并不表明其对本基金的投资价值和市场前景作出实质性判断或保证，也不表明投资于本基金没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证券市场，基金净值会因为证券市场波动等因素产生波动。投资人在投资本基金前，需全面认识本基金产品的风险收益特征和产品特性，充分考虑自身的风险承受能力，理性判断市场，对投资本基金的意愿、时机、数量等投资行为作出独立决策。投资人根据所持有份额享受基金的收益，但同时也需承担相应的投资风险。投资本基金可能遇到的风险包括：因受到经济因素、政治因素、投资心理和交易制度等各种因素的影响而引起的市场风险；基金管理人在基金管理运作过程中产生的基金管理风险；流动性风险；信用风险；本基金投资策略所特有的指数化投资风险；投资股指期货的特定风险；投资资产支持证券的特定风险；投资流通受限证券的特定风险；投资科创板股票的特定风险；连续50个工作日出现基金份额持有人数量不满200人或基金资产净值低于5000万元情形时基金管理人可依基金合同约定提前终止基金合同的风险；基金上市交易的风险；基金份额二级市场交易价格折溢价的风险；退市风险；投资本基金的其他风险等等。其中指数化投资风险主要包括：标的指数回报与股票市场平均回报偏离的风险、标的指数波动的风险、基金投资组合回报与标的指数回报偏离的风险、标的指数变更的风险、跟踪误差控制未达约定目标的风险、指数编制机构停止服务的风险、成份股停牌的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具体风险烦请查阅本招募说明书“风险揭示”章节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股票型基金，其预期风险和预期收益高于混合型基金、债券型基金和货币市场基金。本基金为指数型基金，主要采用组合复制策略跟踪国证新能源指数，具有与标的指数以及标的指数所代表的股票市场相似的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本基金为指数基金，投资者投资于本基金面临跟踪误差控制未达约定目标、指数编制机构停止服务、成份券停牌等潜在风险。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本基金标的指数为国证新能源指数。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1、选样空间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满足下列条件的 A 股和红筹企业发行的存托凭证：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1）非ST、*ST证券；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2）科创板证券、北交所证券上市时间超过 1 年；其他证券上市时间超过6个月；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3）公司最近一年无重大违规、财务报告无重大问题；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4）公司最近一年经营无异常、无重大亏损；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5）考察期内证券价格无异常波动；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6）公司所处行业属于新能源或新能源汽车行业。其中，新能源包括核能、太阳能、风能、生物质能等；新能源汽车包括动力电池、电机和电控、充电桩和整车等。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2、选样方法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首先，计算入围选样空间证券在最近半年的日均总市值和日均成交金额；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然后，对入围证券最近半年的日均成交金额从高到低排序，剔除排名后 10%的证券；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最后，对选样空间剩余证券按照最近半年的日均总市值从高到低排序，选取前 50 名证券作为指数样本。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3、指数计算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指数采用派氏加权法，依据下列公式逐日连锁实时计算：</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5" o:spt="75" type="#_x0000_t75" style="height:46.05pt;width:439.5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有关标的指数具体编制方案及成份股信息详见深圳证券信息有限公司国证指数网网站，网址：www.cnindex.com.cn。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有风险，投资人在投资本基金前应认真阅读本基金的招募说明书、基金合同、基金产品资料概要等信息披露文件，自主判断基金的投资价值，自主作出投资决策，自行承担投资风险。基金的过往业绩并不代表未来表现。基金管理人管理的其他基金的业绩并不构成对本基金业绩表现的保证。基金管理人提醒投资者基金投资的“买者自负”原则，在投资者作出投资决策后，基金运营状况与基金净值变化引致的投资风险，由投资者自行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本基金单一投资者持有基金份额数不得超过基金份额总数的50%，但在基金运作过程中因基金份额赎回等情形导致被动超过前述50%比例的除外。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"_Toc256000026"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_Toc256000026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rPr>
        <w:t>一、绪言</w:t>
      </w:r>
      <w:r>
        <w:rPr>
          <w:rStyle w:val="18"/>
        </w:rPr>
        <w:tab/>
      </w:r>
      <w:r>
        <w:fldChar w:fldCharType="begin"/>
      </w:r>
      <w:r>
        <w:rPr>
          <w:rStyle w:val="18"/>
        </w:rPr>
        <w:instrText xml:space="preserve"> PAGEREF _Toc256000027 \h </w:instrText>
      </w:r>
      <w:r>
        <w:fldChar w:fldCharType="separate"/>
      </w:r>
      <w:r>
        <w:rPr>
          <w:rStyle w:val="18"/>
        </w:rPr>
        <w:t>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二、释义</w:t>
      </w:r>
      <w:r>
        <w:rPr>
          <w:rStyle w:val="18"/>
        </w:rPr>
        <w:tab/>
      </w:r>
      <w:r>
        <w:fldChar w:fldCharType="begin"/>
      </w:r>
      <w:r>
        <w:rPr>
          <w:rStyle w:val="18"/>
        </w:rPr>
        <w:instrText xml:space="preserve"> PAGEREF _Toc256000028 \h </w:instrText>
      </w:r>
      <w:r>
        <w:fldChar w:fldCharType="separate"/>
      </w:r>
      <w:r>
        <w:rPr>
          <w:rStyle w:val="18"/>
        </w:rPr>
        <w:t>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_Toc256000029 \h </w:instrText>
      </w:r>
      <w:r>
        <w:fldChar w:fldCharType="separate"/>
      </w:r>
      <w:r>
        <w:rPr>
          <w:rStyle w:val="18"/>
        </w:rPr>
        <w:t>13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_Toc256000030 \h </w:instrText>
      </w:r>
      <w:r>
        <w:fldChar w:fldCharType="separate"/>
      </w:r>
      <w:r>
        <w:rPr>
          <w:rStyle w:val="18"/>
        </w:rPr>
        <w:t>21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_Toc256000031 \h </w:instrText>
      </w:r>
      <w:r>
        <w:fldChar w:fldCharType="separate"/>
      </w:r>
      <w:r>
        <w:rPr>
          <w:rStyle w:val="18"/>
        </w:rPr>
        <w:t>24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六、基金的历史沿革与存续</w:t>
      </w:r>
      <w:r>
        <w:rPr>
          <w:rStyle w:val="18"/>
        </w:rPr>
        <w:tab/>
      </w:r>
      <w:r>
        <w:fldChar w:fldCharType="begin"/>
      </w:r>
      <w:r>
        <w:rPr>
          <w:rStyle w:val="18"/>
        </w:rPr>
        <w:instrText xml:space="preserve"> PAGEREF _Toc256000032 \h </w:instrText>
      </w:r>
      <w:r>
        <w:fldChar w:fldCharType="separate"/>
      </w:r>
      <w:r>
        <w:rPr>
          <w:rStyle w:val="18"/>
        </w:rPr>
        <w:t>54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七、基金的上市交易</w:t>
      </w:r>
      <w:r>
        <w:rPr>
          <w:rStyle w:val="18"/>
        </w:rPr>
        <w:tab/>
      </w:r>
      <w:r>
        <w:fldChar w:fldCharType="begin"/>
      </w:r>
      <w:r>
        <w:rPr>
          <w:rStyle w:val="18"/>
        </w:rPr>
        <w:instrText xml:space="preserve"> PAGEREF _Toc256000033 \h </w:instrText>
      </w:r>
      <w:r>
        <w:fldChar w:fldCharType="separate"/>
      </w:r>
      <w:r>
        <w:rPr>
          <w:rStyle w:val="18"/>
        </w:rPr>
        <w:t>55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_Toc256000034 \h </w:instrText>
      </w:r>
      <w:r>
        <w:fldChar w:fldCharType="separate"/>
      </w:r>
      <w:r>
        <w:rPr>
          <w:rStyle w:val="18"/>
        </w:rPr>
        <w:t>57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九、基金的转换</w:t>
      </w:r>
      <w:r>
        <w:rPr>
          <w:rStyle w:val="18"/>
        </w:rPr>
        <w:tab/>
      </w:r>
      <w:r>
        <w:fldChar w:fldCharType="begin"/>
      </w:r>
      <w:r>
        <w:rPr>
          <w:rStyle w:val="18"/>
        </w:rPr>
        <w:instrText xml:space="preserve"> PAGEREF _Toc256000035 \h </w:instrText>
      </w:r>
      <w:r>
        <w:fldChar w:fldCharType="separate"/>
      </w:r>
      <w:r>
        <w:rPr>
          <w:rStyle w:val="18"/>
        </w:rPr>
        <w:t>73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十、基金的投资</w:t>
      </w:r>
      <w:r>
        <w:rPr>
          <w:rStyle w:val="18"/>
        </w:rPr>
        <w:tab/>
      </w:r>
      <w:r>
        <w:fldChar w:fldCharType="begin"/>
      </w:r>
      <w:r>
        <w:rPr>
          <w:rStyle w:val="18"/>
        </w:rPr>
        <w:instrText xml:space="preserve"> PAGEREF _Toc256000036 \h </w:instrText>
      </w:r>
      <w:r>
        <w:fldChar w:fldCharType="separate"/>
      </w:r>
      <w:r>
        <w:rPr>
          <w:rStyle w:val="18"/>
        </w:rPr>
        <w:t>80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十一、基金的业绩</w:t>
      </w:r>
      <w:r>
        <w:rPr>
          <w:rStyle w:val="18"/>
        </w:rPr>
        <w:tab/>
      </w:r>
      <w:r>
        <w:fldChar w:fldCharType="begin"/>
      </w:r>
      <w:r>
        <w:rPr>
          <w:rStyle w:val="18"/>
        </w:rPr>
        <w:instrText xml:space="preserve"> PAGEREF _Toc256000037 \h </w:instrText>
      </w:r>
      <w:r>
        <w:fldChar w:fldCharType="separate"/>
      </w:r>
      <w:r>
        <w:rPr>
          <w:rStyle w:val="18"/>
        </w:rPr>
        <w:t>91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十二、基金的财产</w:t>
      </w:r>
      <w:r>
        <w:rPr>
          <w:rStyle w:val="18"/>
        </w:rPr>
        <w:tab/>
      </w:r>
      <w:r>
        <w:fldChar w:fldCharType="begin"/>
      </w:r>
      <w:r>
        <w:rPr>
          <w:rStyle w:val="18"/>
        </w:rPr>
        <w:instrText xml:space="preserve"> PAGEREF _Toc256000038 \h </w:instrText>
      </w:r>
      <w:r>
        <w:fldChar w:fldCharType="separate"/>
      </w:r>
      <w:r>
        <w:rPr>
          <w:rStyle w:val="18"/>
        </w:rPr>
        <w:t>94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十三、基金资产的估值</w:t>
      </w:r>
      <w:r>
        <w:rPr>
          <w:rStyle w:val="18"/>
        </w:rPr>
        <w:tab/>
      </w:r>
      <w:r>
        <w:fldChar w:fldCharType="begin"/>
      </w:r>
      <w:r>
        <w:rPr>
          <w:rStyle w:val="18"/>
        </w:rPr>
        <w:instrText xml:space="preserve"> PAGEREF _Toc256000039 \h </w:instrText>
      </w:r>
      <w:r>
        <w:fldChar w:fldCharType="separate"/>
      </w:r>
      <w:r>
        <w:rPr>
          <w:rStyle w:val="18"/>
        </w:rPr>
        <w:t>95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十四、基金收益与分配</w:t>
      </w:r>
      <w:r>
        <w:rPr>
          <w:rStyle w:val="18"/>
        </w:rPr>
        <w:tab/>
      </w:r>
      <w:r>
        <w:fldChar w:fldCharType="begin"/>
      </w:r>
      <w:r>
        <w:rPr>
          <w:rStyle w:val="18"/>
        </w:rPr>
        <w:instrText xml:space="preserve"> PAGEREF _Toc256000040 \h </w:instrText>
      </w:r>
      <w:r>
        <w:fldChar w:fldCharType="separate"/>
      </w:r>
      <w:r>
        <w:rPr>
          <w:rStyle w:val="18"/>
        </w:rPr>
        <w:t>101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十五、基金的费用与税收</w:t>
      </w:r>
      <w:r>
        <w:rPr>
          <w:rStyle w:val="18"/>
        </w:rPr>
        <w:tab/>
      </w:r>
      <w:r>
        <w:fldChar w:fldCharType="begin"/>
      </w:r>
      <w:r>
        <w:rPr>
          <w:rStyle w:val="18"/>
        </w:rPr>
        <w:instrText xml:space="preserve"> PAGEREF _Toc256000041 \h </w:instrText>
      </w:r>
      <w:r>
        <w:fldChar w:fldCharType="separate"/>
      </w:r>
      <w:r>
        <w:rPr>
          <w:rStyle w:val="18"/>
        </w:rPr>
        <w:t>103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十六、基金的会计与审计</w:t>
      </w:r>
      <w:r>
        <w:rPr>
          <w:rStyle w:val="18"/>
        </w:rPr>
        <w:tab/>
      </w:r>
      <w:r>
        <w:fldChar w:fldCharType="begin"/>
      </w:r>
      <w:r>
        <w:rPr>
          <w:rStyle w:val="18"/>
        </w:rPr>
        <w:instrText xml:space="preserve"> PAGEREF _Toc256000042 \h </w:instrText>
      </w:r>
      <w:r>
        <w:fldChar w:fldCharType="separate"/>
      </w:r>
      <w:r>
        <w:rPr>
          <w:rStyle w:val="18"/>
        </w:rPr>
        <w:t>106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十七、基金的信息披露</w:t>
      </w:r>
      <w:r>
        <w:rPr>
          <w:rStyle w:val="18"/>
        </w:rPr>
        <w:tab/>
      </w:r>
      <w:r>
        <w:fldChar w:fldCharType="begin"/>
      </w:r>
      <w:r>
        <w:rPr>
          <w:rStyle w:val="18"/>
        </w:rPr>
        <w:instrText xml:space="preserve"> PAGEREF _Toc256000043 \h </w:instrText>
      </w:r>
      <w:r>
        <w:fldChar w:fldCharType="separate"/>
      </w:r>
      <w:r>
        <w:rPr>
          <w:rStyle w:val="18"/>
        </w:rPr>
        <w:t>107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十八、风险揭示</w:t>
      </w:r>
      <w:r>
        <w:rPr>
          <w:rStyle w:val="18"/>
        </w:rPr>
        <w:tab/>
      </w:r>
      <w:r>
        <w:fldChar w:fldCharType="begin"/>
      </w:r>
      <w:r>
        <w:rPr>
          <w:rStyle w:val="18"/>
        </w:rPr>
        <w:instrText xml:space="preserve"> PAGEREF _Toc256000044 \h </w:instrText>
      </w:r>
      <w:r>
        <w:fldChar w:fldCharType="separate"/>
      </w:r>
      <w:r>
        <w:rPr>
          <w:rStyle w:val="18"/>
        </w:rPr>
        <w:t>114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十九、基金合同的变更、终止与基金财产的清算</w:t>
      </w:r>
      <w:r>
        <w:rPr>
          <w:rStyle w:val="18"/>
        </w:rPr>
        <w:tab/>
      </w:r>
      <w:r>
        <w:fldChar w:fldCharType="begin"/>
      </w:r>
      <w:r>
        <w:rPr>
          <w:rStyle w:val="18"/>
        </w:rPr>
        <w:instrText xml:space="preserve"> PAGEREF _Toc256000045 \h </w:instrText>
      </w:r>
      <w:r>
        <w:fldChar w:fldCharType="separate"/>
      </w:r>
      <w:r>
        <w:rPr>
          <w:rStyle w:val="18"/>
        </w:rPr>
        <w:t>124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二十、基金合同内容摘要</w:t>
      </w:r>
      <w:r>
        <w:rPr>
          <w:rStyle w:val="18"/>
        </w:rPr>
        <w:tab/>
      </w:r>
      <w:r>
        <w:fldChar w:fldCharType="begin"/>
      </w:r>
      <w:r>
        <w:rPr>
          <w:rStyle w:val="18"/>
        </w:rPr>
        <w:instrText xml:space="preserve"> PAGEREF _Toc256000046 \h </w:instrText>
      </w:r>
      <w:r>
        <w:fldChar w:fldCharType="separate"/>
      </w:r>
      <w:r>
        <w:rPr>
          <w:rStyle w:val="18"/>
        </w:rPr>
        <w:t>126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二十一、托管协议的内容摘要</w:t>
      </w:r>
      <w:r>
        <w:rPr>
          <w:rStyle w:val="18"/>
        </w:rPr>
        <w:tab/>
      </w:r>
      <w:r>
        <w:fldChar w:fldCharType="begin"/>
      </w:r>
      <w:r>
        <w:rPr>
          <w:rStyle w:val="18"/>
        </w:rPr>
        <w:instrText xml:space="preserve"> PAGEREF _Toc256000047 \h </w:instrText>
      </w:r>
      <w:r>
        <w:fldChar w:fldCharType="separate"/>
      </w:r>
      <w:r>
        <w:rPr>
          <w:rStyle w:val="18"/>
        </w:rPr>
        <w:t>142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二十二、对基金份额持有人的服务</w:t>
      </w:r>
      <w:r>
        <w:rPr>
          <w:rStyle w:val="18"/>
        </w:rPr>
        <w:tab/>
      </w:r>
      <w:r>
        <w:fldChar w:fldCharType="begin"/>
      </w:r>
      <w:r>
        <w:rPr>
          <w:rStyle w:val="18"/>
        </w:rPr>
        <w:instrText xml:space="preserve"> PAGEREF _Toc256000048 \h </w:instrText>
      </w:r>
      <w:r>
        <w:fldChar w:fldCharType="separate"/>
      </w:r>
      <w:r>
        <w:rPr>
          <w:rStyle w:val="18"/>
        </w:rPr>
        <w:t>156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二十三、其他应披露事项</w:t>
      </w:r>
      <w:r>
        <w:rPr>
          <w:rStyle w:val="18"/>
        </w:rPr>
        <w:tab/>
      </w:r>
      <w:r>
        <w:fldChar w:fldCharType="begin"/>
      </w:r>
      <w:r>
        <w:rPr>
          <w:rStyle w:val="18"/>
        </w:rPr>
        <w:instrText xml:space="preserve"> PAGEREF _Toc256000049 \h </w:instrText>
      </w:r>
      <w:r>
        <w:fldChar w:fldCharType="separate"/>
      </w:r>
      <w:r>
        <w:rPr>
          <w:rStyle w:val="18"/>
        </w:rPr>
        <w:t>158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二十四、招募说明书的存放及查阅方式</w:t>
      </w:r>
      <w:r>
        <w:rPr>
          <w:rStyle w:val="18"/>
        </w:rPr>
        <w:tab/>
      </w:r>
      <w:r>
        <w:fldChar w:fldCharType="begin"/>
      </w:r>
      <w:r>
        <w:rPr>
          <w:rStyle w:val="18"/>
        </w:rPr>
        <w:instrText xml:space="preserve"> PAGEREF _Toc256000050 \h </w:instrText>
      </w:r>
      <w:r>
        <w:fldChar w:fldCharType="separate"/>
      </w:r>
      <w:r>
        <w:rPr>
          <w:rStyle w:val="18"/>
        </w:rPr>
        <w:t>160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二十五、备查文件</w:t>
      </w:r>
      <w:r>
        <w:rPr>
          <w:rStyle w:val="18"/>
        </w:rPr>
        <w:tab/>
      </w:r>
      <w:r>
        <w:fldChar w:fldCharType="begin"/>
      </w:r>
      <w:r>
        <w:rPr>
          <w:rStyle w:val="18"/>
        </w:rPr>
        <w:instrText xml:space="preserve"> PAGEREF _Toc256000051 \h </w:instrText>
      </w:r>
      <w:r>
        <w:fldChar w:fldCharType="separate"/>
      </w:r>
      <w:r>
        <w:rPr>
          <w:rStyle w:val="18"/>
        </w:rPr>
        <w:t>161</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01"/>
      <w:bookmarkStart w:id="5" w:name="_Toc256000027"/>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国证新能源指数证券投资基金（LOF）招募说明书》（以下简称“本招募说明书”）依据《中华人民共和国证券投资基金法》（以下简称“《基金法》”）、《公开募集证券投资基金运作管理办法》（以下简称“《运作办法》”）、《证券投资基金销售管理办法》（以下简称“《销售办法》”）、《公开募集证券投资基金信息披露管理办法》（以下简称“《信息披露办法》”）、《公开募集开放式证券投资基金流动性风险管理规定》（以下简称“《流动性风险管理规定》”）、《公开募集证券投资基金运作指引第3号——指数基金指引》（以下简称“《指数基金指引》”）和其他相关法律法规的规定以及《交银施罗德国证新能源指数证券投资基金（LOF）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注册。基金合同是约定基金合同当事人之间权利、义务的法律文件。基金投资人自依基金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02"/>
      <w:bookmarkStart w:id="7" w:name="_Toc256000028"/>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1、基金或本基金：指交银施罗德国证新能源指数证券投资基金（LOF），由交银施罗德国证新能源指数分级证券投资基金转型而来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3、基金托管人：指中国建设银行股份有限公司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4、基金合同：指《交银施罗德国证新能源指数证券投资基金（LOF）基金合同》及对基金合同的任何有效修订和补充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5、托管协议：指基金管理人与基金托管人就本基金签订之《交银施罗德国证新能源指数证券投资基金（LOF）托管协议》及对该托管协议的任何有效修订和补充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6、招募说明书或本招募说明书：指《交银施罗德国证新能源指数证券投资基金（LOF）招募说明书》及其更新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7、基金产品资料概要：指《交银施罗德国证新能源指数证券投资基金（LOF）基金产品资料概要》及其更新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8、上市交易公告书：指《交银施罗德国证新能源指数证券投资基金（LOF）上市交易公告书》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10、《基金法》：指《中华人民共和国证券投资基金法》及颁布机关对其不时做出的修订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11、《销售办法》：指《证券投资基金销售管理办法》及颁布机关对其不时做出的修订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12、《信息披露办法》：指《公开募集证券投资基金信息披露管理办法》及颁布机关对其不时做出的修订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13、《运作办法》：指《公开募集证券投资基金运作管理办法》及颁布机关对其不时做出的修订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14、《流动性风险管理规定》：指《公开募集开放式证券投资基金流动性风险管理规定》及颁布机关对其不时做出的修订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15、《指数基金指引》：指中国证监会2021年1月22日颁布、同年2月1日实施的《公开募集证券投资基金运作指引第3号——指数基金指引》及颁布机关对其不时做出的修订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16、中国证监会：指中国证券监督管理委员会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17、银行业监督管理机构：指中国人民银行和/或中国银行保险监督管理委员会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19、个人投资者：指依据有关法律法规规定可投资于证券投资基金的自然人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20、机构投资者：指依法可以投资证券投资基金的、在中华人民共和国境内合法登记并存续或经有关政府部门批准设立并存续的企业法人、事业法人、社会团体或其他组织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21、合格境外机构投资者：指符合《合格境外机构投资者境内证券投资管理办法》及相关法律法规规定可以投资于在中国境内依法募集的证券投资基金的中国境外的机构投资者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22、人民币合格境外机构投资者：指按照《人民币合格境外机构投资者境内证券投资试点办法》及相关法律法规规定，运用来自境外的人民币资金进行境内证券投资的境外法人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23、投资人、投资者：指个人投资者、机构投资者、合格境外机构投资者和人民币合格境外机构投资者以及法律法规或中国证监会允许购买证券投资基金的其他投资人的合称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24、基金份额持有人：指依基金合同和招募说明书合法取得基金份额的投资人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25、基金销售业务：指基金管理人或销售机构宣传推介基金，销售基金份额，办理基金份额的申购、赎回、转换、转托管及定期定额投资等业务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销售机构：指交银施罗德基金管理有限公司以及符合《销售办法》和中国证监会规定的其他条件，取得基金销售业务资格并与基金管理人签订了基金销售服务协议，办理基金销售业务的机构以及可通过深圳证券交易所交易系统办理基金销售业务的会员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27、会员单位：指深圳证券交易所会员单位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场外：指不通过深圳证券交易所交易系统，而通过直销机构和其它场外销售机构的柜台系统或其他交易系统办理基金份额申购和赎回等业务的场所。通过该等场所办理基金份额的申购和赎回也称为场外申购和场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场内：指通过深圳证券交易所内具有相应业务资格的会员单位利用深圳证券交易所交易系统办理基金份额申购、赎回和上市交易等业务的场所。通过该等场所办理基金份额的申购和赎回也称为场内申购和场内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30、标的指数：指国证新能源指数及其未来可能发生的变更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31、注册登记系统：指中国证券登记结算有限责任公司开放式基金登记结算系统，通过场外申购的基金份额登记在注册登记系统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32、证券登记结算系统：指中国证券登记结算有限责任公司深圳分公司证券登记结算系统，通过场内申购和上市交易的本基金份额登记在证券登记结算系统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33、场外份额：指登记在注册登记系统下的基金份额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34、场内份额：指登记在证券登记结算系统下的基金份额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登记业务：指基金登记、存管、过户、清算和结算业务，具体内容包括投资人开放式基金账户和/或深圳证券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开放式基金账户：指投资者通过场外销售机构在中国证券登记结算有限责任公司注册的开放式基金账户，基金投资者办理场外申购和场外赎回等业务时需具有开放式基金账户，记录在该账户下的基金份额登记在登记机构的注册登记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深圳证券账户：指在中国证券登记结算有限责任公司深圳分公司开设的深圳证券交易所人民币普通股票账户或证券投资基金账户。基金投资者通过深圳证券交易所交易系统办理基金交易、场内申购和场内赎回等业务时需持有深圳证券账户。记录在该账户下的基金份额登记在登记机构的证券登记结算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39、基金交易账户：指销售机构为投资人开立的、记录投资人通过该销售机构办理申购、赎回、转换及转托管等业务而引起的基金份额变动及结余情况的账户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40、基金合同生效日：指《交银施罗德国证新能源指数证券投资基金（LOF）基金合同》生效日，原《交银施罗德国证新能源指数分级证券投资基金基金合同》自同一日起失效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41、基金转型实施日：指基金管理人公告的交银施罗德国证新能源指数分级证券投资基金转型为交银施罗德国证新能源指数证券投资基金（LOF）的实施日期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43、存续期：指《交银施罗德国证新能源指数分级证券投资基金基金合同》生效日至《交银施罗德国证新能源指数证券投资基金（LOF）基金合同》终止之间的不定期期限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44、工作日：指上海证券交易所、深圳证券交易所的正常交易日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45、T日：指销售机构在规定时间受理投资人申购、赎回或其他业务申请的开放日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46、T+n日：指自T日起第n个工作日（不包含T日）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47、开放日：指为投资人办理基金份额申购、赎回或其他业务的工作日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48、开放时间：指开放日基金接受申购、赎回或其他交易的时间段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49、《业务规则》：指本基金管理人、深圳证券交易所、中国证券登记结算有限责任公司及其他销售机构的相关业务规则及其不时做出的修订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50、申购：指基金合同生效后，投资人根据基金合同和招募说明书的规定申请购买基金份额的行为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52、上市交易：指基金合同生效后投资人通过场内会员单位以集中竞价的方式买卖基金份额的行为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53、基金转换：指基金份额持有人按照基金合同和基金管理人届时有效公告规定的条件，申请将其持有基金管理人管理的、某一基金的基金份额转换为基金管理人管理的其他基金基金份额的行为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54、转托管：指基金份额持有人在本基金的不同销售机构之间实施的变更所持基金份额销售机构的操作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55、系统内转托管：指基金份额持有人将持有的基金份额在注册登记系统内不同销售机构（网点）之间或证券登记结算系统内不同会员单位（交易单元）之间进行转登记的行为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56、跨系统转托管：指基金份额持有人将持有的A类基金份额在注册登记系统和证券登记结算系统间进行转登记的行为。除经基金管理人另行公告，C类基金份额不能进行跨系统转托管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定期定额投资计划：指投资人通过有关销售机构提出申请，约定每期申购日、扣款金额及扣款方式，由指定的销售机构在投资人指定银行账户内自动完成扣款并于每期约定的申购日受理基金申购申请的一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59、元：指人民币元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61、基金资产总值：指基金拥有的各类有价证券、股指期货合约、银行存款本息、基金应收申购款及其他资产的价值总和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62、基金资产净值：指基金资产总值减去基金负债后的价值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63、基金份额净值：指计算日基金资产净值除以计算日基金份额总数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64、基金资产估值：指计算评估基金资产和负债的价值，以确定基金资产净值和基金份额净值的过程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65、销售服务费：指从基金财产中计提的，用于本基金市场推广、销售以及基金份额持有人服务的费用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66、A类基金份额：指在投资人申购时收取申购费用且不从本类别基金资产中计提销售服务费的基金份额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67、C类基金份额：指在投资人申购时不收取申购费用，并从本类别基金资产中计提销售服务费的基金份额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68、规定媒介：指符合中国证监会规定条件的用以进行信息披露的全国性报刊及《信息披露办法》规定的互联网网站（包括基金管理人网站、基金托管人网站、中国证监会基金电子披露网站）等媒介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69、流动性受限资产：指由于法律法规、监管、合同或操作障碍等原因无法以合理价格予以变现的资产，包括但不限于到期日在10个交易日以上的逆回购与银行定期存款（含协议约定有条件提前支取的银行存款）、停牌股票、流通受限的新股及非公开发行股票、资产支持证券、因发行人债务违约无法进行转让或交易的债券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70、摆动定价机制：指当开放式基金遭遇大额申购赎回时，通过调整基金份额净值的方式，将基金调整投资组合的市场冲击成本分配给实际申购、赎回的投资者，从而减少对存量基金份额持有人利益的不利影响，确保投资人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71、不可抗力：指基金合同当事人不能预见、不能避免且不能克服的客观事件</w:t>
      </w:r>
    </w:p>
    <w:p>
      <w:pPr>
        <w:pStyle w:val="2"/>
        <w:snapToGrid w:val="0"/>
        <w:spacing w:before="240" w:beforeLines="0" w:after="0"/>
        <w:rPr>
          <w:rFonts w:ascii="宋体" w:hAnsi="宋体"/>
          <w:szCs w:val="30"/>
        </w:rPr>
      </w:pPr>
      <w:r>
        <w:br w:type="page"/>
      </w:r>
      <w:bookmarkStart w:id="8" w:name="_Toc256000003"/>
      <w:bookmarkStart w:id="9" w:name="_Toc256000029"/>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邵文婷女士:多资产研究部副总监、基金经理。英国诺丁汉大学金融与投资硕士、西南财经大学数学与经济学双学士。10年证券投资行业从业经验。2016年加入交银施罗德基金管理有限公司，曾任量化投资部研究员、投资经理，现任多资产研究部副总监、基金经理。曾任交银施罗德定期支付月月丰债券型证券投资基金（2022年11月30日至2024年12月27日）的基金经理。现任交银施罗德中证A500指数增强型发起式证券投资基金（2026年02月10日至今）、交银施罗德中证智选沪深港科技50交易型开放式指数证券投资基金（2025年12月10日至今）、交银施罗德中证港股通央企红利指数型证券投资基金（2025年10月28日至今）、交银施罗德恒生港股通创新药精选指数型证券投资基金（2025年08月20日至今）、交银施罗德中证A50指数型证券投资基金（2025年04月02日至今）、交银施罗德上证科创板100指数型证券投资基金（2025年02月26日至今）、交银施罗德中证A500指数型证券投资基金（2025年01月22日至今）、交银施罗德中证红利低波动100指数型证券投资基金（2024年03月15日至今）、上证180公司治理交易型开放式指数证券投资基金（2021年04月30日至今）、交银施罗德上证180公司治理交易型开放式指数证券投资基金联接基金（2021年04月30日至今）、深证300价值交易型开放式指数证券投资基金（2021年04月30日至今）、交银施罗德深证300价值交易型开放式指数证券投资基金联接基金（2021年04月30日至今）、交银施罗德国证新能源指数证券投资基金（LOF）（2021年04月30日至今）、交银施罗德创业板50指数型证券投资基金（2021年04月30日至今）、交银施罗德中证海外中国互联网指数型证券投资基金(LOF)（2021年04月30日至今）、交银施罗德中证环境治理指数型证券投资基金(LOF)（2021年04月30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本基金历任基金经理：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蔡铮先生（2015年03月26日至2021年04月30日）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1、基金管理人承诺不从事违反《中华人民共和国证券法》的行为，并承诺建立健全内部控制制度，采取有效措施，防止违反《中华人民共和国证券法》行为的发生；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（5）侵占、挪用基金财产；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（6）法律、行政法规和中国证监会禁止的其他行为。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3、不泄露在任职期间知悉的有关证券、基金的商业秘密，尚未依法公开的基金投资内容、基金投资计划等信息，或利用该信息从事或者明示、暗示他人从事相关的交易活动；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30"/>
      <w:bookmarkStart w:id="11" w:name="_Toc256000004"/>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名称：中国建设银行股份有限公司(简称：中国建设银行)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办公地址：北京市西城区闹市口大街1号院1号楼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法定代表人：张金良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成立时间：2004年09月17日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注册资本：贰仟陆佰壹拾陆亿零叁拾捌万壹仟肆佰伍拾玖元整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基金托管资格批文及文号：中国证监会证监基字[1998]12号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联系人：王小飞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联系电话：(021)6063 7103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建设银行总行设资产托管业务部，下设综合处、基金业务处、证券保险业务处、理财信托业务处、全球业务处、养老金业务处、新兴业务处、客户服务与业务协同处、运营管理处、跨境与外包管理处、托管应用系统支持处、内控合规处等12个职能处室，在北京、上海、合肥设有托管运营中心，共有员工300余人。自2007年起，托管部连续聘请外部会计师事务所对托管业务进行内部控制审计，并已经成为常规化的内控工作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国内首批开办证券投资基金托管业务的商业银行，中国建设银行一直秉持“以客户为中心”的经营理念，不断加强风险管理和内部控制，严格履行托管人的各项职责，切实维护资产持有人的合法权益，为资产委托人提供高质量的托管服务。经过多年稳步发展，中国建设银行托管资产规模不断扩大，托管业务品种不断增加，已形成包括证券投资基金、社保基金、保险资金、基本养老个人账户、(R)QFII、(R)QDII、企业年金、存托业务等产品在内的托管业务体系，是目前国内托管业务品种最齐全的商业银行之一。截至2026年3月末，中国建设银行已托管1,523只证券投资基金。中国建设银行专业高效的托管服务能力和业务水平，赢得了业内的高度认同。中国建设银行多次被《全球托管人》、《财资》、《环球金融》杂志及《中国基金报》评选为“最佳托管银行”、连续多年荣获中央国债登记结算有限责任公司（中债）“优秀资产托管机构”、银行间市场清算所股份有限公司（上清所）“优秀托管银行”奖项、并先后荣获《亚洲银行家》颁发的2017年度“最佳托管系统实施奖”、2019年度“中国年度托管业务科技实施奖”、2021年度“中国最佳数字化资产托管银行”、以及 2020年度、2022年度“中国年度托管银行（大型银行）”奖项。2023年度，荣获《中国基金报》“公募基金25年最佳基金托管银行”奖项。2024年度，荣获《中国基金报》“优秀ETF托管人”、《中国证券报》“ETF金牛生态圈卓越托管机构（银行）”、《环球金融》“中国最佳次托管人”奖项。2025年度，荣获《中国基金报》“指数生态圈英华奖”、《环球金融》“中国最佳次托管人”等奖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基金托管人，中国建设银行严格遵守国家有关托管业务的法律法规、行业监管规章和本行内有关管理规定，守法经营、规范运作、严格检查，确保业务的稳健运行，保证基金财产的安全完整，确保有关信息的真实、准确、完整、及时，保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2、内部控制组织结构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建设银行设有风险内控管理委员会，负责全行风险管理与内部控制工作，对托管业务风险管理和内部控制的有效性进行指导。资产托管业务部配备了专职内控合规人员负责托管业务的内控合规工作，具有独立行使内控合规工作职权和能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3、内部控制制度及措施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资产托管业务部具备系统、完善的制度控制体系，建立了管理制度、控制制度、岗位职责、业务操作流程，可以保证托管业务的规范操作和顺利进行；业务人员具备从业资格；业务管理严格实行复核、审核、检查制度，授权工作实行集中控制，业务印章按规程保管、存放、使用，账户资料严格保管，制约机制严格有效；业务操作区专门设置，封闭管理，实施音像监控；业务信息由专职信息披露人负责，防止泄密；业务实现自动化操作，防止人为事故的发生，技术系统完整、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1、监督方法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照《基金法》及其配套法规和基金合同的约定，监督所托管基金的投资运作。利用自行开发的“新一代托管应用监督子系统”，严格按照现行法律法规以及基金合同规定，对基金管理人运作基金的投资比例、投资范围、投资组合等情况进行监督。在日常为基金投资运作所提供的基金清算和核算服务环节中，对基金管理人发送的投资指令、基金管理人对各基金费用的提取与开支情况进行检查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2、监督流程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工作日按时通过新一代托管应用监督子系统，对各基金投资运作比例控制等情况进行监控，如发现投资异常情况，向基金管理人进行风险提示，与基金管理人进行情况核实，督促其纠正，如有重大异常事项及时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(2)收到基金管理人的划款指令后，对指令要素等内容进行核查。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(3)通过技术或非技术手段发现基金涉嫌违规交易，电话或书面要求基金管理人进行解释或举证，如有必要将及时报告中国证监会。</w:t>
      </w:r>
    </w:p>
    <w:p>
      <w:pPr>
        <w:pStyle w:val="2"/>
        <w:snapToGrid w:val="0"/>
        <w:spacing w:before="240" w:beforeLines="0" w:after="0"/>
        <w:rPr>
          <w:rFonts w:ascii="宋体" w:hAnsi="宋体"/>
          <w:szCs w:val="30"/>
        </w:rPr>
      </w:pPr>
      <w:r>
        <w:br w:type="page"/>
      </w:r>
      <w:bookmarkStart w:id="12" w:name="_Toc256000005"/>
      <w:bookmarkStart w:id="13" w:name="_Toc256000031"/>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个人投资者可以通过基金管理人网上直销交易平台办理开户、本基金的场外申购、赎回、定期定额投资、转换等业务，具体交易细则请参阅基金管理人网站。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2、A类基金份额的场内销售机构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具有基金销售业务资格、经深圳证券交易所和中国证券登记结算有限责任公司认可的、通过深圳证券交易所交易系统办理基金销售业务的深圳证券交易所场内会员单位（具体名单见深圳证券交易所网站）。</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3、除基金管理人之外的其他场外销售机构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（1）名称：中国建设银行股份有限公司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办公地址：北京市西城区闹市口大街1号院1号楼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法定代表人：张金良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（2）名称：东莞农村商业银行股份有限公司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法定代表人：王耀球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电话：（0769）22866254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传真：（0769）22866282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联系人：林培珊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客户服务电话：（0769）961122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（3）名称：江苏江南农村商业银行股份有限公司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法定代表人：陆向阳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电话：0519-80585939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传真：0519-89995170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网址：http://www.jnbank.com.cn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（4）名称：平安银行股份有限公司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注册地址：深圳市罗湖区深南东路5047号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法定代表人：谢永林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电话：0755-22166574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传真：0755-82080406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客服电话：95511-3或95501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（6）名称：宁波银行股份有限公司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住所：宁波市江东区中山东路294号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法定代表人：陆华裕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电话：（021）63586210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传真：（021）63586215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联系人：胡技勋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客户服务电话：96528（上海地区962528）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网址：www.nbcb.com.cn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（8）名称：中国光大银行股份有限公司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电话：（010）63639681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传真：（010）63639709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联系人：刘昭宇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网址：www.cebbank.com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（9）名称：中国邮政储蓄银行股份有限公司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传真：（010）68858117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联系人：陈春林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网址：www.psbc.com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（10）名称：中国工商银行股份有限公司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注册地址：北京市西城区复兴门内大街55号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办公地址：北京市西城区复兴门内大街55号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法定代表人：廖林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网址：www.icbc.com.cn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（11）名称：国泰海通证券股份有限公司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注册地址：中国（上海）自由贸易试验区商城路618号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办公地址：上海市静安区南京西路768号国泰君安大厦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联系电话：021-38676666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传真：021-38670666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联系人：邵亚杰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服务热线 : 95521 / 4008888666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网址：www.gtht.com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（12）名称：国信证券股份有限公司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法定代表人：张纳沙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电话：（0755）82130833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传真：（0755）82133952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联系人：于智勇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网址：www.guosen.com.cn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（13）名称：广发证券股份有限公司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住所：广州市黄埔区中新广州知识城腾飞一街2号618室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办公地址：广州市天河区马场路26号广发证券大厦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法定代表人：林传辉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电话：（020）66338888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传真：（020）87553600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联系人：任嘉鹏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（14）名称：中信证券股份有限公司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住所：广东省深圳市福田区中心三路8号卓越时代广场（二期）北座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办公地址：北京市朝阳区亮马桥路48号中信证券大厦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法定代表人：张佑君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（15）名称：中国银河证券股份有限公司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法定代表人：陈共炎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电话：010-83574507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联系人：辛国政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网址：www.chinastock.com.cn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（16）名称：国投证券股份有限公司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办公地址：深圳市福田区福田街道福华一路119号安信金融大厦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电话：（0755）81688000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传真：（0755）82558355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网址：https://www.sdicsc.com.cn/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（17）名称：西南证券股份有限公司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住所：重庆市江北区桥北苑8号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办公地址：重庆市江北区桥北苑8号西南证券大厦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电话：（023）63786141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传真：（023）63786212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客户服务电话：95355、400-809-6096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网址：www.swsc.com.cn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（18）名称：中信证券（山东）有限责任公司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住所：青岛市崂山区深圳路222号1号楼2001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办公地址：青岛市市南区东海西路28号龙翔广场东座5层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法定代表人：肖海峰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电话：0531-89606166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传真：0532-85022605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联系人：赵如意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网址：sd.citics.com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（19）名称：信达证券股份有限公司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法定代表人：张志刚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电话：（010）63081000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传真：（010）63081344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联系人：尹旭航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网址：www.cindasc.com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（20）名称：长城证券有限责任公司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住所：深圳市福田区深南大道6008号特区报业大厦14、16、17层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法定代表人：黄耀华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电话：（0755）83516289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传真：（0755）83516199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联系人：匡婷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客户服务电话：（0755）33680000，400-6666-888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（21）名称：光大证券股份有限公司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电话：（021）22169999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传真：（021）22169134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10108998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网址：www.ebscn.com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（22）名称：中信证券华南股份有限公司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法定代表人：陈可可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电话：020-88836999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传真：020-88836984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联系人：郭杏燕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客服电话：（020）95396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网址：www.gzs.com.cn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（23）名称：平安证券股份有限公司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住所：深圳市福田区金田路大中华国际交易广场裙楼8楼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办公地址：深圳市福田区金田路大中华国际交易广场裙楼8楼(518048)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法定代表人：杨宇翔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电话：（0755）22627802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传真：（0755）82400862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联系人：郑舒丽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（24）名称：国都证券股份有限公司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法定代表人：王少华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客户服务电话：400-818-8118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网址：www.guodu.com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（25）名称：中泰证券股份有限公司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电话：（0531）68889155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传真：（0531）68889752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联系人：许曼华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网址：www.zts.com.cn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（26）名称：华福证券股份有限公司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法定代表人：黄德良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电话：（0591）87383623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传真：（0591）87383610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客户服务电话：（0591）95547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（27）名称：中国国际金融股份有限公司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法定代表人：毕明建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电话：（010）65051166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传真：（010）85679203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联系人：杨涵宇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（28）名称：粤开证券股份有限公司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法定代表人：郭川舟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网址：www.ykzq.com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（29）名称：江海证券有限公司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住所：黑龙江省哈尔滨市香坊区赣水路56号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法定代表人：孙名扬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电话：（0451）85863719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传真：（0451）82287211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网址：www.jhzq.com.cn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（30）名称：国金证券股份有限公司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法定代表人：冉云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电话：（028）86690057，（028）86690058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传真：（028）86690126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联系人：刘婧漪 贾鹏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网址：www.gjzq.com.cn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（31）名称：华宝证券股份有限公司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住所：中国上海市陆家嘴环路166号未来资产大厦27楼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办公地址：中国上海市浦东新区世纪大道100号上海环球金融中心57楼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陈林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电话：（021）68777222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传真：（021）68777822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客户服务电话：400-820-9898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网址：www.cnhbstock.com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（32）名称：国新证券股份有限公司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法定代表人：宋德清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电话：（010）58568235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传真：（010）58568062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客户服务电话：（010）58568118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网址：www.crsec.com.cn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（33）名称：西部证券股份有限公司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法定代表人：徐朝晖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电话：029-87211668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联系人：张吉安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网址：www.west95582.com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（34）名称：方正证券股份有限公司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电话：（010）68546765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传真：（010）68546792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网址：www.foundersc.com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（35）名称：中邮证券有限责任公司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注册地址：陕西省西安市唐延路5号（陕西邮政信息大厦9-11层）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办公地址：北京市东城区珠市口东大街17号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法定代表人：郭成林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电话：010-67017788-8914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传真：010-67017788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联系人：史蕾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网址：www.cnpsec.com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（37）名称：开源证券股份有限公司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办公地址：陕西省西安市高新区锦业路一号都市之门B座5层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电话：13709210036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联系人：赵东会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网址：www.kysec.cn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（38）名称：华西证券股份有限公司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法定代表人：杨炯洋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电话：（028）86135991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传真：（028）86150400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联系人：周志茹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（39）名称：中国中金财富证券有限公司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办公地址：深圳市福田区益田路6003号荣超商务中心A栋第04、18层至21层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法定代表人：高涛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电话：（0755）88320851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联系人：胡芷境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客户服务电话：95532/400-600-8008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（40）名称：华泰证券股份有限公司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住所：江苏省南京市江东中路228号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办公地址：江苏省南京市建邺区江东中路228号华泰证券广场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电话：（0755）82492193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传真：（0755）82492962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联系人：徐浩津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网址：www.htsc.com.cn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（41）名称：申万宏源证券有限公司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法定代表人：杨玉成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电话：（021）33389888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联系人：李清怡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客户服务电话：95523或4008895523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网址：www.sywg.com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（42）名称：申万宏源西部证券有限公司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住所：新疆乌鲁木齐市建设路2号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办公地址：北京市西城区太平桥大街19号宏源证券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法定代表人：冯戎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电话：（010）88085858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传真：（010）88085195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客户服务电话：4008-000-562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网址：www.hysec.com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（43）名称：东方财富证券股份有限公司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住所：西藏自治区拉萨市柳梧新区国际总部城10栋楼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法定代表人：戴彦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电话：（021）021-23586603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传真：（021）021-23586860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联系人：付佳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网址：http://www.18.cn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（44）名称：东莞证券股份有限公司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网址：www.dgzq.com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（45）名称：长江证券股份有限公司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法定代表人：胡运钊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电话：（027）65799999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传真：（027）85481900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客户服务电话：95579或4008-888-999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网址：www.95579.com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（46）名称：天相投资顾问有限公司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住所：北京市西城区金融街19号富凯大厦B座701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办公地址：北京市西城区新街口外大街28号C座5层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法定代表人：林义相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电话：（010）66045529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传真：（010）66045518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客户服务电话：（010）66045678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网址：http://www.txsec.com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（47）名称：深圳市米粒基金销售有限公司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法定代表人：黎泰材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联系人：董宣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联系电话：0755-26695461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（48）名称：北京广源达信基金销售有限公司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注册地址：北京市西城区新街口外大街28号C座六层605室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办公地址：北京市顺义区天祥路6号院北京东航中心T1A-304B室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法定代表人：齐剑辉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联系人：赵明锦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网址：https://www.niuniufund.com/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（49）名称：中信期货有限公司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电话：010-60833754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传真：021-60819988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联系人：刘宏莹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客服电话：400-990-8826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网站：www.citicsf.com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（50）名称：深圳市新兰德证券投资咨询有限公司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住所：深圳市福田区华强北路赛格科技园4栋10层1006#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电话：（010）58325395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传真：（010）58325282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联系人：刘宝文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客户服务电话：400-850-7771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网址：http://8.jrj.com.cn/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（51）名称：和讯信息科技有限公司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电话：（021）20835789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传真：（021）20835879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客户服务电话：4009200022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网址：http://licaike.hexun.com/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（52）名称：上海挖财基金销售有限公司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法定代表人：吕柳霞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电话：021-50810673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传真：021-50810687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邮编：200120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联系人：毛善波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客服电话：400-711-8718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网址：www.wacaijijin.com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（54）名称：北京度小满基金销售有限公司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注册地址：北京市海淀区西北旺东路10号院西区4号楼1层103室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法定代表人：葛新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办公地址：北京市海淀区西北旺东路10号院西区4号楼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机构联系人：王笑宇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联系人电话：010-59403028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联系人传真：010-59403027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客户服务电话：95055-4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公司网址：www.baiyingfund.com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（55）名称：诺亚正行基金销售有限公司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住所:上海市虹口区飞虹路360弄9号3724室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办公地址:上海市杨浦区长阳路1687号长阳谷2号楼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法定代表：汪静波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电话：（021）80358523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传真：（021）80358749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客户服务电话：4008215399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网址：www.noah-fund.com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（56）名称：深圳众禄基金销售股份有限公司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电话：（0755）33227953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传真：（0755）33227951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联系人：汤素娅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客户服务电话：4006-788-887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网址：www.zlfund.cn，www.jjmmw.com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（57）名称：上海天天基金销售有限公司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住所：上海市徐汇区龙田路190号2号楼2层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办公地址：上海市徐汇区宛平南路88号金座东方财富大厦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法定代表人：其实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电话：（021）54509998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传真：（021）64385308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联系人：屠彦洋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客户服务电话：400-1818-188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网址：www.1234567.com.cn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（58）名称：上海好买基金销售有限公司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住所：上海市虹口区场中路685弄37号4号楼449室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办公地址：上海市浦东新区浦东南路1118号鄂尔多斯国际大厦903-906室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法定代表人：杨文斌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传真：（021）68596916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联系人：薛年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客户服务电话：400-700-9665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网址：www.howbuy.com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（59）名称：蚂蚁（杭州）基金销售有限公司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住所：浙江省杭州市余杭区五常街道文一西路969号3幢5层599室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办公地址：浙江省杭州市西湖区西溪路556号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电话：（0571）28829790，（021）60897869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传真：（0571）26698533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联系人：韩爱彬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网址：www.fund123.cn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（60）名称：上海长量基金销售有限公司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住所：上海市浦东新区高翔路526号2幢220室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办公地址：上海市浦东新区浦东大道555号裕景国际B座16层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法定代表人：张跃伟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电话：（021）20691832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传真：（021）20691861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联系人：单丙烨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客户服务电话：400-820-2899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网址：www.erichfund.com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（61）名称：浙江同花顺基金销售有限公司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住所：浙江省杭州市文二西路1号元茂大厦903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办公地址：浙江杭州余杭区五常街道同顺街18号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电话：（0571）88911818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传真：（0571）86800423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客户服务电话：952555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网址：https://fund.10jqka.com.cn/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（62）名称：北京展恒基金销售股份有限公司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住所：北京市顺义区后沙峪镇安富街6号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办公地址：北京市朝阳区安苑路15-1号邮电新闻大厦2层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法定代表人：闫振杰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电话：（010）59601366-7024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传真：（010）62020355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客户服务电话：400-888-6661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网址：www.myfund.com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（64）名称：嘉实财富管理有限公司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办公地址及其联系方式：北京市朝阳区建国门外大街21号北京国际俱乐部C座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张峰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010-85097302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联系人：闫欢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客户服务电话：400-021-8850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公司网址：http://www.harvestwm.cn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（65）名称：北京创金启富基金销售有限公司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梁蓉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电话：010-66154828-8047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传真：010-63583991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魏素清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客户服务电话：010-66154828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https://www.5irich.com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（66）名称：泛华普益基金销售有限公司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住所：成都市成华区建设路9号高地中心1101室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办公地址：成都市金牛区花照壁西顺街399号1栋1单元龙湖西宸天街B座1201号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法定代表人：于海锋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电话：028-8661-6229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联系人：隋亚方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客户服务电话：400-080-3388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网址：https://www.puyifund.com/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（67）名称：宜信普泽（北京）基金销售有限公司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法定代表人：汤蕾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电话：010-5090-5707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联系人：蒋凯帆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客户服务电话：400-6099-200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网址：http://www.puzefund.com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（68）名称：南京苏宁基金销售有限公司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联系人：冯鹏鹏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网址：www.snjijin.com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（69）名称：格上富信投资顾问有限公司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法定代表人：李悦章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电话：（010）85594745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传真：（010）65983333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客户服务电话：400-066-8586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网址：www.igesafe.com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（70）名称：北京汇成基金销售有限公司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住所：北京市西城区宣武门外大街甲1号4层401-2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办公地址：北京市西城区宣武门外大街甲1号环球财讯中心D座4层401-2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法定代表人：王伟刚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电话：（010）56282140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传真：（010）62680827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客户服务电话：010-63158805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网址：www.hcfunds.co</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（71）名称：上海大智慧基金销售有限公司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法定代表人：申健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电话：021-0219988-35374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传真：021-20219923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客户服务电话：021-20292031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网址：https://www.wg.com.cn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（72）名称：北京新浪仓石基金销售有限公司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电话：010-58982465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客服电话：010-6267 5369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网址：www.xincai.com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（73）名称：上海万得基金销售有限公司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住所：中国（上海）自由贸易试验区福山路33号11楼B座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办公地址：上海市浦东新区浦明路1500号万得大厦11楼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宋晓言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电话：021-50712782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传真：021-50710161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马烨莹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客户服务电话：400-799-1888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www.520fund.com.cn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（74）名称：上海联泰基金销售有限公司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住所：上海市普陀区兰溪路900弄15号526室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办公地址：上海市虹口区临潼路188号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法定代表人：尹彬彬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电话：021-52822063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传真：021-52975270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联系人：兰敏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客户服务电话：400-118-1188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网址：www.66liantai.com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（75）名称：上海基煜基金销售有限公司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（76）名称：北京虹点基金销售有限公司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法定代表人：邓伟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客户服务电话：400-035-5010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公司网址：www.hongdianfund.com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（77）名称：上海陆金所基金销售有限公司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住所：上海市浦东新区陆家嘴环路1333号14楼09单元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办公地址：上海市浦东新区陆家嘴环路1333号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法定代表人：王之光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电话：（021）20665952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传真：（021）22066653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联系人：宁博宇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客户服务电话：4008219031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网址：www.lufunds.com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（78）名称：珠海盈米基金销售有限公司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（79）名称：和耕传承基金销售有限公司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法定代表人：温丽燕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电话：0371-85518395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传真：0371-85518397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联系人：胡静华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客户服务电话：4000555671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网址：www.hgccpb.com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（80）名称：奕丰基金销售有限公司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办公地址：深圳市南山区海德三道航天科技广场A座17楼1704室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法定代表人：TEO WEE HOWE</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电话：（0755）89460500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传真：（0755）21674453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联系人：叶健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客户服务电话：400-684-0500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网址：www.ifastps.com.cn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（81）名称：京东肯特瑞基金销售有限公司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北京市海淀区西三旗建材城中路12号17号平房157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传真：010-89189566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客服热线：95118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网址：kenterui.jd.com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（82）名称：大连网金基金销售有限公司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樊怀东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电话：（0411-39027810）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传真：（0411-39027835）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于秀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4000-899-100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网址：http://www.yibaijin.com/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（83）名称：上海证达通基金销售有限公司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电话：（021）20530186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传真：（021）20538999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潘梦茹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客户服务电话：021-20538880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网址：www.zdt.fund</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（84）名称：深圳市金斧子基金销售有限公司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住所：深圳市南山区粤海街道科苑路16号东方科技大厦18楼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办公地址：深圳市南山区粤海街道科苑路科兴科学园B3单元7楼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法定代表人：赖任军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电话：（0755）66892301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传真：（0755）66892399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客户服务电话：400-9500-888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网址：www.jfzinv.com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（85）名称：北京雪球基金销售有限公司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住所：北京市朝阳区创远路 34 号院6号楼15层1501室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办公地址：北京市朝阳区创远路 34 号院融新科技中心 C 座 17 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电话：（010）61840688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传真：（010）84997571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联系人：武安广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客户服务电话：400-1599-288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网址：danjuanfunds.com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（86）名称：万家财富基金销售（天津）有限公司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住所：天津自贸区（中心商务区）迎宾大道1988号滨海浙商大厦公寓2-2413室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办公地址：北京市西城区丰盛胡同28号太平洋保险大厦A座5层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电话：（010）59013825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传真：（010）59013828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联系人：王茜蕊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客户服务电话：010-59013895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网址：http://www.wanjiawealth.com/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（87）名称：上海华夏财富投资管理有限公司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住所：上海市虹口区东大名路687号1幢2楼268室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北京市西城区金融大街33号通泰大厦B座8层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毛淮平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电话：010-88066632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传真：010-63136184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张静怡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客户服务电话：400-817-5666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www.amcfortune.com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（88）名称：玄元保险代理有限公司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法定代表人：马永谙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客户服务电话：400-080-8208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网址：www.licaimofang.cn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（89）名称：阳光人寿保险股份有限公司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住所：海南省三亚市迎宾路360-1号三亚阳光金融广场16层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办公地址：北京市朝阳区朝阳门外大街乙12号院1号昆泰国际大厦12层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电话：（010）85632771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传真：（010）85632773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网址：http://fund.sinosig.com/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（90）名称：济安财富（北京）基金销售有限公司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住所：北京市朝阳区太阳宫中路16号院1号楼10层1005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办公地址：北京市朝阳区太阳宫中路16号院1号楼11层1105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电话：010-65309516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传真：010-65330699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联系人：宋静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客户服务电话：400-673-7010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网址：www.jianfortune.com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（91）名称：博时财富基金销售有限公司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法定代表人：王德英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客户服务电话：400-610-5568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网址：www.boserawealth.com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（92）名称：深圳前海微众银行股份有限公司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办公地址：广东省深圳市南山区沙河西路1819号深圳湾科技生态园7栋A座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电话：15112686889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联系人：白冰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（93）名称：上海中欧财富基金销售有限公司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住所：中国（上海）自由贸易试验区陆家嘴环路479号1008-1室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办公地址：上海市虹口区公平路18号嘉昱大厦6楼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法定代表人：许欣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电话：021-68609600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传真：021-33830351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刘弘义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客户服务电话：400-700-9700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公司网址：https://www.zocaifu.com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（94）名称：上海攀赢基金销售有限公司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客户服务电话：021-68889082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网址：www.weonefunds.com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（95）名称：中国人寿保险股份有限公司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住所：中国北京市西城区金融大街16号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办公地址：北京市西城区金融大街16号中国人寿广场A座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www.e-chinalife.com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（96）名称：易方达财富管理基金销售（广州）有限公司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住所：广州市南沙区横沥镇期航二街2号101房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办公地址：广东省广州市天河区珠江东路30号广州银行大厦41楼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电话：020-85102688-7498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联系人：吕晋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客户服务电话：4001608888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网址：www.efundcf.com.cn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名称：中国证券登记结算有限责任公司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法定代表人：于文强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电话：（010）50938782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传真：（010）50938907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联系人：赵亦清</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名称：上海市通力律师事务所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负责人：陈臻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电话：（021）31358666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传真：（021）31358600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联系人：丁媛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经办律师：黎明、丁媛</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名称：容诚会计师事务所（特殊普通合伙）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注册地址：北京市西城区阜成门外大街22号1幢外经贸大厦901-22至901-26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办公地址：北京市西城区阜成门外大街22号1幢外经贸大厦901-22至901-26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执行事务合伙人：肖厚发、刘维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电话：010-66001391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传真：010-66001391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联系人：李隐煜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经办会计师：沈兆杰、李隐煜</w:t>
      </w:r>
    </w:p>
    <w:p>
      <w:pPr>
        <w:pStyle w:val="2"/>
        <w:snapToGrid w:val="0"/>
        <w:spacing w:before="240" w:beforeLines="0" w:after="0"/>
        <w:rPr>
          <w:rFonts w:ascii="宋体" w:hAnsi="宋体"/>
          <w:szCs w:val="30"/>
        </w:rPr>
      </w:pPr>
      <w:r>
        <w:br w:type="page"/>
      </w:r>
      <w:bookmarkStart w:id="14" w:name="_Toc256000032"/>
      <w:bookmarkStart w:id="15" w:name="_Toc256000006"/>
      <w:r>
        <w:rPr>
          <w:rFonts w:ascii="宋体" w:hAnsi="宋体"/>
          <w:sz w:val="30"/>
        </w:rPr>
        <w:t>六、基金的历史沿革与存续</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一、本基金的历史沿革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交银施罗德国证新能源指数证券投资基金（LOF）由交银施罗德国证新能源指数分级证券投资基金变更而来。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国证新能源指数分级证券投资基金经中国证监会证监许可【2014】1442号文注册，自2015年3月9日起向社会公开募集，于2015年3月20日结束募集工作，并于2015年3月26日获得中国证监会的书面确认，《交银施罗德国证新能源指数分级证券投资基金基金合同》自该日起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根据《基金法》、《运作办法》、《关于实施 &lt;公开募集证券投资基金运作管理办法&gt; 有关问题的规定》、《交银施罗德国证新能源指数分级证券投资基金基金合同》，交银施罗德国证新能源指数分级证券投资基金以通讯方式召开基金份额持有人大会，大会于2020年10月28日表决通过了《关于交银施罗德国证新能源指数分级证券投资基金转型及修改基金合同有关事项的议案》，同意交银施罗德国证新能源指数分级证券投资基金变更基金名称、运作方式、基金份额类别设置、投资范围、投资策略、投资限制、风险收益特征、基金资产估值、基金的收益和分配以及其他部分条款，补充基金合同自动终止条款，授权基金管理人办理本次基金转型及修改基金合同有关具体事宜。基金份额持有人大会决议自表决通过之日起生效，基金管理人根据基金份额持有人大会的授权，定于2020年11月30日正式实施基金转型，自基金转型实施日起，《交银施罗德国证新能源指数分级证券投资基金基金合同》失效，且《交银施罗德国证新能源指数证券投资基金（LOF）基金合同》同时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二、基金存续期内的基金份额持有人数量和资产规模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连续20个工作日出现基金份额持有人数量不满200人或者基金资产净值低于5000万元情形的，基金管理人应当在定期报告中予以披露；连续50个工作日出现前述情形的，基金管理人提前终止《基金合同》，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法律法规或中国证监会另有规定时，从其规定。</w:t>
      </w:r>
    </w:p>
    <w:p>
      <w:pPr>
        <w:pStyle w:val="2"/>
        <w:snapToGrid w:val="0"/>
        <w:spacing w:before="240" w:beforeLines="0" w:after="0"/>
        <w:rPr>
          <w:rFonts w:ascii="宋体" w:hAnsi="宋体"/>
          <w:szCs w:val="30"/>
        </w:rPr>
      </w:pPr>
      <w:r>
        <w:br w:type="page"/>
      </w:r>
      <w:bookmarkStart w:id="16" w:name="_Toc256000007"/>
      <w:bookmarkStart w:id="17" w:name="_Toc256000033"/>
      <w:r>
        <w:rPr>
          <w:rFonts w:ascii="宋体" w:hAnsi="宋体"/>
          <w:sz w:val="30"/>
        </w:rPr>
        <w:t>七、基金的上市交易</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一、基金份额的上市交易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基金合同生效后，在本基金符合法律法规和深圳证券交易所规定的上市条件的情况下，基金管理人可以申请本基金A类基金份额上市交易。如无特别说明，本部分约定仅适用于本基金A类基金份额。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上市后，登记在证券登记结算系统中的A类基金份额可直接在深圳证券交易所上市；登记在注册登记系统中的A类基金份额可通过办理跨系统转托管业务将基金份额转托管在证券登记结算系统中后，再上市交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未来，基金管理人在符合法律法规的情况下也可申请本基金C类基金份额的上市交易，基金管理人可根据需要修改基金合同相关内容，但应在实施日前依照《信息披露办法》的有关规定在规定媒介上公告。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1、上市交易的地点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深圳证券交易所。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2、上市交易的时间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在确定上市交易的时间后，基金管理人应依据法律法规规定在规定媒介上刊登A类基金份额上市交易公告书。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二、上市交易的规则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本基金A类基金份额上市交易遵循《深圳证券交易所交易规则》及《深圳证券交易所证券投资基金上市规则》等相关规定。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三、上市交易的费用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本基金A类基金份额上市交易的费用按照深圳证券交易所的有关规定办理。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四、上市交易的行情揭示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本基金A类基金份额在深圳证券交易所挂牌交易，交易行情通过行情发布系统揭示。行情发布系统同时揭示前一交易日本基金A类基金份额的基金份额净值。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五、上市交易的停复牌、暂停上市、恢复上市和终止上市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A类基金份额的停复牌、暂停上市、恢复上市和终止上市按照相关法律法规、中国证监会及深圳证券交易所的相关业务规则执行。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发生深圳证券交易所相关业务规则规定的原因不再具备上市条件而应当终止上市的情形时，本基金将转型为非上市开放式基金，本基金的基金名称将变更为“交银施罗德国证新能源指数证券投资基金”，除此之外，本基金的基金费率，基金的投资范围和投资策略等均不变，届时无需召开基金份额持有人大会。基金终止上市后，对于本基金场内份额的处理规则由基金管理人提前制定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六、相关法律法规、中国证监会及深圳证券交易所对基金上市交易的规则等相关规定内容进行调整的，本基金基金合同相应予以修改，并按照新规定执行，且此项修改无须召开基金份额持有人大会。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七、若深圳证券交易所、中国证券登记结算有限责任公司增加了基金上市交易的新功能，本基金管理人可以在履行适当的程序后增加相应功能。</w:t>
      </w:r>
    </w:p>
    <w:p>
      <w:pPr>
        <w:pStyle w:val="2"/>
        <w:snapToGrid w:val="0"/>
        <w:spacing w:before="240" w:beforeLines="0" w:after="0"/>
        <w:rPr>
          <w:rFonts w:ascii="宋体" w:hAnsi="宋体"/>
          <w:szCs w:val="30"/>
        </w:rPr>
      </w:pPr>
      <w:r>
        <w:br w:type="page"/>
      </w:r>
      <w:bookmarkStart w:id="18" w:name="_Toc256000008"/>
      <w:bookmarkStart w:id="19" w:name="_Toc256000034"/>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本基金A类基金份额可接受场内和场外申购与赎回，本基金C类基金份额暂时仅接受场外申购和赎回。登记在注册登记系统中的各类基金份额可直接办理场外申购与赎回等场外基金业务，登记在注册登记系统中的A类基金份额可通过办理跨系统转托管业务将基金份额转登记到证券登记结算系统中，再办理场内申购、赎回业务；登记在证券登记结算系统中的A类基金份额可直接办理场内申购、赎回业务，也可以通过办理跨系统转托管业务将基金份额转登记到注册登记系统中，再办理场外申购与赎回等场外基金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1、本基金管理人的直销机构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个人投资者可以通过基金管理人网上直销交易平台办理开户、本基金的申购、赎回、定期定额投资、转换等业务，具体交易细则请参阅基金管理人网站。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2、场内销售机构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具有基金销售业务资格、经深圳证券交易所和中国证券登记结算有限责任公司认可的、通过深圳证券交易所交易系统办理基金销售业务的深圳证券交易所场内会员单位（具体名单见深圳证券交易所网站）。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3、除基金管理人之外的其他场外销售机构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本基金除基金管理人之外的其他场外销售机构参见本招募说明书“五、相关服务机构”章节或拨打本公司客户服务电话进行咨询。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投资人应当通过上述销售机构办理基金申购、赎回业务的营业场所或按上述销售机构提供的其他方式进行申购或赎回。本基金管理人可根据情况变更或增减基金场外销售机构，并在管理人网站公示。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若基金管理人或其指定的销售机构开通电话、传真或网上等交易方式，投资人可以通过上述方式进行申购与赎回。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若出现新的证券/期货交易市场、证券/期货交易所交易时间变更或其他特殊情况，基金管理人将视情况对前述开放日及开放时间进行相应的调整，但应在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2、申购、赎回开始日及业务办理时间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本基金A类基金份额已于2020年11月30日起开放申购、赎回业务。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本基金C类基金份额已于2021年9月29日起开放申购、赎回业务。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基金合同约定之外的日期或者时间办理基金份额的申购、赎回或者转换。投资人在基金合同约定之外的日期和时间提出申购、赎回或转换申请且登记机构确认接受的，其基金份额申购、赎回或转换价格为下一开放日基金份额申购、赎回或转换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（三）申购与赎回的原则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3、当日的场外申购与赎回申请可以在基金管理人规定的时间以内撤销，但申请经登记机构受理的不得撤销；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场外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5、办理申购、赎回业务时，应当遵循基金份额持有人利益优先原则，确保投资者的合法权益不受损害并得到公平对待。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6、投资人办理基金份额的场外申购、赎回应使用开放式基金账户，办理基金份额的场内申购、赎回应使用深圳证券账户；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投资人通过深圳证券交易所交易系统办理本基金的场内申购、赎回业务时，需遵守深圳证券交易所和中国证券登记结算有限责任公司的相关业务规则。若相关法律法规、中国证监会、深圳证券交易所或中国证券登记结算有限责任公司对场内申购、赎回业务规则有新的规定，按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基金管理人可在法律法规允许的情况下，对上述原则进行调整。基金管理人必须在新规则开始实施前依照《信息披露办法》的有关规定在规定媒介上公告。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场外申购时，除基金管理人之外的场外销售机构每个账户单笔申购的最低金额为单笔1元（含申购费），如果销售机构业务规则规定的最低单笔申购金额高于1元，以销售机构的规定为准。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机构首次申购的最低金额为单笔100万元，追加申购的最低金额为单笔10万元；已在直销机构有认购或申购过本基金管理人管理的任一基金（包括本基金）记录的投资人不受首次申购最低金额的限制。通过基金管理人网上直销交易平台办理基金申购业务的不受直销机构单笔申购最低金额的限制，申购最低金额为单笔1元。本基金直销机构单笔申购最低金额可由基金管理人酌情调整。其他销售机构接受申购申请的最低金额为单笔1元，如果销售机构业务规则规定的最低单笔申购金额高于1元，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场内申购时，每笔申购金额最低为1元（含申购费）。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赎回的最低份额为1份基金份额，如果销售机构业务规则规定的最低单笔赎回份额高于1份，以该销售机构的规定为准。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3、最低基金份额余额的限制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投资人在单个交易账户保留的本基金份额余额少于1份时，若当日该账户同时有基金份额减少类业务（如赎回、转换出等）被确认，则基金管理人有权将投资人在该账户保留的本基金份额一次性全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5、对于场内申购、赎回及持有场内本基金份额的数量限制，深圳证券交易所和中国证券登记结算有限责任公司的相关业务规则有规定的，从其最新规定办理。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6、基金管理人可在法律法规允许的情况下，调整上述规定申购金额和赎回份额的数量限制。基金管理人必须在调整实施前依照《信息披露办法》的有关规定在规定媒介上公告。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必须根据销售机构规定的程序，在开放日的具体业务办理时间内提出申购或赎回的申请。投资人在提交申购申请时须按销售机构规定的方式备足申购资金，投资人在提交赎回申请时须持有足够的基金份额余额，否则所提交的申购、赎回申请不成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投资人申购基金份额时，必须全额交付申购款项，若申购资金在规定时间内未全额到账则申购不成立。投资人全额交付申购款项，申购成立；基金登记机构确认基金份额时，申购生效。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递交赎回申请，赎回成立；基金登记机构确认赎回时，赎回生效。投资者赎回申请生效后，基金管理人将在T＋7日（包括该日）内支付赎回款项。在发生巨额赎回或基金合同载明的其他暂停赎回或延缓支付赎回款项的情形时，款项的支付办法参照基金合同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管理人委托的登记机构应以交易时间结束前受理有效申购和赎回申请的当天作为申购或赎回申请日（T日），在正常情况下，本基金登记机构在T+1日（包括该日）内对该交易的有效性进行确认。T日提交的有效申请，投资人应在T+2日后（包括该日）及时到销售网点柜台或以销售机构规定的其他方式查询申请的确认情况。若申购不成功，则申购款项本金退还给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基金管理人可在法律法规允许的范围内，依法对上述申购和赎回申请的确认时间进行调整，并必须在调整实施日前按照《信息披露办法》的有关规定在规定媒介上公告。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4、申购和赎回的登记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（1）投资人T日申购基金成功后，正常情况下，登记机构在T＋1日为投资人增加权益并办理登记手续，投资人自T＋2日起（包括该日）有权赎回该部分基金份额。投资人应及时查询有关申请的确认情况。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（2）投资人T日赎回基金成功后，正常情况下，登记机构在T＋1日为投资人扣除权益并办理相应的登记手续。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（3）基金管理人可在法律法规允许的范围内，对上述登记办理时间进行调整，并于开始实施前按照《信息披露办法》的有关规定在规定媒介上公告。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本基金基金份额分为A类基金份额和C类基金份额。投资人申购A类基金份额在申购时支付申购费用；申购C类基金份额不支付申购费用，并从该类别基金资产中计提销售服务费。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本基金A类基金份额的申购费用由申购A类基金份额的基金申购人承担，不列入基金财产，主要用于本基金的市场推广、销售、登记等各项费用。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投资人可以多次申购本基金，申购费用按每笔申购申请单独计算。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本基金A类基金份额（非养老金客户）的场外申购费率如下：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A类基金份额场外申购费率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本基金A类基金份额的场内申购费率由场内销售机构参照上表场外申购费率设定。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持有A类基金份额的投资人因红利自动再投资而产生的A类基金份额，不收取相应的申购费用。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本基金对通过基金管理人直销柜台申购A类基金份额的养老金客户实施特定申购费率。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1）全国社会保障基金；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2）可以投资基金的地方社会保障基金；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3）企业年金单一计划以及集合计划；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4）企业年金理事会委托的特定客户资产管理计划；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5）企业年金养老金产品。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如将来出现经养老基金监管部门认可的新的养老基金类型，基金管理人可在招募说明书更新或发布临时公告将其纳入养老金客户范围。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通过基金管理人直销柜台申购A类基金份额的养老金客户特定场外申购费率如下表：</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A类基金份额特定场外申购费率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本基金A类基金份额和C类基金份额的赎回费用由赎回该类基金份额的基金份额持有人承担，在基金份额持有人赎回基金份额时收取。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持续持有期少于7日的基金份额持有人收取1.5%的赎回费并全额计入基金财产；对持续持有期大于等于7日的基金份额持有人，应当将赎回费总额的25%归入基金财产，未归入基金财产的部分用于支付登记费和其他必要的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（1）本基金A类基金份额的赎回费率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本基金A类基金份额的场外赎回费率如下：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A类基金份额场外赎回费率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7日（含）—1年（含）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1年—2年（含）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2年以上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上表中的“年”指的是365个自然日。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本基金A类基金份额的场内赎回费率如下：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A类基金份额场内赎回费率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（2）本基金C类基金份额的赎回费率如下：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C类基金份额赎回费率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3、基金管理人可以在基金合同约定的范围内调整费率或收费方式，并最迟应于新的费率或收费方式实施日前依照《信息披露办法》的有关规定在规定媒介上公告。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4、当本基金发生大额申购或赎回情形时，基金管理人可以采用摆动定价机制，以确保基金估值的公平性。具体处理原则与操作规范遵循相关法律法规以及监管部门、自律规则的规定。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办理场内申购、赎回业务应遵守深圳证券交易所及中国证券登记结算有限责任公司的有关业务规则。若相关法律法规、中国证监会、深圳证券交易所或中国证券登记结算有限责任公司对场内申购、赎回业务规则有新的规定，基金合同相应予以修改，并按照新规定执行，且此项修改无需召开基金份额持有人大会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以在不违背法律法规规定及基金合同约定的情况下根据市场情况制定基金促销计划，针对投资人定期和不定期地开展基金促销活动。在基金促销活动期间，基金管理人可以按中国证监会要求履行必要手续后，对投资人适当调低基金销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A类基金份额或C类基金份额的有效份额为净申购金额除以当日该类基金份额的基金份额净值，有效份额单位为份，场外申购份额计算结果按四舍五入方法，保留到小数点后2位，由此产生的收益或损失由基金财产承担。场内申购份额计算结果先按四舍五入的原则保留到小数点后2位，再按截位法保留到整数位，小数部分对应的剩余金额退还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金额为按实际确认的A类基金份额和C类基金份额有效赎回份额乘以当日该类基金份额的基金份额净值并扣除相应的费用（如有），赎回金额单位为元。赎回金额计算结果按四舍五入方法，保留到小数点后2位，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（注：对于适用固定金额申购费用的申购，申购费用＝固定申购费用金额）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申购份额=（申购总金额-申购费用）/T日A类基金份额净值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例一：某投资者（非养老金客户）投资40,000元场外申购本基金A类基金份额，假设申购当日A类基金份额净值为1.0400元，申购费率为1.2%，则其可得到的申购份额为：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申购总金额＝40,000元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净申购金额=40,000/（1+1.2%）=39,525.69元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申购费用=40,000-39,525.69=474.31元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申购份额=（40,000-474.31）/1.0400=38,005.47份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即：该投资者（非养老金客户）投资40,000元场外申购本基金A类基金份额，假设申购当日A类基金份额净值为1.0400元，则其可得到38,005.47份A类基金份额。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例二：某投资者（非养老金客户）投资40,000元场内申购本基金A类基金份额，假设申购当日A类基金份额净值为1.0400元，申购费率为1.2%，则其可得到的申购份额为：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申购总金额＝40,000元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净申购金额=40,000/（1+1.2%）=39,525.69元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申购费用=40,000-39,525.69=474.31元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申购份额=（40,000-474.31）/1.0400=38,005.47份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因场内份额保留至整数份，故投资者申购所得份额为38,005份，小数部分对应的剩余金额退还投资者。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实际净申购金额=38,005*1.0400=39,525.20元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退还金额=40,000-39,525.20-474.31=0.49元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即：该投资者（非养老金客户）投资40,000元场内申购本基金A类基金份额，假设申购当日A类基金份额净值为1.0400元，则其可得到38,005份A类基金份额。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例三：某养老金客户投资100,000元通过基金管理人的直销柜台申购本基金A类，假设申购当日A类基金份额净值为1.0400元，申购费率为0.24%，则其可得到的申购份额为：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净申购金额=100,000/（1+0.24%）=99,760.57元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申购费用=100,000-99,760.57=239.43元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申购份额=（100,000-239.43）/1.0400=95,923.63份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即：该养老金客户投资100,000元通过基金管理人的直销柜台申购本基金A类基金份额，假设申购当日A类基金份额净值为1.0400元，则其可得到95,923.63份A类基金份额。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如果投资者选择申购C类基金份额，则申购份额的计算方法如下：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申购份额=申购总金额/T日C类基金份额净值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例四：某投资者投资100,000元申购本基金的C类基金份额，假设申购当日C类基金份额净值为1.0400元，则其可得到的申购份额为：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申购份额＝100,000/1.0400＝96,153.85份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即：投资者投资100,000元申购本基金的C类基金份额，假设申购当日C类基金份额净值为1.0400元，则其可得到96,153.85份C类基金份额。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投资者赎回A类基金份额，赎回金额的计算方法如下：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赎回费用=赎回份额×T日A类基金份额净值×赎回费率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赎回金额=赎回份额×T日A类基金份额净值-赎回费用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例五：某投资者在场外赎回持有的50,000份A类基金份额，持有期限为1.5年，对应的赎回费率为0.2%，假设赎回当日A类基金份额净值是1.0160元，则其可得到的赎回金额为：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 = 50,000×1.0160×0.2%＝101.60元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 = 50,000×1.0160-101.60＝50,698.40元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即：投资者在场外赎回50,000份A类基金份额，对应的赎回费率为0.2%，假设赎回当日A类基金份额净值是1.0160元，则其可得到的赎回金额为50,698.40元。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例六：某投资者在场内赎回持有的50,000份A类基金份额，持有期限为1.5年，对应的赎回费率固定值为0.5%，假设赎回当日A类基金份额净值是1.0160元，则其可得到的赎回金额为：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 = 50,000×1.0160×0.5%＝254.00元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 = 50,000×1.0160-254.00＝50,546.00元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即：投资者在场内赎回50,000份A类基金份额，对应的赎回费率为0.5%，假设赎回当日A类基金份额净值是1.0160元，则其可得到的赎回金额为50,546.00元。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（2）C类基金份额的赎回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投资者赎回C类基金份额，赎回金额的计算方法如下：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赎回费用=赎回份额×T日C类基金份额净值×赎回费率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赎回金额=赎回份额×T日C类基金份额净值-赎回费用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例七：某投资者赎回100,000份C类基金份额，持有期限为20日，对应的赎回费率为0，假设赎回当日C类基金份额净值是1.0160元，则其可得到的赎回金额为：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赎回费用=100,000×1.0160×0%＝0.00元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赎回金额=100,000×1.0160-0＝101,600.00元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即：投资者赎回100,000份C类基金份额，持有期限为20日，对应的赎回费率为0，假设赎回当日C类基金份额净值是1.0160元，则其可得到的赎回金额为101,600.00元。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A类基金份额净值＝A类基金份额的基金资产净值总额/发行在外的A类基金份额总数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T日的基金份额净值在当天收市后计算，并在T＋1日（包括该日）内公告。遇特殊情况，经履行适当程序，可以适当延迟计算或公告。本基金A类基金份额和C类基金份额的基金份额净值的计算，均保留到小数点后4位，小数点后第5位四舍五入，由此产生的收益或损失由基金财产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（八）拒绝或暂停申购的情形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发生下列情况时，基金管理人可拒绝或暂停接受投资人的申购申请：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4、接受某笔或某些申购申请可能会影响或损害现有基金份额持有人利益时。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5、基金资产规模过大，使基金管理人无法找到合适的投资品种，或其他可能对基金业绩产生负面影响，或发生其他损害现有基金份额持有人利益的情形。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7、基金管理人接受某笔或者某些申购申请有可能导致单一投资者持有基金份额的比例超过50%，或者变相规避50%集中度的。出现上述情形时，基金管理人有权将上述申购申请全部或部分确认失败。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8、指数编制单位或指数发布机构因异常情况使指数数据无法正常计算、计算错误或发布异常时。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b w:val="0"/>
          <w:bCs/>
          <w:szCs w:val="24"/>
        </w:rPr>
      </w:pPr>
      <w:r>
        <w:rPr>
          <w:rFonts w:hint="eastAsia" w:ascii="宋体" w:hAnsi="宋体"/>
          <w:b w:val="0"/>
          <w:bCs/>
          <w:kern w:val="0"/>
          <w:sz w:val="24"/>
        </w:rPr>
        <w:t>发生上述第1、2、3、5、6、8、9项暂停申购情形之一且基金管理人决定暂停接受投资人申购申请时，基金管理人应当根据有关规定在规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（九）暂停赎回或延缓支付赎回款项的情形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3、证券、期货交易所交易时间非正常停市，导致基金管理人无法计算当日基金资产净值。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4、连续两个或两个以上开放日发生巨额赎回。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5、发生继续接受赎回申请将损害现有基金份额持有人利益的情形时，基金管理人可暂停接受基金份额持有人的赎回申请。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当前一估值日基金资产净值50%以上的资产出现无可参考的活跃市场价格且采用估值技术仍导致公允价值存在重大不确定性时，经与基金托管人协商确认后，基金管理人应当延缓支付赎回款项或暂停接受基金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7、指数编制单位或指数发布机构因异常情况使指数数据无法正常计算、计算错误或发布异常时。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8、法律法规规定、中国证监会认定或基金合同约定的其他情形。</w:t>
      </w:r>
    </w:p>
    <w:p>
      <w:pPr>
        <w:autoSpaceDE w:val="0"/>
        <w:autoSpaceDN w:val="0"/>
        <w:adjustRightInd w:val="0"/>
        <w:snapToGrid w:val="0"/>
        <w:spacing w:after="0" w:line="360" w:lineRule="auto"/>
        <w:ind w:firstLine="480" w:firstLineChars="200"/>
        <w:jc w:val="left"/>
        <w:rPr>
          <w:rFonts w:ascii="宋体" w:hAnsi="宋体"/>
          <w:b w:val="0"/>
          <w:bCs/>
          <w:szCs w:val="24"/>
        </w:rPr>
      </w:pPr>
      <w:r>
        <w:rPr>
          <w:rFonts w:hint="eastAsia" w:ascii="宋体" w:hAnsi="宋体"/>
          <w:b w:val="0"/>
          <w:bCs/>
          <w:kern w:val="0"/>
          <w:sz w:val="24"/>
        </w:rPr>
        <w:t>发生上述情形之一且基金管理人决定暂停接受基金份额持有人的赎回申请或延缓支付赎回款项时，基金管理人应及时报中国证监会备案，已确认的赎回申请，基金管理人应足额支付；如暂时不能足额支付，对于场外的赎回申请，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对于场内赎回部分，按照深圳证券交易所及中国证券登记结算有限责任公司的有关规定办理。在暂停赎回的情况消除时，基金管理人应及时恢复赎回业务的办理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2、巨额赎回的场外处理方式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3、当出现巨额赎回时，场内赎回申请按照深圳证券交易所相应规则进行处理；基金转换中转出份额的申请的处理方式遵照相关的业务规则及届时开展转换业务的公告。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4、巨额赎回的公告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当发生上述巨额赎回并延期办理时，基金管理人应当通过邮寄、传真或者通知销售机构代为告知等方式在3个交易日内通知基金份额持有人，说明有关处理方法，并在两日内在规定媒介上刊登公告。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1、发生上述暂停申购或赎回情况的，基金管理人应在规定期限内在规定媒介上刊登暂停公告。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2、如发生暂停的时间为1日，基金管理人应于重新开放日，在规定媒介上刊登基金重新开放申购或赎回公告，并公布最近1个开放日各类基金份额的基金份额净值。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发生暂停的时间超过1日，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（十三）基金的转托管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1、基金份额的登记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份额采用分系统登记的原则。场外申购的本基金基金份额，登记在注册登记系统中基金份额持有人的开放式基金账户下；场内申购或上市交易买入的本基金基金份额，登记在证券登记结算系统基金份额持有人深圳证券账户下。登记在证券登记结算系统中的基金份额既可以在深圳证券交易所上市交易，也可以直接申请场内赎回。登记在注册登记系统基金账户下的基金份额可申请场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2、系统内转托管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（1）系统内转托管是指基金份额持有人将持有的基金份额在注册登记系统内不同销售机构之间，或在证券登记结算系统内不同会员单位（交易单元）之间进行转登记的行为。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（2）基金份额登记在注册登记系统的基金份额持有人在变更办理基金份额场外赎回业务的销售机构时，需办理已持有基金份额的系统内转托管。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登记在证券登记结算系统的基金份额持有人在变更办理基金份额场内赎回的会员单位（交易单元）、或变更办理基金份额上市交易的会员单位（交易单元）时，需办理已持有基金份额的系统内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3、跨系统转托管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（1）跨系统转托管是指基金份额持有人将持有的A类基金份额在注册登记系统和证券登记结算系统之间进行转登记的行为。除经基金管理人另行公告，C类基金份额不能进行跨系统转托管。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（2）本基金跨系统转托管具体业务按照中国证券登记结算有限责任公司及深圳证券交易所的相关规定办理。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（十四）定期定额投资计划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本基金2021年12月11日刊登公告自2021年12月14日起开通定期定额投资计划业务，具体开通销售机构名单和业务规则参见相关公告。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（十五）基金份额的冻结和解冻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（十六）基金份额的转让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（十七）其他业务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不违反法律法规及中国证监会规定的前提下，基金管理人可在对基金份额持有人利益无实质性不利影响的情形下，办理基金份额的质押业务或其他基金业务，基金管理人可制定相应的业务规则，并依照《信息披露办法》的有关规定进行公告。</w:t>
      </w:r>
    </w:p>
    <w:p>
      <w:pPr>
        <w:pStyle w:val="2"/>
        <w:snapToGrid w:val="0"/>
        <w:spacing w:before="240" w:beforeLines="0" w:after="0"/>
        <w:rPr>
          <w:rFonts w:ascii="宋体" w:hAnsi="宋体"/>
          <w:szCs w:val="30"/>
        </w:rPr>
      </w:pPr>
      <w:r>
        <w:br w:type="page"/>
      </w:r>
      <w:bookmarkStart w:id="20" w:name="_Toc256000009"/>
      <w:bookmarkStart w:id="21" w:name="_Toc256000035"/>
      <w:r>
        <w:rPr>
          <w:rFonts w:ascii="宋体" w:hAnsi="宋体"/>
          <w:sz w:val="30"/>
        </w:rPr>
        <w:t>九、基金的转换</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是指开放式基金份额持有人将其持有某只基金的部分或全部份额转换为同一基金管理人管理的另一只开放式基金份额。基金转换只能在同一销售机构进行。转换的两只基金必须都是该销售机构代理的同一基金管理人管理的、在同一注册登记机构处注册登记的、同一收费模式的开放式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（二）转换业务办理时间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本基金2024年1月24日刊登公告自2024年1月26日起开放场外份额的日常转换业务。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本基金转换业务具体开通销售机构名单参见相关公告。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（三）基金转换的程序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1、申请方式：书面申请或销售机构公布的其他方式。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2、基金转换申请的确认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（四）基金转换的数额限制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2、转出基金的赎回费用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用按照各基金最新的更新招募说明书及相关公告规定的赎回费率和计费方式收取，赎回费用按一定比例归入基金财产（收取标准遵循各基金最新的更新招募说明书相关规定），其余部分用于支付注册登记费等相关手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4、后端收费模式下转出与转入基金的申购补差费用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5、网上直销的申购补差费率优惠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6、本基金管理人可以根据法律法规及基金合同的规定对上述转换费用收费方式和费率进行调整，并应于调整后的收费方式和费率实施前依照《信息披露办法》的有关规定在中国证监会规定媒介上公告。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（六）基金转换份额的计算公式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1、前端收费模式下基金转换份额的计算公式及举例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转出确认金额=100,000×1.0100=101,000元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转出基金的赎回费=101,000×0.5%=505元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转入确认金额=101,000-505=100,495元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转出与转入基金的申购补差费=100,495×0/（1+0）=0元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转入基金确认份额=（100,495-0）/2.2700=44,270.93份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转出确认金额=1,000,000×1.0200=1,020,000元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转出基金的赎回费=1,020,000×0.05%=510元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转入确认金额=1,020,000-510=1,019,490元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转出与转入基金的申购补差费=1,019,490×0.5%/（1+0.5%）=5,072.09元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转入基金确认份额=（1,019,490-5,072.09）/1.0100=1,004,374.17份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转出与转入基金的申购补差费=125,000×1.5%/（1+1.5%）=1,847.29元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转入基金确认份额=（125,000-1,847.29）/2.2700=54,252.30份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转出与转入基金的申购补差费=100,000×0.8%/（1+0.8%）=793.65元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转入基金确认份额=（100,000-793.65+61.52）/1.2700=78,163.68份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2、后端收费模式下基金转换份额的计算公式及举例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转入基金确认份额=（124,750-0）/2.2700=54,955.95份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转出与转入基金的申购补差费=124,750×1.2%=1497元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转入基金确认份额=（124,750-1497）/1.00=123,253.00份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转出确认金额=100,000×0.8500=85,000元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转出基金的赎回费=85,000×0=0元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转入确认金额=85,000-0=85,000元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转出与转入基金的申购补差费=85,000×0.2%=170元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转入基金确认份额=（85,000-170）/1.0500=80,790.48份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八：某投资者持有交银货币A类基金份额100,000份，该100,000份基金份额未结转的待支付收益为61.52元，转换申请当日交银增利B类基金份额净值为1.2700元，交银货币的基金份额净值为1.00元。若该投资者将100,000份交银货币A类基金份额转换为交银增利B类基金份额，则转入确认的交银增利B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转入基金确认份额=（100,000-0+61.52）/1.2700=78,788.60份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转换只能在同一销售机构进行。转换的两只基金必须都是该销售机构销售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只能在相同收费模式下进行基金转换。前端收费模式的开放式基金只能转换到前端收费模式的其他基金，后端收费模式的基金只能转换到后端收费模式的其他基金。交银货币、债券基金C类基金份额与其他基金之间的转换不受上述收费模式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（八）暂停基金转换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视同为转出基金的赎回和转入基金的申购，因此有关转出基金和转入基金关于暂停或拒绝申购、暂停赎回的有关规定也一般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个开放日，基金净赎回申请份额（该基金赎回申请总份额加上基金转换中转出申请总份额扣除申购申请总份额及基金转换中转入申请总份额后的余额）超过上一日基金总份额的10%时，为巨额赎回。发生巨额赎回时，基金转出与基金赎回具有相同的优先级，本基金管理人可根据基金资产组合情况，决定全额转出或部分转出，并且对于基金转出和基金赎回，将采取相同的比例确认。在转出申请得到部分确认的情况下，未确认的转出申请将自动予以撤销，不再视为下一开放日的基金转换申请。</w:t>
      </w:r>
    </w:p>
    <w:p>
      <w:pPr>
        <w:pStyle w:val="2"/>
        <w:snapToGrid w:val="0"/>
        <w:spacing w:before="240" w:beforeLines="0" w:after="0"/>
        <w:rPr>
          <w:rFonts w:ascii="宋体" w:hAnsi="宋体"/>
          <w:szCs w:val="30"/>
        </w:rPr>
      </w:pPr>
      <w:r>
        <w:br w:type="page"/>
      </w:r>
      <w:bookmarkStart w:id="22" w:name="_Toc256000036"/>
      <w:bookmarkStart w:id="23" w:name="_Toc256000010"/>
      <w:r>
        <w:rPr>
          <w:rFonts w:ascii="宋体" w:hAnsi="宋体"/>
          <w:sz w:val="30"/>
        </w:rPr>
        <w:t>十、基金的投资</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本基金采用指数化投资，紧密跟踪标的指数，追求跟踪偏离度与跟踪误差最小化。本基金力争控制本基金日均跟踪偏离度的绝对值不超过0.35%，年跟踪误差不超过4%。</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具有良好流动性的金融工具，以国证新能源指数的成份股（含存托凭证）及其备选成份股(含中小板、创业板及其他经中国证监会核准或注册上市的股票、存托凭证)为主要投资对象。为更好地实现投资目标，本基金也可少量投资于其他股票(非标的指数成份股（含存托凭证）及其备选成份股（含存托凭证）)、债券、中期票据、货币市场工具、债券回购、资产支持证券、股指期货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基金的投资组合比例为：本基金的股票资产（含存托凭证）投资比例不低于基金资产的 90%，本基金投资于国证新能源指数的成份股（含存托凭证）及其备选成份股（含存托凭证）的比例不低于非现金基金资产的90%，每个交易日日终在扣除股指期货合约需缴纳的交易保证金以后，持有现金或到期日在一年以内的政府债券的比例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指数型基金，绝大部分资产采用完全复制标的指数的方法跟踪标的指数，即按照国证新能源指数中的成份股组成及其权重构建股票投资组合，并根据标的指数成份股及其权重的变动进行相应调整。当预期成份股发生调整和成份股发生配股、增发、分红等行为时，或因基金的申购和赎回等对本基金跟踪标的指数的效果可能带来影响时，或因某些特殊情况导致成份股流动性不足时，或其他原因导致无法有效复制和跟踪标的指数时，基金管理人可以对投资组合管理进行适当变通和调整，从而使得投资组合紧密地跟踪标的指数。在正常市场情况下，力争控制本基金日均跟踪偏离度的绝对值不超过0.35%，年跟踪误差不超过4%。如因指数编制规则调整或其他因素导致跟踪偏离度和跟踪误差超过上述范围，基金管理人应采取合理措施避免跟踪偏离度、跟踪误差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本基金的股票资产投资比例不低于基金资产的 90%，本基金投资于国证新能源指数的成份股及其备选成份股的比例不低于非现金基金资产的90%，其余资产可投资于其他股票（非标的指数成份股及其备选成份股）、债券、中期票据、货币市场工具、债券回购、资产支持证券、股指期货以及法律法规或中国证监会批准的允许基金投资的其它金融工具（但须符合中国证监会相关规定），其目的是在保证基金资产流动性的前提下，有效利用基金资产，更好地实现跟踪标的指数的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本基金投资存托凭证的策略依照境内上市交易的股票投资策略执行。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股指期货将根据风险管理的原则，以套期保值为目的，主要选择流动性好、交易活跃的股指期货合约。在建仓期或者出现大量净申购或净赎回的情况时，本基金将使用股指期货来进行流动性风险管理。本基金力争利用股指期货的杠杆作用，降低股票仓位频繁调整的交易成本和跟踪误差，达到有效跟踪标的指数的目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针对股指期货交易制订严格的授权管理制度和投资决策流程，确保研究分析、投资决策、交易执行及风险控制各环节的独立运作，并明确相关岗位职责。此外，基金管理人建立股指期货交易决策部门或小组，并授权特定的管理人员负责股指期货的投资审批事项。</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1、组合限制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（1）本基金的股票资产（含存托凭证）投资比例不低于基金资产的90%，本基金投资于国证新能源指数的成份股（含存托凭证）及其备选成份股（含存托凭证）的比例不低于非现金基金资产的90%；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（2）本基金每个交易日日终在扣除股指期货合约需缴纳的交易保证金后，保持不低于基金资产净值5％的现金或者到期日在一年以内的政府债券，其中现金不包括结算备付金、存出保证金、应收申购款等；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（9）本基金进入全国银行间同业市场进行债券回购的资金余额不得超过基金资产净值的40%，进入全国银行间同业市场进行债券回购的最长期限为1年，债券回购到期后不得展期；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在任何交易日日终，持有的买入股指期货合约价值与有价证券市值之和,不得超过基金资产净值的100%。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（11）本基金的基金资产总值不得超过基金资产净值的140%；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2）、（7）、（12）、（13）项外，因证券、期货市场波动、证券发行人合并、基金规模变动、标的指数成份股调整、标的指数成份股流动性限制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（2）违反规定向他人贷款或者提供担保；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（7）法律、行政法规和中国证监会规定禁止的其他活动。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如法律、行政法规或监管部门取消上述规定，如适用于本基金，基金管理人在履行适当程序后，本基金可不受上述规定的限制。</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国证新能源指数收益率×95%＋银行活期存款利率（税后）×5%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本基金的标的指数为国证新能源指数。国证新能源指数是由深圳证券信息有限公司编制，代表性和可投资性受到市场认可。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本基金每个交易日日终在扣除股指期货合约需缴纳的交易保证金后，投资于现金或者到期日在一年以内的政府债券不低于基金资产净值的5%，因此本基金业绩比较基准中同时加入了5%的银行活期存款利率(税后)。本基金管理人认为，该业绩比较基准目前能够忠实地反映本基金的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未来若出现标的指数不符合要求（不包括因成份股价格波动等指数编制方法变动之外的因素致使标的指数不符合要求的情形）、指数编制机构退出等情形，基金管理人应当自该情形发生之日起十个工作日内向中国证监会报告并提出解决方案，如更换基金标的指数、转换运作方式，与其他基金合并或者终止基金合同等，并在6个月内召集基金份额持有人大会进行表决，基金份额持有人大会未成功召开或就上述事项表决未通过的，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自指数编制机构停止标的指数的编制及发布至解决方案确定期间，基金管理人应按照指数编制机构提供的最近一个交易日的指数信息遵循基金份额持有人利益优先原则维持基金投资运作。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若基金标的指数发生变更，基金业绩比较基准随之变更，由基金管理人根据标的指数变更情形履行对应适当程序，并在调整实施前依照《信息披露办法》的有关规定在中国证监会指定媒介上刊登公告。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股票型基金，其预期风险与预期收益高于混合型基金、债券型基金和货币市场基金。本基金为指数型基金，主要采用组合复制策略跟踪标的指数，具有与标的指数以及标的指数所代表的股票市场相似的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（七）基金管理人代表基金行使股东或债权人权利的处理原则及方法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1、基金管理人按照国家有关规定代表基金独立行使股东或债权人权利，保护基金份额持有人的利益；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基金托管人中国建设银行股份有限公司根据本基金合同约定，于2026年07月17日复核了本报告中的财务指标、净值表现和投资组合报告等内容，保证复核内容不存在虚假记载、误导性陈述或者重大遗漏。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253,866,996.54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92.41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253,866,996.54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92.41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19,998,074.40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856,814.98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274,721,885.92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报告期末指数投资按行业分类的境内股票投资组合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229,377,078.36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84.99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15,988,955.16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5.92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7,121,111.10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916,340.40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0.34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253,403,485.02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93.90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报告期末积极投资按行业分类的境内股票投资组合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行业类别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农、林、牧、渔业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采矿业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制造业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461,928.06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D</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电力、热力、燃气及水生产和供应业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E</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建筑业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F</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批发和零售业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G</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交通运输、仓储和邮政业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1,583.46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H</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住宿和餐饮业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I</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信息传输、软件和信息技术服务业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J</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K</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房地产业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L</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租赁和商务服务业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M</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科学研究和技术服务业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N</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水利、环境和公共设施管理业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O</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居民服务、修理和其他服务业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P</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教育</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Q</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卫生和社会工作</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R</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文化、体育和娱乐业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S</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综合</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463,511.52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0.17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 报告期末按行业分类的港股通投资股票投资组合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报告期末指数投资按公允价值占基金资产净值比例大小排序的前十名股票投资明细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300750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宁德时代</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93,717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36,831,718.17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300274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阳光电源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129,856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20,649,701.12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7.65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002594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比亚迪</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222,657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17,745,762.90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6.58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600487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亨通光电</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159,261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17,413,597.74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6.45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300124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汇川技术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176,259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11,691,259.47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4.33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300014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亿纬锂能</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125,385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8,153,786.55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600549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厦门钨业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88,700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7,557,240.00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600406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XD国电南</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311,646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7,121,111.10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601012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隆基绿能</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541,116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7,099,441.92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2.63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603799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华友钴业</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135,372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6,533,052.72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2.42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 报告期末积极投资按公允价值占基金资产净值比例大小排序的前五名股票投资明细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688808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联讯仪器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72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114,071.76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688820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盛合晶微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414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58,576.86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688797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C臻宝</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51,085.03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688635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长进光子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39,448.32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688785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恒运昌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38,441.45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9、报告期末本基金投资的股指期货交易情况说明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报告期末本基金投资的股指期货持仓和损益明细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本基金投资股指期货的投资政策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报告期内本基金投资的前十名证券的发行主体未被监管部门立案调查，在本报告编制日前一年内本基金投资的前十名证券的发行主体未受到公开谴责和处罚。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21,550.84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533,028.99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302,235.15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856,814.98</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11.5 报告期末股票中存在流通受限情况的说明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报告期末指数投资前十名股票中存在流通受限情况的说明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报告期末积极投资前五名股票中存在流通受限情况的说明</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股票名称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流通受限部分的公允价值（元）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流通受限情况</w:t>
            </w:r>
            <w:r>
              <w:rPr>
                <w:rFonts w:ascii="宋体" w:hAnsi="宋体"/>
                <w:color w:val="000000"/>
                <w:kern w:val="0"/>
                <w:sz w:val="24"/>
                <w:szCs w:val="24"/>
              </w:rPr>
              <w:br w:type="textWrapping"/>
            </w:r>
            <w:r>
              <w:rPr>
                <w:rFonts w:ascii="宋体" w:hAnsi="宋体"/>
                <w:color w:val="000000"/>
                <w:kern w:val="0"/>
                <w:sz w:val="24"/>
                <w:szCs w:val="24"/>
              </w:rPr>
              <w:t>说明</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688808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联讯仪器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114,071.76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688820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盛合晶微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58,576.86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688797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C臻宝</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51,085.03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688635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长进光子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39,448.32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688785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恒运昌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38,441.45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限售股</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4" w:name="_Toc256000011"/>
      <w:bookmarkStart w:id="25" w:name="_Toc256000037"/>
      <w:r>
        <w:rPr>
          <w:rFonts w:ascii="宋体" w:hAnsi="宋体"/>
          <w:sz w:val="30"/>
        </w:rPr>
        <w:t>十一、基金的业绩</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（1）交银国证新能源指数（LOF）A</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29.01%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27.50%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8.53%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6.47%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-28.62%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-30.31%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-24.66%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39.20%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37.11%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2.20%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2020年度</w:t>
            </w:r>
            <w:r>
              <w:rPr>
                <w:rFonts w:hint="eastAsia" w:ascii="宋体" w:hAnsi="宋体"/>
                <w:color w:val="000000"/>
                <w:kern w:val="0"/>
                <w:sz w:val="25"/>
                <w:szCs w:val="24"/>
              </w:rPr>
              <w:t>（自基金合同生效起至2020年12月31日）</w:t>
            </w:r>
            <w:bookmarkStart w:id="54" w:name="_GoBack"/>
            <w:bookmarkEnd w:id="54"/>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12.88%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12.57%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（2）交银国证新能源指数（LOF）C</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28.76%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27.50%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8.32%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6.47%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-28.77%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-30.31%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-24.66%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2021年度（自基金合同生效起至2021年12月31日）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1.79%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5.02%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1.81%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1、交银施罗德国证新能源指数分级证券投资基金从2020年11月30日起正式转型为交银施罗德国证新能源指数证券投资基金（LOF），本表列示的是基金转型后的基金净值表现，转型后基金的业绩比较基准为国证新能源指数收益率×95%＋银行活期存款利率（税后）×5%，每日进行再平衡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2、交银国证新能源指数（LOF）C上述“自基金合同生效”实际为“自基金份额类别首次确认”，下同。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交银施罗德国证新能源指数证券投资基金（LOF）</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(2020年11月30日至2026年06月30日)</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（1）交银国证新能源指数（LOF）A</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6" o:spt="75" type="#_x0000_t75" style="height:268.25pt;width:439.5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（2）交银国证新能源指数（LOF）C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7" o:spt="75" type="#_x0000_t75" style="height:268.25pt;width:439.5pt;" filled="f" o:preferrelative="t" stroked="f" coordsize="21600,21600">
            <v:path/>
            <v:fill on="f" focussize="0,0"/>
            <v:stroke on="f" joinstyle="miter"/>
            <v:imagedata r:id="rId17"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1、本基金由交银施罗德国证新能源指数分级证券投资基金转型而来。基金转型日为2020年11月30日。本基金建仓期为自基金合同生效日起的6个月。截至建仓期结束，本基金各项资产配置比例符合基金合同及招募说明书有关投资比例的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2、本基金自2021年9月29日起，开始销售C类份额，投资者提交的申购申请于2021年9月30日被确认并将有效份额登记在册。</w:t>
      </w:r>
    </w:p>
    <w:p>
      <w:pPr>
        <w:pStyle w:val="2"/>
        <w:snapToGrid w:val="0"/>
        <w:spacing w:before="240" w:beforeLines="0" w:after="0"/>
        <w:rPr>
          <w:rFonts w:ascii="宋体" w:hAnsi="宋体"/>
          <w:szCs w:val="30"/>
        </w:rPr>
      </w:pPr>
      <w:r>
        <w:br w:type="page"/>
      </w:r>
      <w:bookmarkStart w:id="26" w:name="_Toc256000038"/>
      <w:bookmarkStart w:id="27" w:name="_Toc256000012"/>
      <w:r>
        <w:rPr>
          <w:rFonts w:ascii="宋体" w:hAnsi="宋体"/>
          <w:sz w:val="30"/>
        </w:rPr>
        <w:t>十二、基金的财产</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基金资产总值是指基金拥有的各类有价证券、股指期货合约、银行存款本息、基金应收申购款及其他资产的价值总和。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（四）基金财产的保管和处分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非因基金财产本身承担的债务，不得对基金财产强制执行。</w:t>
      </w:r>
    </w:p>
    <w:p>
      <w:pPr>
        <w:pStyle w:val="2"/>
        <w:snapToGrid w:val="0"/>
        <w:spacing w:before="240" w:beforeLines="0" w:after="0"/>
        <w:rPr>
          <w:rFonts w:ascii="宋体" w:hAnsi="宋体"/>
          <w:szCs w:val="30"/>
        </w:rPr>
      </w:pPr>
      <w:r>
        <w:br w:type="page"/>
      </w:r>
      <w:bookmarkStart w:id="28" w:name="_Toc256000039"/>
      <w:bookmarkStart w:id="29" w:name="_Toc256000013"/>
      <w:r>
        <w:rPr>
          <w:rFonts w:ascii="宋体" w:hAnsi="宋体"/>
          <w:sz w:val="30"/>
        </w:rPr>
        <w:t>十三、基金资产的估值</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基金所拥有的股票、债券、衍生工具和其他投资等持续以公允价值计量的金融资产及负债。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（三）估值原则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基金管理人在确定相关金融资产和金融负债的公允价值时，应符合《企业会计准则》、监管部门有关规定。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3、如经济环境发生重大变化或证券发行人发生影响证券价格的重大事件，使潜在估值调整对前一估值日的基金资产净值的影响在0.25%以上的，应对估值进行调整并确定公允价值。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上市的有价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（2）交易所上市交易或挂牌转让的固定收益品种（另有规定的除外），选取估值日第三方估值机构提供的相应品种当日的估值净价进行估值；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交易所上市交易的可转换债券，按估值日收盘价减去可转换债券收盘价中所含债券（税后）应收利息后得到的净价进行估值；估值日没有交易的，且最近交易日后经济环境未发生重大变化，按最近交易日债券收盘价减去可转换债券收盘价中所含债券（税后）应收利息后得到的净价进行估值。如最近交易日后经济环境发生了重大变化的，可参考类似投资品种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（4）交易所上市实行全价交易的债券（可转债除外），选取第三方估值机构提供的估值全价减去估值全价中所含的债券（税后）应收利息得到的净价进行估值；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（5）交易所上市不存在活跃市场的有价证券，采用估值技术确定公允价值。交易所市场挂牌转让的资产支持证券，采用估值技术确定公允价值；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在交易所市场发行未上市或未挂牌转让的债券，对存在活跃市场的情况下，应以活跃市场上未经调整的报价作为估值日的公允价值；对于活跃市场报价未能代表估值日公允价值的情况下，应对市场报价进行调整以确认估值日的公允价值；对于不存在市场活动或市场活动很少的情况下，应采用估值技术确定其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（7）本基金投资存托凭证的估值核算依照境内上市交易的股票执行。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2、处于未上市期间的有价证券应区分如下情况处理：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（1）送股、转增股、配股和公开增发的新股，按估值日在证券交易所挂牌的同一股票的估值方法估值；该日无交易的，以最近一日的市价（收盘价）估值；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（2）首次公开发行未上市的股票和债券，采用估值技术确定公允价值，在估值技术难以可靠计量公允价值的情况下，按成本估值；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发行时明确一定期限限售期的股票，包括但不限于非公开发行股票、首次公开发行股票时公司股东公开发售股份、通过大宗交易取得的带限售期的股票等，不包括停牌、新发行未上市、回购交易中的质押券等流通受限股票，按监管机构或行业协会有关规定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全国银行间市场上不含权的固定收益品种，按照第三方估值机构提供的相应品种当日的估值净价估值。对银行间市场上含权的固定收益品种，按照第三方估值机构提供的相应品种当日的唯一估值净价或推荐估值净价估值。对于含投资人回售权的固定收益品种，回售登记期截止日（含当日）后未行使回售权的按照长待偿期所对应的价格进行估值。对银行间市场未上市，且第三方估值机构未提供估值价格的债券，在发行利率与二级市场利率不存在明显差异，未上市期间市场利率没有发生大的变动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4、本基金投资股指期货合约，一般以估值当日结算价进行估值，估值当日无结算价的，且最近交易日后经济环境未发生重大变化的，采用最近交易日结算价估值。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6、当发生大额申购或赎回情形时，基金管理人可以采用摆动定价机制，以确保基金估值的公平性。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净值信息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各类基金份额的基金份额净值是按照每个工作日闭市后，该类基金份额的基金资产净值除以当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基金管理人于每个工作日计算各类基金份额的基金资产净值及基金份额净值，并按规定公告。如遇特殊情况，经履行适当程序，可以适当延迟计算或公告。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工作日对基金资产估值。但基金管理人根据法律法规或基金合同的规定暂停估值时除外。基金管理人每个工作日对基金资产估值后，将各类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基金管理人和基金托管人将采取必要、适当、合理的措施确保基金资产估值的准确性、及时性。当任一类基金份额净值小数点后4位以内（含第4位）发生估值错误时，视为该类基金份额净值错误。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不可抗力原因造成投资人的交易资料灭失或被错误处理或造成其他错误等，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（4）估值错误调整采用尽量恢复至假设未发生估值错误的正确情形的方式。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（5）按法律法规规定的其他原则处理估值错误。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4、基金份额净值估值错误处理的方法如下：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（2）错误偏差达到该类基金份额净值的0.25%时，基金管理人应当通报基金托管人并报中国证监会备案；错误偏差达到该类基金份额净值的0.5%时，基金管理人应当公告，并报中国证监会备案。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（3）前述内容如法律法规或监管机关另有规定的，从其规定处理。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1、基金投资所涉及的证券、期货交易市场遇法定节假日或因其他原因暂停营业时；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3、当前一估值日基金资产净值50%以上的资产出现无可参考的活跃市场价格且采用估值技术仍导致公允价值存在重大不确定性时，经与基金托管人协商确认后，基金管理人应当暂停估值；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4、法律法规、中国证监会和基金合同认定的其它情形。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（八）基金净值的确认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类基金份额的基金资产净值和基金份额净值由基金管理人负责计算，基金托管人负责进行复核。基金管理人应于每个开放日交易结束后计算当日各类基金份额的基金资产净值和基金份额净值并发送给基金托管人。基金托管人对净值计算结果复核确认后发送给基金管理人，由基金管理人依据基金合同和相关法律法规的规定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1、基金管理人或基金托管人按估值方法的第5项进行估值时，所造成的误差不作为基金资产估值错误处理。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不可抗力原因，或由于证券、期货交易所、证券经纪机构、期货公司及登记结算公司发送的数据错误，或国家会计政策变更、市场规则变更等，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pPr>
        <w:pStyle w:val="2"/>
        <w:snapToGrid w:val="0"/>
        <w:spacing w:before="240" w:beforeLines="0" w:after="0"/>
        <w:rPr>
          <w:rFonts w:ascii="宋体" w:hAnsi="宋体"/>
          <w:szCs w:val="30"/>
        </w:rPr>
      </w:pPr>
      <w:r>
        <w:br w:type="page"/>
      </w:r>
      <w:bookmarkStart w:id="30" w:name="_Toc256000040"/>
      <w:bookmarkStart w:id="31" w:name="_Toc256000014"/>
      <w:r>
        <w:rPr>
          <w:rFonts w:ascii="宋体" w:hAnsi="宋体"/>
          <w:sz w:val="30"/>
        </w:rPr>
        <w:t>十四、基金收益与分配</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（一）基金利润的构成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（二）基金可供分配利润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1、在符合有关基金分红条件的前提下，本基金管理人可以根据实际情况进行收益分配，具体分配方案以公告为准；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场外收益分配方式分两种：现金分红与红利再投资，投资者可选择现金红利或将现金红利自动转为相应类别的基金份额进行再投资；若投资者不选择，本基金默认的收益分配方式是现金分红；基金份额持有人可对其持有的A类基金份额和C类基金份额分别选择不同的收益分配方式；场内基金份额具体收益分配程序等有关事项遵循深圳证券交易所及登记机构的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3、基金收益分配后任一类基金份额净值不能低于面值；即基金收益分配基准日的任一类基金份额净值减去每单位该类基金份额收益分配金额后不能低于面值；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4、由于本基金A类基金份额不收取销售服务费，C类基金份额收取销售服务费，各基金份额类别对应的可供分配利润将有所不同；本基金同一基金份额类别的每一基金份额享有同等分配权；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本基金收益分配方案由基金管理人拟定，并由基金托管人复核，依照《信息披露办法》的规定在规定媒介公告。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场外份额，基金收益分配时所发生的银行转账或其他手续费用由投资者自行承担。当投资者的现金红利小于一定金额，不足以支付银行转账或其他手续费用时，基金登记机构可将基金份额持有人的现金红利自动转为相应类别的基金份额。红利再投资的计算方法，依照《业务规则》执行。对于场内份额，现金分红的计算方法等有关事项遵循深圳证券交易所及中国证券登记结算有限责任公司的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（七）收益分配方式的修改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投资人可至销售机构办理收益分配方式的修改，投资人对本基金不同的交易账户可设置不同的收益分配方式。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投资人同一日多次申报收益分配方式变更的，按照《业务规则》执行，最终确认的收益分配方式以登记机构记录为准。</w:t>
      </w:r>
    </w:p>
    <w:p>
      <w:pPr>
        <w:pStyle w:val="2"/>
        <w:snapToGrid w:val="0"/>
        <w:spacing w:before="240" w:beforeLines="0" w:after="0"/>
        <w:rPr>
          <w:rFonts w:ascii="宋体" w:hAnsi="宋体"/>
          <w:szCs w:val="30"/>
        </w:rPr>
      </w:pPr>
      <w:r>
        <w:br w:type="page"/>
      </w:r>
      <w:bookmarkStart w:id="32" w:name="_Toc256000041"/>
      <w:bookmarkStart w:id="33" w:name="_Toc256000015"/>
      <w:r>
        <w:rPr>
          <w:rFonts w:ascii="宋体" w:hAnsi="宋体"/>
          <w:sz w:val="30"/>
        </w:rPr>
        <w:t>十五、基金的费用与税收</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3、基金上市初费及上市年费；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4、《基金合同》生效后与基金相关的信息披露费用；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5、《基金合同》生效后与基金相关的会计师费、律师费、仲裁费和诉讼费；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7、基金的证券、期货交易费用；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8、基金的银行汇划费用；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9、基金的开户费用、账户维护费用；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10、本基金从C类基金份额的基金财产中计提的销售服务费；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本基金的管理费按前一日基金资产净值的1.0%年费率计提。管理费的计算方法如下：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H＝E×年管理费率÷当年天数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自基金合同生效日起，基金管理费每日计提，按月支付。由基金托管人根据与基金管理人核对一致的财务数据，自动在月初5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本基金的托管费按前一日基金资产净值的0.2%年费率计提。托管费的计算方法如下：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H＝E×年托管费率÷当年天数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自基金合同生效日起，基金托管费每日计提，按月支付。由基金托管人根据与基金管理人核对一致的财务数据，自动在月初5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（3）C类基金份额的销售服务费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本基金A类基金份额不收取销售服务费，C类基金份额的销售服务费按前一日C类基金资产净值的0.2%年费率计提。计算方法如下：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H＝E×0.2%÷当年天数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H为C类基金份额每日应计提的销售服务费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E为C类基金份额前一日基金资产净值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销售服务费每日计提，按月支付。由基金托管人根据与基金管理人核对一致的财务数据，自动在月初5个工作日内、按照指定的账户路径进行资金支付，基金管理人无需再出具资金划拨指令。若遇法定节假日、休息日或不可抗力致使无法按时支付的，支付日期顺延。费用自动扣划后，基金管理人应进行核对，如发现数据不符，及时联系基金托管人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C类基金份额的销售服务费将专门用于本基金的市场推广、销售与基金份额持有人服务。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（4）上述“（一）基金费用的种类”中第3－9项、第11项费用，根据有关法规及相应协议规定，按费用实际支出金额列入当期费用，由基金托管人从基金财产中支付。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下列费用不列入基金费用：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2、基金管理人和基金托管人处理与基金运作无关的事项发生的费用；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3、《交银施罗德国证新能源指数分级证券投资基金基金合同》生效前的相关费用；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4、标的指数许可使用费。标的指数许可使用费由基金管理人承担，不得从基金财产中列支；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5、其他根据相关法律法规及中国证监会的有关规定不得列入基金费用的项目。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本基金运作过程中涉及的各纳税主体，其纳税义务按国家税收法律、法规执行。基金财产投资的相关税收，由基金份额持有人承担，基金管理人或者其他扣缴义务人按照国家有关税收征收的规定代扣代缴。</w:t>
      </w:r>
    </w:p>
    <w:p>
      <w:pPr>
        <w:pStyle w:val="2"/>
        <w:snapToGrid w:val="0"/>
        <w:spacing w:before="240" w:beforeLines="0" w:after="0"/>
        <w:rPr>
          <w:rFonts w:ascii="宋体" w:hAnsi="宋体"/>
          <w:szCs w:val="30"/>
        </w:rPr>
      </w:pPr>
      <w:r>
        <w:br w:type="page"/>
      </w:r>
      <w:bookmarkStart w:id="34" w:name="_Toc256000042"/>
      <w:bookmarkStart w:id="35" w:name="_Toc256000016"/>
      <w:r>
        <w:rPr>
          <w:rFonts w:ascii="宋体" w:hAnsi="宋体"/>
          <w:sz w:val="30"/>
        </w:rPr>
        <w:t>十六、基金的会计与审计</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1、基金管理人为本基金的基金会计责任方；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2、基金的会计年度为公历年度的1月1日至12月31日；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6、基金管理人及基金托管人各自保留完整的会计账目、凭证并进行日常的会计核算，按照有关规定编制基金会计报表；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7、基金托管人每月与基金管理人就基金的会计核算、报表编制等进行核对并以书面方式确认。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（二）基金的年度审计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1、基金管理人聘请与基金管理人、基金托管人相互独立的符合《中华人民共和国证券法》规定的会计师事务所及其注册会计师对本基金的年度财务报表进行审计。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3、基金管理人认为有充足理由更换会计师事务所，须通报基金托管人。更换会计师事务所需依照《信息披露办法》的规定在规定媒介公告。</w:t>
      </w:r>
    </w:p>
    <w:p>
      <w:pPr>
        <w:pStyle w:val="2"/>
        <w:snapToGrid w:val="0"/>
        <w:spacing w:before="240" w:beforeLines="0" w:after="0"/>
        <w:rPr>
          <w:rFonts w:ascii="宋体" w:hAnsi="宋体"/>
          <w:szCs w:val="30"/>
        </w:rPr>
      </w:pPr>
      <w:r>
        <w:br w:type="page"/>
      </w:r>
      <w:bookmarkStart w:id="36" w:name="_Toc256000017"/>
      <w:bookmarkStart w:id="37" w:name="_Toc256000043"/>
      <w:r>
        <w:rPr>
          <w:rFonts w:ascii="宋体" w:hAnsi="宋体"/>
          <w:sz w:val="30"/>
        </w:rPr>
        <w:t>十七、基金的信息披露</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（一）本基金的信息披露应符合《基金法》、《运作办法》、《信息披露办法》、《流动性风险管理规定》、《基金合同》及其他有关规定。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（二）信息披露义务人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本基金信息披露义务人包括基金管理人、基金托管人、召集基金份额持有人大会的基金份额持有人等法律、行政法规和中国证监会规定的自然人、法人和非法人组织。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国证监会变更注册后，并在本基金正式实施转型前，基金管理人按照《信息披露办法》的规定，将基金招募说明书提示性公告和《基金合同》提示性公告登载在规定报刊上，将基金招募说明书、基金产品资料概要、《基金合同》和基金托管协议登载在规定网站上，并将基金产品资料概要登载在基金销售机构网站或营业网点；基金托管人应当同时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2、上市交易公告书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基金份额获准在深圳证券交易所上市交易的，基金管理人应当在基金份额上市交易3个工作日前，将基金份额上市交易公告书登载在规定网站上，并将上市交易公告书提示性公告登载在规定报刊上。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《基金合同》生效后，在开始办理基金份额申购或者赎回前，基金管理人应当至少每周在规定网站分别披露一次A类基金份额和C类基金份额所对应的基金份额净值和基金份额累计净值。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的次日，通过规定网站、基金销售机构网站或者营业网点分别披露开放日的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基金管理人应当在不晚于半年度和年度最后一日的次日，在规定网站披露半年度和年度最后一日A类基金份额和C类基金份额所对应的基金份额净值和基金份额累计净值。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规定网站上，并将年度报告提示性公告登载在规定报刊上。基金年度报告中的财务会计报告应当经过符合《中华人民共和国证券法》规定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基金管理人应当在上半年结束之日起两个月内，编制完成基金中期报告，将中期报告登载在规定网站上，并将中期报告提示性公告登载在规定报刊上。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基金管理人应当在季度结束之日起15个工作日内，编制完成基金季度报告，将季度报告登载在规定网站上，并将季度报告提示性公告登载在规定报刊上。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本基金发生重大事件，有关信息披露义务人应当依照《信息披露办法》的规定编制临时报告书，并登载在规定报刊和规定网站上。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（14）管理费、托管费、销售服务费、申购费、赎回费等费用计提标准、计提方式和费率发生变更；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（15）任一类基金份额净值计价错误达该类基金份额净值百分之零点五；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（21）基金管理人采用摆动定价机制进行估值；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（22）基金份额停牌、复牌、暂停上市、恢复上市或终止上市交易；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（23）本基金增加或调整基金份额类别；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（24）本基金推出新业务或服务；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（25）《基金合同》生效后，本基金连续30、40、45个工作日出现基金份额持有人数量不满200人或者基金资产净值低于5000万元情形，基金管理人应当发布提示性公告；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（26）基金信息披露义务人认为可能对基金份额持有人权益或者基金份额的价格产生重大影响的其他事项或中国证监会规定和基金合同约定的其他事项。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基金上市交易的证券交易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事由出现的，基金管理人应当依法组织清算小组对基金财产进行清算并作出清算报告。清算报告应当经过符合《中华人民共和国证券法》规定的会计师事务所审计，并由律师事务所出具法律意见书。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10、基金投资资产支持证券情况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基金管理人应在基金年度报告及中期报告中披露其持有的资产支持证券总额、资产支持证券市值占基金净资产的比例和报告期末所有的资产支持证券明细。基金管理人应在基金季度报告中披露其持有的资产支持证券总额、资产支持证券市值占基金净资产的比例和报告期末按市值占基金净资产比例大小排序的前10名资产支持证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11、基金投资股指期货情况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股指期货，基金管理人需按照法规要求在季度报告、中期报告、年度报告等定期报告和招募说明书（更新）等文件中披露股指期货交易情况，包括投资政策、持仓情况、损益情况、风险指标等，并充分揭示股指期货交易对基金总体风险的影响以及是否符合既定的投资政策和投资目标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基金信息披露义务人公开披露基金信息，应当符合中国证监会相关基金信息披露内容与格式准则等法规的规定。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各类基金份额净值、基金份额申购赎回价格、基金定期报告、更新的招募说明书、基金产品资料概要、基金清算报告等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基金管理人、基金托管人应当在规定报刊中选择一家报刊披露本基金信息。基金管理人、基金托管人应当向中国证监会基金电子披露网站报送拟披露的基金信息，并保证相关报送信息的真实、准确、完整、及时。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规定媒介上披露信息外，还可以根据需要在其他公共媒介披露信息，但是其他公共媒介不得早于规定媒介、基金上市交易的证券交易所网站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依法必须披露的信息发布后，基金管理人、基金托管人应当按照相关法律法规规定将信息置备于各自办公场所、基金上市交易的证券交易所网站，供社会公众查阅、复制。</w:t>
      </w:r>
    </w:p>
    <w:p>
      <w:pPr>
        <w:pStyle w:val="2"/>
        <w:snapToGrid w:val="0"/>
        <w:spacing w:before="240" w:beforeLines="0" w:after="0"/>
        <w:rPr>
          <w:rFonts w:ascii="宋体" w:hAnsi="宋体"/>
          <w:szCs w:val="30"/>
        </w:rPr>
      </w:pPr>
      <w:r>
        <w:br w:type="page"/>
      </w:r>
      <w:bookmarkStart w:id="38" w:name="_Toc256000018"/>
      <w:bookmarkStart w:id="39" w:name="_Toc256000044"/>
      <w:r>
        <w:rPr>
          <w:rFonts w:ascii="宋体" w:hAnsi="宋体"/>
          <w:sz w:val="30"/>
        </w:rPr>
        <w:t>十八、风险揭示</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人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开放日基金的净赎回申请（赎回申请份额总数加上基金转换中转出申请份额总数后扣除申购申请份额总数及基金转换中转入申请份额总数后的余额）超过上一开放日基金总份额的百分之十时，投资人将可能无法及时赎回持有的全部基金份额。基金分为股票型基金、混合型基金、债券型基金、货币市场基金等不同类型，投资人投资不同类型的基金将获得不同的收益预期，也将承担不同程度的风险。一般来说，基金的收益预期越高，投资人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投资人应当认真阅读《基金合同》、《招募说明书》等基金法律文件，了解基金的风险收益特征，并根据自身的投资目的、投资期限、投资经验、资产状况等判断基金是否和投资人的风险承受能力相适应。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应当充分了解基金定期定额投资和零存整取等储蓄方式的区别。定期定额投资是引导投资人进行长期投资、平均投资成本的一种简单易行的投资方式。但是定期定额投资并不能规避基金投资所固有的风险，不能保证投资人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分红等行为导致基金份额净值变化，不会改变基金的风险收益特征，不会降低基金投资风险或提高基金投资收益。以1元初始面值开展基金募集或因拆分、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谨慎勤勉的原则管理和运用基金资产，但不保证投资于本基金一定盈利，也不保证最低收益。基金管理人管理的其他基金的业绩不构成对本基金业绩表现的保证。基金管理人提醒投资人基金投资的“买者自负”原则，在做出投资决策后，基金运营状况与基金净值变化引致的投资风险，由投资人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证券市场价格因受到经济因素、政治因素、投资心理和交易制度等各种因素的影响而引起的波动，将对基金收益水平产生潜在风险，主要包括：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基金投资于债券和债券回购，其收益水平会受到利率变化和货币市场供求状况的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市公司经营风险。上市公司的经营状况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属于开放式基金，在基金的所有开放日，基金管理人都有义务接受投资人的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同时本基金基于分散投资的原则在行业和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巨额赎回的场外处理方式：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（3）本基金如发生巨额赎回且单个开放日内单个基金份额持有人申请赎回的基金份额超过前一开放日的基金总份额的20%时，本基金管理人有权采取如下措施：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当日超过20%的赎回申请，可以对其赎回申请延期办理。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该类基金份额的基金份额净值为基础计算赎回金额，以此类推，直到全部赎回为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基金份额持有人未超过上述比例的部分，基金管理人可以根据前段“（1）全额赎回”或“（2）部分延期赎回”的约定方式与其他基金份额持有人的赎回申请一并办理。但是，如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暂停赎回：连续2个开放日以上（含本数）发生巨额赎回，如基金管理人认为有必要，可暂停接受基金的赎回申请；已经接受的赎回申请可以延缓支付赎回款项，但不得超过20个工作日，并应当在规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场内赎回申请按照深圳证券交易所相应规则进行处理。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场外巨额赎回申请（场内赎回申请按照深圳证券交易所相应规则进行处理）、暂停接受赎回申请、延缓支付赎回款项、收取短期赎回费、摆动定价、暂停基金估值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（四）信用风险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基金在交易过程中发生交收违约，或者基金所投资债券之发行人出现违约、拒绝支付到期本息，都可能导致基金资产损失和收益变化，从而产生风险。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（五）本基金投资策略所特有的指数化投资风险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1、标的指数回报与股票市场平均回报偏离的风险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标的指数并不能完全代表整个股票市场。标的指数成份股的平均回报率与整个股票市场的平均回报率可能存在偏离。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2、标的指数波动的风险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标的指数成份股的价格可能受到政治因素、经济因素、上市公司经营状况、投资人心理和交易制度等各种因素的影响而波动，导致指数波动，从而使基金收益水平发生变化，产生风险。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3、基金投资组合回报与标的指数回报偏离的风险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以下因素可能使基金投资组合的收益率与标的指数的收益率发生偏离：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（1）由于标的指数调整成份股或变更编制方法，使本基金在相应的组合调整中产生跟踪偏离度与跟踪误差。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（2）由于标的指数成份股发生配股、增发等行为导致成份股在标的指数中的权重发生变化，使本基金在相应的组合调整中产生跟踪偏离度和跟踪误差。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（3）标的指数成份股派发现金红利、新股市值配售收益将导致基金收益率超过标的指数收益率，产生正的跟踪偏离度。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（4）由于标的指数成份股停牌、摘牌或流动性差等原因使本基金无法及时调整投资组合或承担冲击成本而产生跟踪偏离度和跟踪误差。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（5）因法律法规的限制或其他限制，本基金可能不能投资于部分标的指数成份股。在使用替代方法，如投资同行业中相关性较高的股票以替代上述投资受限股票时，会产生一定的跟踪偏离度和跟踪误差。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（6）基金有投资成本、各种费用及税收，而指数编制不考虑费用和税收，这将导致基金收益率落后于标的指数收益率，产生负的跟踪偏离度。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（7）在本基金指数化投资过程中，基金管理人的管理能力，例如跟踪指数的水平、技术手段、买入卖出的时机选择等，都会对本基金的收益产生影响，从而影响本基金对标的指数的跟踪程度。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其他因素产生的偏离。如因受到最低买入股数的限制，基金投资组合中个别股票的持有比例与标的指数中该股票的权重可能不完全相同；因缺乏卖空、对冲机制及其他工具造成的指数跟踪成本较大；因基金申购与赎回带来的现金变动；因指数发布机构指数编制错误等，由此产生跟踪偏离度与跟踪误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4、标的指数变更的风险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尽管可能性很小，但根据基金合同规定，如出现变更标的指数的情形，本基金将变更标的指数。基于原标的指数的投资政策将会改变，投资组合将随之调整，基金的收益风险特征将与新的标的指数保持一致，投资人须承担此项调整带来的风险与成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5、跟踪误差控制未达约定目标的风险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本基金力争控制本基金日均跟踪偏离度的绝对值不超过0.35%，年跟踪误差不超过4%。但因标的指数编制规则调整或其他因素可能导致跟踪误差超过上述范围，本基金净值表现与指数价格走势可能发生较大偏离。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6、指数编制机构停止服务的风险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标的指数由指数编制机构发布并管理和维护，未来指数编制机构可能由于各种原因停止对指数的管理和维护，本基金将根据基金合同的约定自该情形发生之日起十个工作日内向中国证监会报告并提出解决方案，如更换基金标的指数、转换运作方式，与其他基金合并或者终止基金合同等，并在6个月内召集基金份额持有人大会进行表决，基金份额持有人大会未成功召开或就上述事项表决未通过的，基金合同终止。投资人将面临更换基金标的指数、转换运作方式，与其他基金合并或者终止基金合同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自指数编制机构停止标的指数的编制及发布至解决方案确定期间，基金管理人应按照指数编制机构提供的最近一个交易日的指数信息遵循基金份额持有人利益优先原则维持基金投资运作，该期间由于标的指数不再更新等原因可能导致指数表现与相关市场表现存在差异，影响投资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7、成份股停牌的风险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标的指数成份股可能因各种原因临时或长期停牌，发生成份股停牌时可能面临如下风险：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（1）基金可能因无法及时调整投资组合而导致跟踪偏离度和跟踪误差扩大。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（2）若成份股停牌时间较长，在约定时间内仍未能及时买入或卖出的，由此可能影响投资者的投资损益并使基金产生跟踪偏离度和跟踪误差。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极端情况下，标的指数成份股可能大面积停牌，基金可能无法及时卖出成份股以获取足额的符合要求的赎回款项，由此基金管理人可能采取暂停赎回的措施，投资者将面临无法赎回全部或部分基金份额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当标的指数成份股发生明显负面事件面临退市，且指数编制机构暂未作出调整的，基金管理人应当按照持有人利益优先的原则，履行内部决策程序后及时对相关成份股进行调整，可能影响投资者的投资损益并使基金产生跟踪偏离度和跟踪误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（六）本基金的特有风险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1、基金上市交易的风险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在符合相关法律法规要求的前提下将申请在深圳证券交易所挂牌上市，由于上市期间可能因信息披露导致基金停牌，投资者在停牌期间不能买卖本基金上市交易份额，产生风险；同时，可能因上市后交易对手不足而产生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2、基金份额二级市场交易价格折溢价的风险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尽管本基金将通过有效的套利机制使A类基金份额二级市场交易价格的折溢价控制在一定范围内，但A类基金份额在证券交易所的交易价格受诸多因素影响，存在不同于A类基金份额的基金份额净值的情形，即存在价格折溢价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因本基金A类基金份额不再符合证券交易所上市条件被终止上市，或被基金份额持有人大会决议提前终止上市，导致A类基金份额不能继续进行二级市场交易的风险。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4、本基金为股票型基金，投资于国证新能源指数成份股（含存托凭证）及其备选成份股（含存托凭证）的比例不低于非现金基金资产的90%，因投资权益类资产而面临权益类资产市场的系统性风险和个股风险；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5、基金合同提前终止风险。连续50个工作日出现基金份额持有人数量不满200人或者基金资产净值低于5000万元情形的，基金管理人提前终止基金合同，不需召开基金份额持有人大会。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6、本基金可投资创业板股票，创业板个股上市后的前五个交易日不设价格涨跌幅限制，第六个交易日开始涨跌幅限制比例为20%。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（七）投资股指期货的特定风险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于股指期货，股指期货作为一种金融衍生品，其价值取决于一种或多种基础资产或指数，其评价主要源自于对挂钩资产的价格与价格波动的预期。投资股指期货所面临的风险主要是市场风险、流动性风险、基差风险、保证金风险、信用风险和操作风险。具体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（1）市场风险是指由于股指期货价格变动而给投资者带来的风险。市场风险是股指期货投资中最主要的风险。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（2）流动性风险是指由于股指期货合约无法及时变现所带来的风险。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（3）基差风险是指股指期货合约价格和指数价格之间的价格差的波动所造成的风险，以及不同股指期货合约价格之间价格差的波动所造成的期现价差风险。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（4）保证金风险是指由于无法及时筹措资金满足建立或者维持股指期货合约头寸所要求的保证金而带来的风险。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（5）信用风险是指期货经纪公司违约而产生损失的风险。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（6）操作风险是指由于内部流程的不完善，业务人员出现差错或者疏漏，或者系统出现故障等原因造成损失的风险。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此外，由于衍生品通常具有杠杆效应，价格波动比标的工具更为剧烈，并且其定价相当复杂，不适当的估值也有可能使基金资产面临损失风险。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（八）投资资产支持证券的特定风险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（九）投资流通受限证券的特定风险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（十）投资科创板股票的特定风险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集中来自新一代信息技术、高端装备、新材料、新能源、节能环保及生物医药等高新技术和战略新兴产业领域。大多数企业为初创型公司，企业未来盈利、现金流、估值均存在不确定性，与传统二级市场投资存在差异，整体投资难度加大，个股市场风险加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科创板个股上市后的前五个交易日无涨跌停限制，其后涨跌幅限制为20%，科创板股票上市首日即可作为融资融券标的，可能导致较大的股票价格波动。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科创板整体投资门槛较高，二级市场上个人投资者参与度相对较低，机构持有个股大量流通盘导致个股流动性较差，基金组合存在无法及时变现及其他相关流动性风险。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（3）退市风险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科创板退市制度较主板更为严格，且不再设置暂停上市、恢复上市和重新上市环节，上市公司退市风险更大。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（4）系统性风险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科创板企业均为市场认可度较高的科技创新企业，在企业经营及盈利模式上存在趋同，所以科创板个股相关性较高，市场表现不佳时，系统性风险将更为显著。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（5）政策风险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国家对高新技术产业扶持力度及重视程度的变化会对科创板企业带来较大影响，国际经济形势变化对战略新兴产业及科创板个股也会带来政策影响。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（十一）投资存托凭证的特定风险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本基金可根据投资策略需要或市场环境的变化，选择将部分基金资产投资于存托凭证或选择不将基金资产投资于存托凭证，基金资产并非必然投资存托凭证。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（十二）本基金法律文件风险收益特征表述与销售机构基金风险评价可能不一致的风险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（十三）其他风险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0" w:name="_Toc256000019"/>
      <w:bookmarkStart w:id="41" w:name="_Toc256000045"/>
      <w:r>
        <w:rPr>
          <w:rFonts w:ascii="宋体" w:hAnsi="宋体"/>
          <w:sz w:val="30"/>
        </w:rPr>
        <w:t>十九、基金合同的变更、终止与基金财产的清算</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3、连续50个工作日出现基金份额持有人数量不满200人或者基金资产净值低于5000万元情形的，基金管理人提前终止《基金合同》，不需召开基金份额持有人大会；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pStyle w:val="2"/>
        <w:snapToGrid w:val="0"/>
        <w:spacing w:before="240" w:beforeLines="0" w:after="0"/>
        <w:rPr>
          <w:rFonts w:ascii="宋体" w:hAnsi="宋体"/>
          <w:szCs w:val="30"/>
        </w:rPr>
      </w:pPr>
      <w:r>
        <w:br w:type="page"/>
      </w:r>
      <w:bookmarkStart w:id="42" w:name="_Toc256000046"/>
      <w:bookmarkStart w:id="43" w:name="_Toc256000020"/>
      <w:r>
        <w:rPr>
          <w:rFonts w:ascii="宋体" w:hAnsi="宋体"/>
          <w:sz w:val="30"/>
        </w:rPr>
        <w:t>二十、基金合同内容摘要</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（一）基金份额持有人、基金管理人和基金托管人的权利与义务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（5）按照规定召集基金份额持有人大会；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（8）选择、更换基金销售机构，对基金销售机构的相关行为进行监督和处理；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（10）依据《基金合同》及有关法律规定决定基金收益的分配方案；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（11）在《基金合同》约定的范围内，拒绝或暂停受理申购与赎回申请；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（15）选择、更换律师事务所、会计师事务所、证券经纪商、期货经纪机构或其他为基金提供服务的外部机构；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（16）在符合有关法律、法规的前提下，制定和调整有关基金申购、赎回、转换等的业务规则；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（1）依法募集资金，办理或者委托经中国证监会认定的其他机构办理基金份额的销售、申购、赎回和登记事宜；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（3）自《基金合同》生效之日起，以诚实信用、谨慎勤勉的原则管理和运用基金财产；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（4）根据相关市场规则，为基金开设资金账户、证券账户等投资所需账户、为基金办理证券、期货交易资金清算；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（5）提议召开或召集基金份额持有人大会；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（6）按规定开设基金财产的资金账户和证券账户等投资所需账户，按照《基金合同》的约定，根据基金管理人的投资指令，及时办理清算、交割事宜；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（8）复核、审查基金管理人计算的基金资产净值、各类基金份额净值、基金份额申购、赎回价格；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（11）保存基金托管业务活动的记录、账册、报表和其他相关资料15年以上；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（16）按照法律法规和《基金合同》的规定监督基金管理人的投资运作；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持有本基金基金份额的行为即视为对《基金合同》的承认和接受，基金投资者自依据《基金合同》取得本基金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同一类别的每份基金份额具有同等的合法权益。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（3）依法并按照基金合同和招募说明书的规定转让或者申请赎回其持有的基金份额；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（4）按照规定要求召开基金份额持有人大会或者召集基金份额持有人大会；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（8）对基金管理人、基金托管人、基金服务机构损害其合法权益的行为依法提起诉讼或仲裁；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（1）认真阅读并遵守《基金合同》、招募说明书等信息披露文件；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（2）了解所投资基金产品，了解自身风险承受能力，自主判断基金的投资价值，自主做出投资决策，自行承担投资风险；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（3）关注基金信息披露，及时行使权利和履行义务；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（4）交纳基金申购款项及法律法规和《基金合同》所规定的费用；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（5）在其持有的基金份额范围内，承担基金亏损或者《基金合同》终止的有限责任；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（6）不从事任何有损基金及其他《基金合同》当事人合法权益的活动；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（8）返还在基金交易过程中因任何原因获得的不当得利；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（9）遵守基金管理人、基金托管人、深圳证券交易所、销售机构和登记机构的相关交易及业务规则；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（二）基金份额持有人大会召集、议事及表决的程序和规则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本基金份额持有人大会不设日常机构。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（1）当出现或需要决定下列事由之一的，应当召开基金份额持有人大会，法律法规、基金合同和中国证监会另有规定的除外：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5）调整基金管理人、基金托管人的报酬标准或提高销售服务费率；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10）基金管理人或基金托管人要求召开基金份额持有人大会；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12）对基金合同当事人权利和义务产生重大影响的其他事项；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13）终止基金份额上市，但因基金不再具备上市条件而被深圳证券交易所终止上市的、以及基金合同另有约定的除外；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（2）在法律法规规定和《基金合同》约定的范围内且对基金份额持有人利益无实质性不利影响的前提下，以下情况可由基金管理人和基金托管人协商后修改，不需召开基金份额持有人大会：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1）法律法规要求增加的基金费用的收取；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2）在法律法规和《基金合同》规定的范围内调整本基金的申购费率、调低赎回费率及销售服务费率、在对现有基金份额持有人利益无实质性不利影响的前提下变更收费方式；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3）因相应的法律法规、深圳证券交易所或登记机构的相关业务规则发生变动而应当对《基金合同》进行修改；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4）对《基金合同》的修改对基金份额持有人利益无实质性不利影响或修改不涉及《基金合同》当事人权利义务关系发生重大变化；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5）在法律法规允许的情况下，且在对现有基金份额持有人利益无实质性不利影响的前提下，基金推出新业务或服务；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6）在符合法律法规及本基金合同规定、并且对基金份额持有人利益无实质不利影响的前提下，调整本基金份额类别的设置；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7）在不违反法律法规及对基金份额持有人利益无实质性不利影响的前提下，基金管理人、登记机构、销售机构调整有关基金申购、赎回、转换、收益分配、非交易过户、转托管、上市交易等业务的规则；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8）标的指数调整指数编制方法，以及变更业绩比较基准；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9）根据基金管理人与标的指数提供商签订的相应指数使用许可协议变更标的指数许可使用费费率和计费方式；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10）按照法律法规和《基金合同》规定不需召开基金份额持有人大会的其他情形。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并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（1）召开基金份额持有人大会，召集人应于会议召开前30日，在规定媒介公告。基金份额持有人大会通知应至少载明以下内容：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2）会议拟审议的事项、议事程序和表决方式；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基金份额持有人大会可通过现场开会方式、通讯开会方式或法律法规、监管机构允许的其他方式召开，会议的召开方式由会议召集人确定。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益登记日持有基金份额的凭证显示，有效的基金份额不少于本基金在权益登记日基金总份额的二分之一（含二分之一）。若到会者在权益登记日代表的有效的基金份额少于本基金在权益登记日基金总份额的二分之一，召集人可以在原公告的基金份额持有人大会召开时间的3个月以后、6个月以内，就原定审议事项重新召集基金份额持有人大会。重新召集的基金份额持有人大会到会者在权益登记日代表的有效的基金份额应不少于本基金在权益登记日基金总份额的三分之一（含三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（2）通讯开会。通讯开会系指基金份额持有人将其对表决事项的投票以会议通知载明的形式或基金合同约定的其他方式在表决截止日以前送达至召集人指定的地址或系统。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表决意见或授权他人代表出具表决意见的，基金份额持有人所持有的基金份额不小于在权益登记日基金总份额的二分之一（含二分之一）；若本人直接出具表决意见或授权他人代表出具表决意见基金份额持有人所持有的基金份额小于在权益登记日基金总份额的二分之一，召集人可以在原公告的基金份额持有人大会召开时间的3个月以后、6个月以内，就原定审议事项重新召集基金份额持有人大会。重新召集的基金份额持有人大会应当有代表基金总份额三分之一以上（含三分之一）基金份额的持有人直接出具表决意见或授权他人代表出具表决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监管机关允许的情况下，经会议通知载明，本基金可采用网络、电话、短信等其他非书面方式由基金份额持有人向其授权代表进行授权；本基金亦可采用网络、电话、短信等其他非现场方式或者以非现场方式与现场方式结合的方式召开基金份额持有人大会并表决，具体方式由会议召集人确定并在会议通知中列明，会议程序比照现场开会和通讯方式开会的程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关系基金份额持有人利益的重大事项，如《基金合同》的重大修改、决定终止《基金合同》、更换基金管理人、更换基金托管人、与其他基金合并（法律法规、基金合同和中国证监会另有规定的除外）、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7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或代理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或其代理人所持表决权的二分之一以上（含二分之一）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或其代理人所持表决权的三分之二以上（含三分之二）通过方可做出。转换基金运作方式、更换基金管理人或者基金托管人、终止《基金合同》、本基金与其他基金合并（法律法规、《基金合同》和中国证监会另有规定的除外）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基金份额持有人大会的决议，召集人应当自通过之日起5日内报中国证监会备案。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基金份额持有人大会的决议自表决通过之日起生效。法律法规另有规定的，从其规定。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基金份额持有人大会决议自生效之日起依照《信息披露办法》的规定在规定媒介上公告。如果采用通讯方式进行表决，在公告基金份额持有人大会决议时，必须将公证书全文、公证机构、公证员姓名等一同公告。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部分对基金份额持有人大会召开事由、召开条件、议事程序、表决条件等规定，凡是直接引用法律法规的部分，如将来法律法规修改导致相关内容被取消或变更的，基金管理人经与基金托管人协商一致并提前公告后，可直接对本部分内容进行修改和调整，无需召开基金份额持有人大会审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（三）基金合同解除和终止的事由、程序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本基金合同约定应经基金份额持有人大会决议通过的事项的，应召开基金份额持有人大会决议通过。对于法律法规规定和基金合同约定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（2）关于《基金合同》变更的基金份额持有人大会决议自生效后方可执行，自决议生效后依照《信息披露办法》的规定在规定媒介公告。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有下列情形之一的，经履行相关程序后，《基金合同》应当终止：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（3）连续50个工作日出现基金份额持有人数量不满200人或者基金资产净值低于5000万元情形的，基金管理人提前终止《基金合同》，不需召开基金份额持有人大会；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出现标的指数不符合要求（不包括因成份股价格波动等指数编制方法变动之外的因素致使标的指数不符合要求的情形）、指数编制机构退出等情形，基金管理人召集基金份额持有人大会对解决方案进行表决，基金份额持有人大会未成功召开或就上述事项表决未通过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争议处理期间，基金合同当事人应恪守各自的职责，继续忠实、勤勉、尽责地履行基金合同规定的义务，维护基金份额持有人的合法权益。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《基金合同》受中国法律（不含港澳台地区法律）管辖。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（五）基金合同存放地和投资者取得基金合同的方式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《基金合同》可印制成册，供投资者在基金管理人、基金托管人、销售机构的办公场所和营业场所查阅，但应以《基金合同》正本为准。</w:t>
      </w:r>
    </w:p>
    <w:p>
      <w:pPr>
        <w:pStyle w:val="2"/>
        <w:snapToGrid w:val="0"/>
        <w:spacing w:before="240" w:beforeLines="0" w:after="0"/>
        <w:rPr>
          <w:rFonts w:ascii="宋体" w:hAnsi="宋体"/>
          <w:szCs w:val="30"/>
        </w:rPr>
      </w:pPr>
      <w:r>
        <w:br w:type="page"/>
      </w:r>
      <w:bookmarkStart w:id="44" w:name="_Toc256000047"/>
      <w:bookmarkStart w:id="45" w:name="_Toc256000021"/>
      <w:r>
        <w:rPr>
          <w:rFonts w:ascii="宋体" w:hAnsi="宋体"/>
          <w:sz w:val="30"/>
        </w:rPr>
        <w:t>二十一、托管协议的内容摘要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批准设立机关及批准设立文号：中国证监会证监基金字[2005]128号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注册资本：贰亿元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经营范围：基金募集、基金销售、资产管理和中国证监会许可的其它业务。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名称：中国建设银行股份有限公司(简称：中国建设银行)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办公地址：北京市西城区闹市口大街1号院1号楼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邮政编码：100033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法定代表人：张金良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成立日期：2004年09月17日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基金托管业务批准文号：中国证监会证监基字[1998]12号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注册资本：贰仟伍佰亿壹仟零玖拾柒万柒仟肆佰捌拾陆元整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及《基金合同》的约定，对基金投资范围、投资对象进行监督。《基金合同》明确约定基金投资风格或证券选择标准的，基金管理人应按照基金托管人要求的格式提供投资品种池，以便基金托管人运用相关技术系统，对基金实际投资是否符合《基金合同》关于证券选择标准的约定进行监督，对存在疑义的事项进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具有良好流动性的金融工具，以国证新能源指数的成份股（含存托凭证）及其备选成份股(含中小板、创业板及其他经中国证监会核准或注册上市的股票、存托凭证)为主要投资对象。为更好地实现投资目标，本基金也可少量投资于其他股票(非标的指数成份股（含存托凭证）及其备选成份股（含存托凭证）)、债券、中期票据、货币市场工具、债券回购、资产支持证券、股指期货以及法律法规或中国证监会允许基金投资的其他金融工具（但须符合中国证监会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基金的投资组合比例为：本基金的股票资产（含存托凭证）投资比例不低于基金资产的 90%，本基金投资于国证新能源指数的成份股（含存托凭证）及其备选成份股（含存托凭证）的比例不低于非现金基金资产的90%，每个交易日日终在扣除股指期货合约需缴纳的交易保证金以后，持有现金或到期日在一年以内的政府债券的比例不低于基金资产净值的5%，其中现金不包括结算备付金、存出保证金、应收申购款等。如果法律法规或中国证监会变更投资品种的投资比例限制，基金管理人在履行适当程序后，可以调整上述投资品种的投资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2、基金托管人根据有关法律法规的规定及《基金合同》的约定，对基金投资、融资比例进行监督。基金托管人按下述比例和调整期限进行监督：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（1）本基金的股票资产（含存托凭证）投资比例不低于基金资产的90%，本基金投资于国证新能源指数的成份股（含存托凭证）及其备选成份股（含存托凭证）的比例不低于非现金基金资产的90%；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（2）本基金每个交易日日终在扣除股指期货合约需缴纳的交易保证金后，保持不低于基金资产净值5％的现金或者到期日在一年以内的政府债券，其中现金不包括结算备付金、存出保证金、应收申购款等；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（6）本基金管理人管理且由本基金托管人托管的全部基金投资于同一原始权益人的各类资产支持证券，不得超过其各类资产支持证券合计规模的10%；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（8）基金财产参与股票发行申购，本基金所申报的金额不超过本基金的总资产，本基金所申报的股票数量不超过拟发行股票公司本次发行股票的总量；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（9）本基金进入全国银行间同业市场进行债券回购的资金余额不得超过基金资产净值的40%，进入全国银行间同业市场进行债券回购的最长期限为1年，债券回购到期后不得展期；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（10）本基金参与股指期货交易，则：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1）本基金在任何交易日日终，持有的买入股指期货合约价值，不得超过基金资产净值的10%；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在任何交易日日终，持有的买入股指期货合约价值与有价证券市值之和,不得超过基金资产净值的100%。其中，有价证券指股票、债券（不含到期日在一年以内的政府债券）、资产支持证券、买入返售金融资产（不含质押式回购）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3）本基金在任何交易日日终，持有的卖出股指期货合约价值不得超过基金持有的股票总市值的20%；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4）本基金所持有的股票市值和买入、卖出股指期货合约价值，合计（轧差计算）应当符合基金合同关于股票投资比例的有关约定；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5）本基金在任何交易日内交易（不包括平仓）的股指期货合约的成交金额不得超过上一交易日基金资产净值的20%；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（11）本基金的基金资产总值不得超过基金资产净值的140%；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（13）本基金投资存托凭证的比例限制依照境内上市交易的股票执行；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2）、（7）、（12）项外，因证券、期货市场波动、证券发行人合并、基金规模变动、标的指数成份股调整、标的指数成份股流动性限制等基金管理人之外的因素致使基金投资比例不符合上述规定投资比例的，基金管理人应当在10个交易日内进行调整，但中国证监会规定的特殊情形除外。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法律法规对上述投资组合比例限制进行变更的，以变更后的规定为准。法律法规或监管部门取消上述限制，如适用于本基金，基金管理人在履行适当程序后，则本基金投资不再受相关限制。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3、基金托管人根据有关法律法规的规定及《基金合同》的约定，对本托管协议第十五条第九款基金投资禁止行为通过事后监督方式进行监督。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的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如法律、行政法规或监管部门取消上述规定，如适用于本基金，基金管理人在履行适当程序后，本基金可不受上述规定的限制。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根据有关法律法规的规定及《基金合同》的约定，对基金管理人参与银行间债券市场进行监督。基金管理人应在基金投资运作之前向基金托管人提供符合法律法规及行业标准的、经慎重选择的、本基金适用的银行间债券市场交易对手名单，并约定各交易对手所适用的交易结算方式。基金管理人应严格按照交易对手名单的范围在银行间债券市场选择交易对手。基金托管人监督基金管理人是否按事前提供的银行间债券市场交易对手名单进行交易。基金管理人可以每半年对银行间债券市场交易对手名单及结算方式进行更新，新名单确定前已与本次剔除的交易对手所进行但尚未结算的交易，仍应按照协议进行结算。如基金管理人根据市场情况需要临时调整银行间债券市场交易对手名单及结算方式的，应向基金托管人说明理由，并在与交易对手发生交易前3个工作日内与基金托管人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负责对交易对手的资信控制，按银行间债券市场的交易规则进行交易，并负责解决因交易对手不履行合同而造成的纠纷及损失，基金托管人不承担由此造成的任何法律责任及损失。若未履约的交易对手在基金托管人与基金管理人确定的时间前仍未承担违约责任及其他相关法律责任的，基金管理人可以对相应损失先行予以承担，然后再向相关交易对手追偿。基金托管人则根据银行间债券市场成交单对合同履行情况进行监督。如基金托管人事后发现基金管理人没有按照事先约定的交易对手或交易方式进行交易时，基金托管人应及时提醒基金管理人，基金托管人不承担由此造成的任何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5、基金托管人根据有关法律法规的规定及《基金合同》的约定，对基金管理人投资流通受限证券进行监督。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券等流通受限证券。本基金不投资有锁定期但锁定期不明确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本基金投资的流通受限证券限于可由中国证券登记结算有限责任公司或中央国债登记结算有限责任公司负责登记和存管，并可在证券交易所或全国银行间债券市场交易的证券。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的流通受限证券应保证登记存管在本基金名下，基金管理人负责相关工作的落实和协调，并确保基金托管人能够正常查询。因基金管理人原因产生的流通受限证券登记存管问题，造成基金托管人无法安全保管本基金资产的责任与损失，及因流通受限证券存管直接影响本基金安全的责任及损失，由基金管理人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本基金投资流通受限证券，不得预付任何形式的保证金。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基金管理人应在首次投资流通受限证券前向基金托管人提供基金投资非公开发行股票相关流动性风险处置预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人原因导致本基金出现损失致使基金托管人承担连带赔偿责任的，基金管理人应赔偿基金托管人由此遭受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1）中国证监会批准发行非公开发行股票的批准文件。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2）非公开发行股票有关发行数量、发行价格、锁定期等发行资料。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3）非公开发行股票发行人与中国证券登记结算有限责任公司或中央国债登记结算有限责任公司签订的证券登记及服务协议。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4）基金拟认购的数量、价格、总成本、账面价值。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应在本基金投资非公开发行股票后两个交易日内，在中国证监会规定媒介披露所投资非公开发行股票的名称、数量、总成本、账面价值，以及总成本和账面价值占基金资产净值的比例、锁定期等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本基金有关投资流通受限证券比例如违反有关限制规定，在合理期限内未能进行及时调整，基金管理人应依照《信息披露办法》的规定编制临时报告书，予以公告。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（5）基金托管人根据有关规定有权对基金管理人进行以下事项监督：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1）本基金投资流通受限证券时的法律法规遵守情况。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2）在基金投资流通受限证券管理工作方面有关制度、流动性风险处置预案的建立与完善情况。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3）有关比例限制的执行情况。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4）信息披露情况。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（6）相关法律法规对基金投资流通受限证券有新规定的，从其规定。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9、若基金托管人发现基金管理人依据交易程序已经生效的指令违反法律、行政法规和其他有关规定，或者违反《基金合同》约定的，应当立即通知基金管理人，由此造成的损失由基金管理人承担。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托管人发现基金管理人有重大违规行为，应及时报告中国证监会，同时通知基金管理人限期纠正，并将纠正结果报告中国证监会。基金管理人无正当理由，拒绝、阻挠对方根据本托管协议规定行使监督权，或采取拖延、欺诈等手段妨碍对方进行有效监督，情节严重或经基金托管人提出警告仍不改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对基金托管人履行托管职责情况进行核查，核查事项包括基金托管人安全保管基金财产、开设基金财产的资金账户、证券账户等投资所需账户、复核基金管理人计算的基金资产净值和各类基金份额净值、根据基金管理人指令办理清算交收、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发现基金托管人有重大违规行为，应及时报告中国证监会，同时通知基金托管人限期纠正，并将纠正结果报告中国证监会。基金托管人无正当理由，拒绝、阻挠对方根据本协议规定行使监督权，或采取拖延、欺诈等手段妨碍对方进行有效监督，情节严重或经基金管理人提出警告仍不改正的，基金管理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（四）基金财产的保管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（3）基金托管人按照规定开设基金财产的资金账户和证券账户。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按照《基金合同》和本协议的约定保管基金财产，如有特殊情况双方可另行协商解决。基金托管人未经基金管理人的指令，不得自行运用、处分、分配本基金的任何资产（不包含基金托管人依据中国证券登记结算有限责任公司结算数据完成场内交易交收、开户银行或交易/登记结算机构扣收交易费、结算费和账户维护费等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（7）除依据法律法规和《基金合同》的规定外，基金托管人不得委托第三人托管基金财产。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2、基金银行账户的开立和管理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（1）基金托管人应以本基金的名义在其营业机构开立基金的银行账户，并根据基金管理人合法合规的指令办理资金收付。本基金的银行预留印鉴由基金托管人保管和使用。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（2）基金银行账户的开立和使用，限于满足开展本基金业务的需要。基金托管人和基金管理人不得假借本基金的名义开立任何其他银行账户；亦不得使用基金的任何账户进行本基金业务以外的活动。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（3）基金银行账户的开立和管理应符合银行业监督管理机构的有关规定。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（4）在符合法律法规规定的条件下，基金托管人可以通过基金托管人专用账户办理基金资产的支付。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（5）管理人应于托管产品清盘后及时完成收益兑付、费用结清及其他应收应付款项资金划转，在确保后续不再发生款项进出后的10个工作日内向托管人发出销户申请。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3、基金证券账户和结算备付金账户的开立和管理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（1）基金托管人在中国证券登记结算有限责任公司为基金开立基金托管人与本基金联名的证券账户。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（2）基金证券账户的开立和使用，仅限于满足开展本基金业务的需要。基金托管人和基金管理人不得出借或未经对方同意擅自转让基金的任何证券账户，亦不得使用基金的任何账户进行本基金业务以外的活动。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（3）基金证券账户的开立和证券账户卡的保管由基金托管人负责，账户资产的管理和运用由基金管理人负责。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证券账户开户费由基金管理人先行垫付，待托管产品启始运营后，基金管理人可向基金托管人发送划款指令，将代垫开户费从本基金托管资金账户中扣还基金管理人。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交收资金等的收取按照中国证券登记结算有限责任公司的规定以及基金管理人与基金托管人签署的《托管银行证券资金结算协议》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（5）账户注销时，在遵守中国证券登记结算公司的相关规定下，由管理人和托管人协商确认主要办理人。账户注销期间，主要办理人如需另一方提供配合的，另一方应予以配合。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（6）若中国证监会或其他监管机构在本托管协议订立日之后允许基金从事其他投资品种的投资业务，涉及相关账户的开立、使用的，若无相关规定，则基金托管人比照上述关于账户开立、使用的规定执行。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4、债券托管专户的开设和管理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基金管理人负责以基金的名义申请并取得进入全国银行间同业拆借市场的交易资格，并代表基金进行交易；基金托管人根据中国人民银行、银行间市场登记结算机构的有关规定，以本基金的名义在银行间市场登记结算机构开立债券托管账户，持有人账户和资金结算账户，并代表基金进行银行间市场债券的结算。基金管理人和基金托管人共同代表基金签订全国银行间债券市场债券回购主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5、其他账户的开立和管理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在本托管协议订立日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（2）法律法规等有关规定对相关账户的开立和管理另有规定的，从其规定办理。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6、基金财产投资的有关有价凭证等的保管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银行存款开户证实书等有价凭证由基金托管人存放于基金托管人的保管库，也可存入中央国债登记结算有限责任公司、中国证券登记结算有限责任公司上海分公司/深圳分公司/北京分公司、银行间市场清算所股份有限公司或票据营业中心的代保管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基金财产有关的重大合同的签署，由基金管理人负责。由基金管理人代表基金签署的、与基金财产有关的重大合同的原件分别由基金管理人、基金托管人保管。除本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以加密方式将重大合同传真给基金托管人，并在三十个工作日内将正本送达基金托管人处。重大合同的保管期限为《基金合同》终止后15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（五）基金资产净值计算与复核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是指基金资产总值减去负债后的金额。各类基金份额的基金份额净值是按照每个工作日闭市后，该类基金份额的基金资产净值除以当日该类基金份额的余额数量计算，精确到0.0001元，小数点后第5位四舍五入。基金管理人可以设立大额赎回情形下的净值精度应急调整机制，具体可参见相关公告。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基金管理人于每个工作日计算各类基金份额的基金资产净值及基金份额净值，并按规定公告。如遇特殊情况，经履行适当程序，可以适当延迟计算或公告。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工作日对基金资产估值。但基金管理人根据法律法规或《基金合同》的规定暂停估值时除外。基金管理人每个工作日对基金资产估值后，将各类基金份额净值结果发送基金托管人，经基金托管人复核无误后，由基金管理人依据基金合同和相关法律法规的规定对外公布。月末、年中和年末估值复核与基金会计账目的核对同时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（六）基金份额持有人名册的登记与保管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不少于15年。如不能妥善保管，则按相关法规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托管人要求或编制中期报告和年度报告前，基金管理人应将有关资料送交基金托管人，不得无故拒绝或延误提供，并保证其真实性、准确性和完整性。基金托管人不得将所保管的基金份额持有人名册用于基金托管业务以外的其他用途，并应遵守保密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本协议产生或与之相关的争议，双方当事人应通过协商、调解解决，协商、调解不能解决的，任何一方均有权将争议提交中国国际经济贸易仲裁委员会，仲裁地点为北京市，按照中国国际经济贸易仲裁委员会届时有效的仲裁规则进行仲裁。仲裁裁决是终局的，对当事人均有约束力，除非仲裁裁决另有规定，仲裁费用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争议处理期间，双方当事人应恪守基金管理人和基金托管人职责，各自继续忠实、勤勉、尽责地履行《基金合同》和本托管协议规定的义务，维护基金份额持有人的合法权益。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本协议受中国法律（不含港澳台地区法律）管辖。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（八）托管协议的变更与终止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本协议双方当事人经协商一致，可以对协议进行修改。修改后的新协议，其内容不得与《基金合同》的规定有任何冲突。基金托管协议的变更报中国证监会备案后生效。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2、托管协议终止的情形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（2）基金托管人解散、依法被撤销、破产或由其他基金托管人接管基金资产；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（3）基金管理人解散、依法被撤销、破产或由其他基金管理人接管基金管理权；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（4）发生法律法规、中国证监会规定或《基金合同》约定的终止事项。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符合《中华人民共和国证券法》规定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（5）基金财产清算的期限为6个月，但因本基金所持证券的流动性受到限制而不能及时变现的，清算期限相应顺延。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基金财产清算小组应当将清算报告登载在规定网站上，并将清算报告提示性公告登载在规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pStyle w:val="2"/>
        <w:snapToGrid w:val="0"/>
        <w:spacing w:before="240" w:beforeLines="0" w:after="0"/>
        <w:rPr>
          <w:rFonts w:ascii="宋体" w:hAnsi="宋体"/>
          <w:szCs w:val="30"/>
        </w:rPr>
      </w:pPr>
      <w:r>
        <w:br w:type="page"/>
      </w:r>
      <w:bookmarkStart w:id="46" w:name="_Toc256000022"/>
      <w:bookmarkStart w:id="47" w:name="_Toc256000048"/>
      <w:r>
        <w:rPr>
          <w:rFonts w:ascii="宋体" w:hAnsi="宋体"/>
          <w:sz w:val="30"/>
        </w:rPr>
        <w:t>二十二、对基金份额持有人的服务</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基金管理人承诺为基金份额持有人提供一系列的服务。基金管理人根据基金份额持有人的需要和市场的变化，有权增加或变更服务项目。主要服务内容如下：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服务，个人投资者可以直接通过本基金管理人的网上直销交易平台办理开户和本基金场外申购、赎回、定期定额投资、转换等业务。通过网上直销交易平台办理本基金A类基金份额申购业务的个人投资者将享受申购费率的优惠，其他费率标准不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基金网上直销交易平台已开通的银行卡及各银行卡交易金额限额请参阅本基金管理人网站。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投资人如果想查询基金账户余额、基金产品与服务等信息，请拨打本基金管理人客户服务电话（400-700-5000，021-61055000）或登录本基金管理人网站（www.fund001.com）进行咨询、查询。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人预设基金查询密码，预设的基金查询密码为投资人开户证件号码的后6位数字，不足6位数字的，前面加“0”补足。基金查询密码用于投资人通过客户服务电话查询基金账户下的账户和交易信息。投资人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（四）基金红利再投资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时，基金份额持有人持有的基金份额可选择现金红利或选择红利再投将现金红利自动转为相应类别的基金份额进行再投资，若投资人不选择，本基金默认的收益分配方式是现金分红。再投资红利按红利再投日（即除息日）除息后的基金份额净值自动转为相应类别的基金份额，并免收申购费用。场内基金份额具体收益分配程序等有关事项遵循深圳证券交易所及登记机构的相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本基金已开通定期定额投资计划，具体实施方法请参见相关公告。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48" w:name="_Toc256000023"/>
      <w:bookmarkStart w:id="49" w:name="_Toc256000049"/>
      <w:r>
        <w:rPr>
          <w:rFonts w:ascii="宋体" w:hAnsi="宋体"/>
          <w:sz w:val="30"/>
        </w:rPr>
        <w:t>二十三、其他应披露事项</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交银施罗德国证新能源指数证券投资基金（LOF）招募说明书更新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交银施罗德国证新能源指数证券投资基金（LOF）（A类份额）基金产品资料概要更新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交银施罗德国证新能源指数证券投资基金（LOF）（C类份额）基金产品资料概要更新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交银施罗德国证新能源指数证券投资基金（LOF）2025年第3季度报告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交银施罗德国证新能源指数证券投资基金（LOF）2025年第4季度报告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交银施罗德国证新能源指数证券投资基金（LOF）2025年年度报告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交银施罗德国证新能源指数证券投资基金（LOF）2026年第1季度报告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交银施罗德国证新能源指数证券投资基金（LOF）2026年第2季度报告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交银施罗德国证新能源指数证券投资基金（LOF）2026年中期报告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0" w:name="_Toc256000024"/>
      <w:bookmarkStart w:id="51" w:name="_Toc256000050"/>
      <w:r>
        <w:rPr>
          <w:rFonts w:ascii="宋体" w:hAnsi="宋体"/>
          <w:sz w:val="30"/>
        </w:rPr>
        <w:t>二十四、招募说明书的存放及查阅方式</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和基金销售机构的办公场所，投资人可在办公时间查阅；投资人在支付工本费后，可在合理时间内取得上述文件复制件或复印件。对投资人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2" w:name="_Toc256000025"/>
      <w:bookmarkStart w:id="53" w:name="_Toc256000051"/>
      <w:r>
        <w:rPr>
          <w:rFonts w:ascii="宋体" w:hAnsi="宋体"/>
          <w:sz w:val="30"/>
        </w:rPr>
        <w:t>二十五、备查文件</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（一）中国证监会准予交银施罗德国证新能源指数分级证券投资基金变更注册的文件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（二）《交银施罗德国证新能源指数证券投资基金（LOF）基金合同》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（三）《交银施罗德国证新能源指数证券投资基金（LOF）托管协议》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（六）关于申请交银施罗德国证新能源指数分级证券投资基金变更注册为交银施罗德国证新能源指数证券投资基金（LOF）的法律意见书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4</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5</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161</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交银施罗德国证新能源指数证券投资基金（LOF）招募说明书（更新）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交银施罗德国证新能源指数证券投资基金（LOF）招募说明书（更新）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C1F4BB8"/>
    <w:rsid w:val="63C90E51"/>
    <w:rsid w:val="698C5D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uiPriority w:val="99"/>
    <w:rPr>
      <w:rFonts w:ascii="宋体"/>
      <w:sz w:val="18"/>
      <w:szCs w:val="18"/>
    </w:rPr>
  </w:style>
  <w:style w:type="paragraph" w:styleId="6">
    <w:name w:val="annotation text"/>
    <w:basedOn w:val="1"/>
    <w:link w:val="32"/>
    <w:unhideWhenUsed/>
    <w:uiPriority w:val="0"/>
    <w:pPr>
      <w:jc w:val="left"/>
    </w:pPr>
  </w:style>
  <w:style w:type="paragraph" w:styleId="7">
    <w:name w:val="Balloon Text"/>
    <w:basedOn w:val="1"/>
    <w:semiHidden/>
    <w:uiPriority w:val="0"/>
    <w:rPr>
      <w:sz w:val="18"/>
      <w:szCs w:val="18"/>
    </w:rPr>
  </w:style>
  <w:style w:type="paragraph" w:styleId="8">
    <w:name w:val="footer"/>
    <w:basedOn w:val="1"/>
    <w:link w:val="37"/>
    <w:unhideWhenUsed/>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uiPriority w:val="99"/>
    <w:rPr>
      <w:b/>
      <w:bCs/>
    </w:rPr>
  </w:style>
  <w:style w:type="table" w:styleId="15">
    <w:name w:val="Table Grid"/>
    <w:basedOn w:val="14"/>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uiPriority w:val="99"/>
    <w:rPr>
      <w:color w:val="0000FF"/>
      <w:u w:val="single"/>
    </w:rPr>
  </w:style>
  <w:style w:type="character" w:styleId="19">
    <w:name w:val="annotation reference"/>
    <w:unhideWhenUsed/>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uiPriority w:val="0"/>
    <w:rPr>
      <w:rFonts w:ascii="Cambria" w:hAnsi="Cambria"/>
      <w:b/>
      <w:kern w:val="28"/>
      <w:sz w:val="24"/>
      <w:szCs w:val="32"/>
    </w:rPr>
  </w:style>
  <w:style w:type="character" w:customStyle="1" w:styleId="31">
    <w:name w:val="txtcontent11"/>
    <w:uiPriority w:val="0"/>
    <w:rPr>
      <w:rFonts w:hint="default" w:ascii="ˎ̥" w:hAnsi="ˎ̥"/>
      <w:color w:val="000000"/>
      <w:sz w:val="21"/>
      <w:szCs w:val="21"/>
    </w:rPr>
  </w:style>
  <w:style w:type="character" w:customStyle="1" w:styleId="32">
    <w:name w:val="批注文字 Char"/>
    <w:link w:val="6"/>
    <w:uiPriority w:val="0"/>
    <w:rPr>
      <w:kern w:val="2"/>
      <w:sz w:val="21"/>
      <w:szCs w:val="22"/>
    </w:rPr>
  </w:style>
  <w:style w:type="character" w:customStyle="1" w:styleId="33">
    <w:name w:val="批注主题 Char"/>
    <w:link w:val="13"/>
    <w:semiHidden/>
    <w:uiPriority w:val="99"/>
    <w:rPr>
      <w:b/>
      <w:bCs/>
      <w:kern w:val="2"/>
      <w:sz w:val="21"/>
      <w:szCs w:val="22"/>
    </w:rPr>
  </w:style>
  <w:style w:type="character" w:customStyle="1" w:styleId="34">
    <w:name w:val="页眉 Char"/>
    <w:link w:val="9"/>
    <w:uiPriority w:val="99"/>
    <w:rPr>
      <w:sz w:val="18"/>
      <w:szCs w:val="18"/>
    </w:rPr>
  </w:style>
  <w:style w:type="character" w:customStyle="1" w:styleId="35">
    <w:name w:val="副标题 Char"/>
    <w:link w:val="11"/>
    <w:uiPriority w:val="0"/>
    <w:rPr>
      <w:rFonts w:ascii="Cambria" w:hAnsi="Cambria" w:cs="Times New Roman"/>
      <w:b/>
      <w:bCs/>
      <w:kern w:val="28"/>
      <w:sz w:val="32"/>
      <w:szCs w:val="32"/>
    </w:rPr>
  </w:style>
  <w:style w:type="character" w:customStyle="1" w:styleId="36">
    <w:name w:val="文档结构图 Char"/>
    <w:link w:val="5"/>
    <w:semiHidden/>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uiPriority w:val="9"/>
    <w:rPr>
      <w:rFonts w:ascii="Cambria" w:hAnsi="Cambria" w:eastAsia="宋体" w:cs="Times New Roman"/>
      <w:b/>
      <w:bCs/>
      <w:kern w:val="2"/>
      <w:sz w:val="28"/>
      <w:szCs w:val="28"/>
    </w:rPr>
  </w:style>
  <w:style w:type="character" w:customStyle="1" w:styleId="40">
    <w:name w:val="标题 1 Char"/>
    <w:link w:val="2"/>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162</Pages>
  <Words>13948</Words>
  <Characters>79510</Characters>
  <Lines>662</Lines>
  <Paragraphs>186</Paragraphs>
  <TotalTime>4</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2026-09-28T03:26:33Z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3171316C9F5641B8B652889C445CF83C</vt:lpwstr>
  </property>
</Properties>
</file>