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rPr>
          <w:rFonts w:hint="eastAsia"/>
          <w:sz w:val="32"/>
        </w:rPr>
      </w:pPr>
    </w:p>
    <w:p>
      <w:pPr>
        <w:spacing w:after="0"/>
        <w:rPr>
          <w:sz w:val="32"/>
        </w:rPr>
      </w:pPr>
    </w:p>
    <w:p>
      <w:pPr>
        <w:spacing w:after="0"/>
        <w:rPr>
          <w:sz w:val="32"/>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黑体" w:hAnsi="黑体"/>
          <w:b/>
          <w:spacing w:val="2"/>
          <w:w w:val="99"/>
          <w:kern w:val="0"/>
          <w:position w:val="-4"/>
          <w:sz w:val="44"/>
          <w:szCs w:val="44"/>
        </w:rPr>
      </w:pPr>
      <w:r>
        <w:rPr>
          <w:rFonts w:eastAsia="宋体"/>
          <w:b/>
          <w:spacing w:val="2"/>
          <w:w w:val="99"/>
          <w:kern w:val="0"/>
          <w:position w:val="-4"/>
          <w:sz w:val="44"/>
          <w:szCs w:val="44"/>
        </w:rPr>
        <w:t>交银施罗德中证港股通央企红利指数型证券投资基金招募说明书（更新）</w:t>
      </w:r>
    </w:p>
    <w:p>
      <w:pPr>
        <w:snapToGrid w:val="0"/>
        <w:spacing w:after="0" w:line="360" w:lineRule="auto"/>
        <w:jc w:val="center"/>
        <w:rPr>
          <w:rFonts w:ascii="宋体" w:hAnsi="宋体" w:eastAsia="宋体"/>
          <w:b/>
          <w:sz w:val="30"/>
          <w:szCs w:val="30"/>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基金托管人：中信建投证券股份有限公司</w:t>
      </w: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二〇二六年九月</w:t>
      </w:r>
    </w:p>
    <w:p>
      <w:pPr>
        <w:autoSpaceDE w:val="0"/>
        <w:autoSpaceDN w:val="0"/>
        <w:adjustRightInd w:val="0"/>
        <w:snapToGrid w:val="0"/>
        <w:spacing w:after="0" w:line="360" w:lineRule="auto"/>
        <w:ind w:left="1347" w:right="13" w:rightChars="6"/>
        <w:rPr>
          <w:rFonts w:ascii="宋体" w:hAnsi="宋体"/>
          <w:kern w:val="0"/>
          <w:sz w:val="32"/>
          <w:szCs w:val="32"/>
        </w:rPr>
        <w:sectPr>
          <w:headerReference r:id="rId7" w:type="first"/>
          <w:footerReference r:id="rId10" w:type="first"/>
          <w:headerReference r:id="rId5" w:type="default"/>
          <w:footerReference r:id="rId8" w:type="default"/>
          <w:headerReference r:id="rId6" w:type="even"/>
          <w:footerReference r:id="rId9" w:type="even"/>
          <w:pgSz w:w="11920" w:h="16840"/>
          <w:pgMar w:top="1440" w:right="1680" w:bottom="280" w:left="1680" w:header="900" w:footer="1073" w:gutter="0"/>
          <w:cols w:space="720" w:num="1"/>
          <w:titlePg/>
          <w:docGrid w:linePitch="286" w:charSpace="0"/>
        </w:sectPr>
      </w:pPr>
    </w:p>
    <w:p>
      <w:pPr>
        <w:pStyle w:val="2"/>
        <w:snapToGrid w:val="0"/>
        <w:spacing w:before="240" w:beforeLines="0" w:after="0"/>
        <w:rPr>
          <w:rFonts w:ascii="宋体" w:hAnsi="宋体"/>
          <w:kern w:val="0"/>
        </w:rPr>
      </w:pPr>
      <w:bookmarkStart w:id="0" w:name="_Toc496884613"/>
      <w:bookmarkStart w:id="1" w:name="_Toc324920538"/>
      <w:bookmarkStart w:id="2" w:name="_Toc256000000"/>
      <w:bookmarkStart w:id="3" w:name="_Toc256000026"/>
      <w:r>
        <w:rPr>
          <w:rFonts w:ascii="宋体" w:hAnsi="宋体"/>
          <w:kern w:val="0"/>
        </w:rPr>
        <w:t>重要提示</w:t>
      </w:r>
      <w:bookmarkEnd w:id="0"/>
      <w:bookmarkEnd w:id="1"/>
      <w:bookmarkEnd w:id="2"/>
      <w:bookmarkEnd w:id="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中证港股通央企红利指数型证券投资基金（以下简称“本基金”）经2025年7月24日中国证券监督管理委员会（以下简称“中国证监会”）证监许可【2025】1600号文准予募集注册。本基金基金合同于2025年10月28日正式生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基金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本基金的特有风险；本基金法律文件风险收益特征表述与销售机构基金风险评价可能不一致的风险；投资本基金的其他风险等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本基金是一只股票型基金，其预期风险和预期收益理论上高于混合型基金、债券型基金和货币市场基金。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本基金为指数型基金，主要采用完全复制法跟踪中证港股通央企红利指数，具有与标的指数相似的风险收益特征。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本基金为指数基金，投资者投资于本基金面临跟踪误差控制未达约定目标、指数编制机构停止服务、成份股停牌等潜在风险。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本基金标的指数为中证港股通央企红利指数。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1、样本空间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中证港股通综合指数样本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2、可投资性筛选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对样本空间内证券，计算每月的日换手率中位数作为月换手率，剔除过去 12个月或过去 3 个月平均月换手率不足 0.1%的证券，除非该证券过去一年日均成交金额大于 5000 万港元。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3、选样方法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（1）对于样本空间内符合流动性筛选条件的证券，选取中央企业实际控制的上市公司证券；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（2）选取过去三年连续分红且过去三年股利支付率的均值和过去一年股利支付率均大于 0 且小于 1 的上市公司证券作为待选样本；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（3）在上述待选样本中，按照过去三年平均股息率由高到低排名，选取排名靠前的 50 只证券作为指数样本。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4、指数计算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指数计算公式为：</w:t>
      </w:r>
    </w:p>
    <w:p>
      <w:pPr>
        <w:autoSpaceDE w:val="0"/>
        <w:autoSpaceDN w:val="0"/>
        <w:adjustRightInd w:val="0"/>
        <w:snapToGrid w:val="0"/>
        <w:spacing w:after="0" w:line="360" w:lineRule="auto"/>
        <w:jc w:val="left"/>
        <w:rPr>
          <w:rFonts w:ascii="宋体" w:hAnsi="宋体"/>
          <w:szCs w:val="24"/>
        </w:rPr>
      </w:pPr>
      <w:r>
        <w:rPr>
          <w:rFonts w:hint="eastAsia" w:ascii="宋体" w:hAnsi="宋体"/>
          <w:kern w:val="0"/>
          <w:sz w:val="24"/>
          <w:lang w:val="en-US" w:eastAsia="zh-CN"/>
        </w:rPr>
        <w:t xml:space="preserve">  </w:t>
      </w:r>
      <w:r>
        <w:rPr>
          <w:rFonts w:ascii="宋体" w:hAnsi="宋体"/>
          <w:kern w:val="0"/>
          <w:sz w:val="24"/>
        </w:rPr>
        <w:pict>
          <v:shape id="_x0000_i1025" o:spt="75" type="#_x0000_t75" style="height:38.25pt;width:258pt;" filled="f" o:preferrelative="t" stroked="f" coordsize="21600,21600">
            <v:path/>
            <v:fill on="f" focussize="0,0"/>
            <v:stroke on="f" joinstyle="miter"/>
            <v:imagedata r:id="rId15" o:title=""/>
            <o:lock v:ext="edit" aspectratio="t"/>
            <w10:wrap type="none"/>
            <w10:anchorlock/>
          </v:shape>
        </w:pic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其中，调整市值＝∑(证券价格×调整股本数×权重因子×汇率)。汇率、调整股本数的计算方法、除数修正方法参见计算与维护细则。权重因子介于 0 和 1 之间，以使样本采用股息率加权，同时单个样本权重不超过10%。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5、指数样本和权重调整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（1）定期调整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指数样本每年调整一次，样本调整实施时间分别为每年 12 月的第二个星期五的下一交易日。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权重因子随样本股定期调整而调整，调整时间与指数样本定期调整实施时间相同。在下一个定期调整日前，权重因子一般固定不变。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（2）临时调整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特殊情况下将对指数进行临时调整。当样本退市时，将其从指数样本中剔除。样本公司发生收购、合并、分拆等情形的处理，参照计算与维护细则处理。当港股通证券范围发生变动导致样本不再满足互联互通资格时，指数将相应调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有关标的指数具体编制方案及成份股信息详见中证指数有限公司网站，网址：www.csindex.com.cn。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内地与香港股票市场交易互联互通机制允许买卖的规定范围内的香港联合交易所有限公司（以下简称“香港联合交易所”）上市的股票（以下简称“港股通标的股票”）的，会面临港股通机制下因投资环境、投资标的、市场制度以及交易规则等差异带来的特有风险，包括但不限于汇率风险（汇率波动可能对基金的投资收益造成损失）、港股市场股价波动较大的风险（港股市场实行T+0回转交易，且对个股不设涨跌幅限制，港股股价可能表现出比A股更为剧烈的股价波动）、港股通机制下交易日不连贯可能带来的风险（在内地开市香港休市的情形下，港股通不能正常交易，港股不能及时卖出，可能带来一定的流动性风险）等。具体风险请查阅本基金招募说明书“风险揭示”章节的具体内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以及不适当的估值使基金资产面临损失的风险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科创板股票，会面临科创板机制下因投资标的、市场制度以及交易规则等差异带来的特有风险，包括但不限于市场风险、流动性风险、退市风险、系统性风险、政策风险等。具体风险请查阅本基金招募说明书“风险揭示”章节的具体内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本基金可根据投资策略需要或市场环境的变化，选择将部分基金资产投资于科创板股票或选择不将基金资产投资于科创板股票，基金资产并非必然投资于科创板股票。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本基金可参与融资业务，面临的风险包括但不限于市场风险、流动性风险、信用风险等。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本基金可参与转融通证券出借业务，面临的风险包括但不限于流动性风险、信用风险、市场风险、其他风险等。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提前终止风险。《基金合同》生效后，连续50个工作日出现基金份额持有人数量不满200人或基金资产净值低于5000万元情形的，基金合同终止，不需召开基金份额持有人大会。因此，投资者可能面临基金合同提前终止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本基金持有特定资产且存在或潜在大额赎回申请时，基金管理人履行相应程序后，可以启动侧袋机制，具体详见基金合同和招募说明书的有关章节。侧袋机制实施期间，基金管理人将对基金简称进行特殊标识，并不办理侧袋账户的申购赎回。请基金份额持有人仔细阅读相关内容并关注本基金启用侧袋机制时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本招募说明书所载内容截止日为2026年09月02日，有关财务和业绩表现数据截止日为2026年06月30日，财务和业绩表现数据未经审计。</w:t>
      </w:r>
    </w:p>
    <w:p>
      <w:pPr>
        <w:autoSpaceDE w:val="0"/>
        <w:autoSpaceDN w:val="0"/>
        <w:adjustRightInd w:val="0"/>
        <w:snapToGrid w:val="0"/>
        <w:spacing w:before="51" w:after="0" w:line="360" w:lineRule="auto"/>
        <w:ind w:left="0" w:right="0" w:rightChars="0" w:firstLine="480"/>
        <w:rPr>
          <w:rFonts w:ascii="宋体" w:hAnsi="宋体"/>
          <w:kern w:val="0"/>
          <w:szCs w:val="24"/>
        </w:rPr>
        <w:sectPr>
          <w:headerReference r:id="rId11" w:type="default"/>
          <w:pgSz w:w="11920" w:h="16840"/>
          <w:pgMar w:top="1440" w:right="1680" w:bottom="280" w:left="1680" w:header="0" w:footer="1073" w:gutter="0"/>
          <w:pgNumType w:start="1"/>
          <w:cols w:space="720" w:num="1"/>
        </w:sectPr>
      </w:pPr>
    </w:p>
    <w:p>
      <w:pPr>
        <w:pStyle w:val="20"/>
        <w:snapToGrid w:val="0"/>
        <w:spacing w:after="0" w:line="360" w:lineRule="auto"/>
        <w:jc w:val="center"/>
        <w:rPr>
          <w:rFonts w:ascii="宋体" w:hAnsi="宋体"/>
          <w:color w:val="auto"/>
        </w:rPr>
      </w:pPr>
      <w:r>
        <w:rPr>
          <w:rFonts w:ascii="宋体" w:hAnsi="宋体"/>
          <w:color w:val="auto"/>
          <w:position w:val="-4"/>
          <w:sz w:val="30"/>
          <w:szCs w:val="30"/>
        </w:rPr>
        <w:t>目</w:t>
      </w:r>
      <w:r>
        <w:rPr>
          <w:rFonts w:ascii="宋体" w:hAnsi="宋体"/>
          <w:color w:val="auto"/>
          <w:position w:val="-4"/>
          <w:sz w:val="30"/>
          <w:szCs w:val="30"/>
        </w:rPr>
        <w:tab/>
      </w:r>
      <w:r>
        <w:rPr>
          <w:rFonts w:ascii="宋体" w:hAnsi="宋体"/>
          <w:color w:val="auto"/>
          <w:position w:val="-4"/>
          <w:sz w:val="30"/>
          <w:szCs w:val="30"/>
        </w:rPr>
        <w:t>录</w:t>
      </w:r>
      <w:r>
        <w:rPr>
          <w:rFonts w:ascii="宋体" w:hAnsi="宋体"/>
          <w:color w:val="auto"/>
        </w:rPr>
        <w:fldChar w:fldCharType="begin"/>
      </w:r>
      <w:r>
        <w:rPr>
          <w:rFonts w:ascii="宋体" w:hAnsi="宋体"/>
          <w:color w:val="auto"/>
        </w:rPr>
        <w:instrText xml:space="preserve">TOC \o "1-3" \h \z \u</w:instrText>
      </w:r>
      <w:r>
        <w:rPr>
          <w:rFonts w:ascii="宋体" w:hAnsi="宋体"/>
          <w:color w:val="auto"/>
        </w:rPr>
        <w:fldChar w:fldCharType="separate"/>
      </w:r>
    </w:p>
    <w:p>
      <w:pPr>
        <w:pStyle w:val="10"/>
        <w:tabs>
          <w:tab w:val="right" w:leader="dot" w:pos="8650"/>
        </w:tabs>
        <w:rPr>
          <w:rFonts w:asciiTheme="minorHAnsi" w:hAnsiTheme="minorHAnsi"/>
          <w:sz w:val="22"/>
        </w:rPr>
      </w:pPr>
      <w:r>
        <w:fldChar w:fldCharType="begin"/>
      </w:r>
      <w:r>
        <w:rPr>
          <w:rStyle w:val="18"/>
        </w:rPr>
        <w:instrText xml:space="preserve"> HYPERLINK \l "_Toc256000026" </w:instrText>
      </w:r>
      <w:r>
        <w:fldChar w:fldCharType="separate"/>
      </w:r>
      <w:r>
        <w:rPr>
          <w:rStyle w:val="18"/>
          <w:rFonts w:ascii="宋体" w:hAnsi="宋体"/>
          <w:kern w:val="0"/>
        </w:rPr>
        <w:t>重要提示</w:t>
      </w:r>
      <w:r>
        <w:rPr>
          <w:rStyle w:val="18"/>
        </w:rPr>
        <w:tab/>
      </w:r>
      <w:r>
        <w:fldChar w:fldCharType="begin"/>
      </w:r>
      <w:r>
        <w:rPr>
          <w:rStyle w:val="18"/>
        </w:rPr>
        <w:instrText xml:space="preserve"> PAGEREF _Toc256000026 \h </w:instrText>
      </w:r>
      <w:r>
        <w:fldChar w:fldCharType="separate"/>
      </w:r>
      <w:r>
        <w:rPr>
          <w:rStyle w:val="18"/>
        </w:rPr>
        <w:t>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"_Toc256000027" </w:instrText>
      </w:r>
      <w:r>
        <w:fldChar w:fldCharType="separate"/>
      </w:r>
      <w:r>
        <w:rPr>
          <w:rStyle w:val="18"/>
          <w:rFonts w:ascii="宋体" w:hAnsi="宋体"/>
        </w:rPr>
        <w:t>一、绪言</w:t>
      </w:r>
      <w:r>
        <w:rPr>
          <w:rStyle w:val="18"/>
        </w:rPr>
        <w:tab/>
      </w:r>
      <w:r>
        <w:fldChar w:fldCharType="begin"/>
      </w:r>
      <w:r>
        <w:rPr>
          <w:rStyle w:val="18"/>
        </w:rPr>
        <w:instrText xml:space="preserve"> PAGEREF _Toc256000027 \h </w:instrText>
      </w:r>
      <w:r>
        <w:fldChar w:fldCharType="separate"/>
      </w:r>
      <w:r>
        <w:rPr>
          <w:rStyle w:val="18"/>
        </w:rPr>
        <w:t>6</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"_Toc256000028" </w:instrText>
      </w:r>
      <w:r>
        <w:fldChar w:fldCharType="separate"/>
      </w:r>
      <w:r>
        <w:rPr>
          <w:rStyle w:val="18"/>
          <w:rFonts w:ascii="宋体" w:hAnsi="宋体"/>
        </w:rPr>
        <w:t>二、释义</w:t>
      </w:r>
      <w:r>
        <w:rPr>
          <w:rStyle w:val="18"/>
        </w:rPr>
        <w:tab/>
      </w:r>
      <w:r>
        <w:fldChar w:fldCharType="begin"/>
      </w:r>
      <w:r>
        <w:rPr>
          <w:rStyle w:val="18"/>
        </w:rPr>
        <w:instrText xml:space="preserve"> PAGEREF _Toc256000028 \h </w:instrText>
      </w:r>
      <w:r>
        <w:fldChar w:fldCharType="separate"/>
      </w:r>
      <w:r>
        <w:rPr>
          <w:rStyle w:val="18"/>
        </w:rPr>
        <w:t>7</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"_Toc256000029" </w:instrText>
      </w:r>
      <w:r>
        <w:fldChar w:fldCharType="separate"/>
      </w:r>
      <w:r>
        <w:rPr>
          <w:rStyle w:val="18"/>
          <w:rFonts w:ascii="宋体" w:hAnsi="宋体"/>
        </w:rPr>
        <w:t>三、基金管理人</w:t>
      </w:r>
      <w:r>
        <w:rPr>
          <w:rStyle w:val="18"/>
        </w:rPr>
        <w:tab/>
      </w:r>
      <w:r>
        <w:fldChar w:fldCharType="begin"/>
      </w:r>
      <w:r>
        <w:rPr>
          <w:rStyle w:val="18"/>
        </w:rPr>
        <w:instrText xml:space="preserve"> PAGEREF _Toc256000029 \h </w:instrText>
      </w:r>
      <w:r>
        <w:fldChar w:fldCharType="separate"/>
      </w:r>
      <w:r>
        <w:rPr>
          <w:rStyle w:val="18"/>
        </w:rPr>
        <w:t>12</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"_Toc256000030" </w:instrText>
      </w:r>
      <w:r>
        <w:fldChar w:fldCharType="separate"/>
      </w:r>
      <w:r>
        <w:rPr>
          <w:rStyle w:val="18"/>
          <w:rFonts w:ascii="宋体" w:hAnsi="宋体"/>
        </w:rPr>
        <w:t>四、基金托管人</w:t>
      </w:r>
      <w:r>
        <w:rPr>
          <w:rStyle w:val="18"/>
        </w:rPr>
        <w:tab/>
      </w:r>
      <w:r>
        <w:fldChar w:fldCharType="begin"/>
      </w:r>
      <w:r>
        <w:rPr>
          <w:rStyle w:val="18"/>
        </w:rPr>
        <w:instrText xml:space="preserve"> PAGEREF _Toc256000030 \h </w:instrText>
      </w:r>
      <w:r>
        <w:fldChar w:fldCharType="separate"/>
      </w:r>
      <w:r>
        <w:rPr>
          <w:rStyle w:val="18"/>
        </w:rPr>
        <w:t>20</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"_Toc256000031" </w:instrText>
      </w:r>
      <w:r>
        <w:fldChar w:fldCharType="separate"/>
      </w:r>
      <w:r>
        <w:rPr>
          <w:rStyle w:val="18"/>
          <w:rFonts w:ascii="宋体" w:hAnsi="宋体"/>
        </w:rPr>
        <w:t>五、相关服务机构</w:t>
      </w:r>
      <w:r>
        <w:rPr>
          <w:rStyle w:val="18"/>
        </w:rPr>
        <w:tab/>
      </w:r>
      <w:r>
        <w:fldChar w:fldCharType="begin"/>
      </w:r>
      <w:r>
        <w:rPr>
          <w:rStyle w:val="18"/>
        </w:rPr>
        <w:instrText xml:space="preserve"> PAGEREF _Toc256000031 \h </w:instrText>
      </w:r>
      <w:r>
        <w:fldChar w:fldCharType="separate"/>
      </w:r>
      <w:r>
        <w:rPr>
          <w:rStyle w:val="18"/>
        </w:rPr>
        <w:t>23</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"_Toc256000032" </w:instrText>
      </w:r>
      <w:r>
        <w:fldChar w:fldCharType="separate"/>
      </w:r>
      <w:r>
        <w:rPr>
          <w:rStyle w:val="18"/>
          <w:rFonts w:ascii="宋体" w:hAnsi="宋体"/>
        </w:rPr>
        <w:t>六、基金的募集</w:t>
      </w:r>
      <w:r>
        <w:rPr>
          <w:rStyle w:val="18"/>
        </w:rPr>
        <w:tab/>
      </w:r>
      <w:r>
        <w:fldChar w:fldCharType="begin"/>
      </w:r>
      <w:r>
        <w:rPr>
          <w:rStyle w:val="18"/>
        </w:rPr>
        <w:instrText xml:space="preserve"> PAGEREF _Toc256000032 \h </w:instrText>
      </w:r>
      <w:r>
        <w:fldChar w:fldCharType="separate"/>
      </w:r>
      <w:r>
        <w:rPr>
          <w:rStyle w:val="18"/>
        </w:rPr>
        <w:t>32</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"_Toc256000033" </w:instrText>
      </w:r>
      <w:r>
        <w:fldChar w:fldCharType="separate"/>
      </w:r>
      <w:r>
        <w:rPr>
          <w:rStyle w:val="18"/>
          <w:rFonts w:ascii="宋体" w:hAnsi="宋体"/>
        </w:rPr>
        <w:t>七、基金合同的生效</w:t>
      </w:r>
      <w:r>
        <w:rPr>
          <w:rStyle w:val="18"/>
        </w:rPr>
        <w:tab/>
      </w:r>
      <w:r>
        <w:fldChar w:fldCharType="begin"/>
      </w:r>
      <w:r>
        <w:rPr>
          <w:rStyle w:val="18"/>
        </w:rPr>
        <w:instrText xml:space="preserve"> PAGEREF _Toc256000033 \h </w:instrText>
      </w:r>
      <w:r>
        <w:fldChar w:fldCharType="separate"/>
      </w:r>
      <w:r>
        <w:rPr>
          <w:rStyle w:val="18"/>
        </w:rPr>
        <w:t>33</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"_Toc256000034" </w:instrText>
      </w:r>
      <w:r>
        <w:fldChar w:fldCharType="separate"/>
      </w:r>
      <w:r>
        <w:rPr>
          <w:rStyle w:val="18"/>
          <w:rFonts w:ascii="宋体" w:hAnsi="宋体"/>
        </w:rPr>
        <w:t>八、基金份额的申购与赎回</w:t>
      </w:r>
      <w:r>
        <w:rPr>
          <w:rStyle w:val="18"/>
        </w:rPr>
        <w:tab/>
      </w:r>
      <w:r>
        <w:fldChar w:fldCharType="begin"/>
      </w:r>
      <w:r>
        <w:rPr>
          <w:rStyle w:val="18"/>
        </w:rPr>
        <w:instrText xml:space="preserve"> PAGEREF _Toc256000034 \h </w:instrText>
      </w:r>
      <w:r>
        <w:fldChar w:fldCharType="separate"/>
      </w:r>
      <w:r>
        <w:rPr>
          <w:rStyle w:val="18"/>
        </w:rPr>
        <w:t>34</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"_Toc256000035" </w:instrText>
      </w:r>
      <w:r>
        <w:fldChar w:fldCharType="separate"/>
      </w:r>
      <w:r>
        <w:rPr>
          <w:rStyle w:val="18"/>
          <w:rFonts w:ascii="宋体" w:hAnsi="宋体"/>
        </w:rPr>
        <w:t>九、基金的投资</w:t>
      </w:r>
      <w:r>
        <w:rPr>
          <w:rStyle w:val="18"/>
        </w:rPr>
        <w:tab/>
      </w:r>
      <w:r>
        <w:fldChar w:fldCharType="begin"/>
      </w:r>
      <w:r>
        <w:rPr>
          <w:rStyle w:val="18"/>
        </w:rPr>
        <w:instrText xml:space="preserve"> PAGEREF _Toc256000035 \h </w:instrText>
      </w:r>
      <w:r>
        <w:fldChar w:fldCharType="separate"/>
      </w:r>
      <w:r>
        <w:rPr>
          <w:rStyle w:val="18"/>
        </w:rPr>
        <w:t>48</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"_Toc256000036" </w:instrText>
      </w:r>
      <w:r>
        <w:fldChar w:fldCharType="separate"/>
      </w:r>
      <w:r>
        <w:rPr>
          <w:rStyle w:val="18"/>
          <w:rFonts w:ascii="宋体" w:hAnsi="宋体"/>
        </w:rPr>
        <w:t>十、基金的业绩</w:t>
      </w:r>
      <w:r>
        <w:rPr>
          <w:rStyle w:val="18"/>
        </w:rPr>
        <w:tab/>
      </w:r>
      <w:r>
        <w:fldChar w:fldCharType="begin"/>
      </w:r>
      <w:r>
        <w:rPr>
          <w:rStyle w:val="18"/>
        </w:rPr>
        <w:instrText xml:space="preserve"> PAGEREF _Toc256000036 \h </w:instrText>
      </w:r>
      <w:r>
        <w:fldChar w:fldCharType="separate"/>
      </w:r>
      <w:r>
        <w:rPr>
          <w:rStyle w:val="18"/>
        </w:rPr>
        <w:t>60</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"_Toc256000037" </w:instrText>
      </w:r>
      <w:r>
        <w:fldChar w:fldCharType="separate"/>
      </w:r>
      <w:r>
        <w:rPr>
          <w:rStyle w:val="18"/>
          <w:rFonts w:ascii="宋体" w:hAnsi="宋体"/>
        </w:rPr>
        <w:t>十一、基金的财产</w:t>
      </w:r>
      <w:r>
        <w:rPr>
          <w:rStyle w:val="18"/>
        </w:rPr>
        <w:tab/>
      </w:r>
      <w:r>
        <w:fldChar w:fldCharType="begin"/>
      </w:r>
      <w:r>
        <w:rPr>
          <w:rStyle w:val="18"/>
        </w:rPr>
        <w:instrText xml:space="preserve"> PAGEREF _Toc256000037 \h </w:instrText>
      </w:r>
      <w:r>
        <w:fldChar w:fldCharType="separate"/>
      </w:r>
      <w:r>
        <w:rPr>
          <w:rStyle w:val="18"/>
        </w:rPr>
        <w:t>63</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"_Toc256000038" </w:instrText>
      </w:r>
      <w:r>
        <w:fldChar w:fldCharType="separate"/>
      </w:r>
      <w:r>
        <w:rPr>
          <w:rStyle w:val="18"/>
          <w:rFonts w:ascii="宋体" w:hAnsi="宋体"/>
        </w:rPr>
        <w:t>十二、基金资产的估值</w:t>
      </w:r>
      <w:r>
        <w:rPr>
          <w:rStyle w:val="18"/>
        </w:rPr>
        <w:tab/>
      </w:r>
      <w:r>
        <w:fldChar w:fldCharType="begin"/>
      </w:r>
      <w:r>
        <w:rPr>
          <w:rStyle w:val="18"/>
        </w:rPr>
        <w:instrText xml:space="preserve"> PAGEREF _Toc256000038 \h </w:instrText>
      </w:r>
      <w:r>
        <w:fldChar w:fldCharType="separate"/>
      </w:r>
      <w:r>
        <w:rPr>
          <w:rStyle w:val="18"/>
        </w:rPr>
        <w:t>64</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"_Toc256000039" </w:instrText>
      </w:r>
      <w:r>
        <w:fldChar w:fldCharType="separate"/>
      </w:r>
      <w:r>
        <w:rPr>
          <w:rStyle w:val="18"/>
          <w:rFonts w:ascii="宋体" w:hAnsi="宋体"/>
        </w:rPr>
        <w:t>十三、基金收益与分配</w:t>
      </w:r>
      <w:r>
        <w:rPr>
          <w:rStyle w:val="18"/>
        </w:rPr>
        <w:tab/>
      </w:r>
      <w:r>
        <w:fldChar w:fldCharType="begin"/>
      </w:r>
      <w:r>
        <w:rPr>
          <w:rStyle w:val="18"/>
        </w:rPr>
        <w:instrText xml:space="preserve"> PAGEREF _Toc256000039 \h </w:instrText>
      </w:r>
      <w:r>
        <w:fldChar w:fldCharType="separate"/>
      </w:r>
      <w:r>
        <w:rPr>
          <w:rStyle w:val="18"/>
        </w:rPr>
        <w:t>70</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"_Toc256000040" </w:instrText>
      </w:r>
      <w:r>
        <w:fldChar w:fldCharType="separate"/>
      </w:r>
      <w:r>
        <w:rPr>
          <w:rStyle w:val="18"/>
          <w:rFonts w:ascii="宋体" w:hAnsi="宋体"/>
        </w:rPr>
        <w:t>十四、基金的费用与税收</w:t>
      </w:r>
      <w:r>
        <w:rPr>
          <w:rStyle w:val="18"/>
        </w:rPr>
        <w:tab/>
      </w:r>
      <w:r>
        <w:fldChar w:fldCharType="begin"/>
      </w:r>
      <w:r>
        <w:rPr>
          <w:rStyle w:val="18"/>
        </w:rPr>
        <w:instrText xml:space="preserve"> PAGEREF _Toc256000040 \h </w:instrText>
      </w:r>
      <w:r>
        <w:fldChar w:fldCharType="separate"/>
      </w:r>
      <w:r>
        <w:rPr>
          <w:rStyle w:val="18"/>
        </w:rPr>
        <w:t>72</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"_Toc256000041" </w:instrText>
      </w:r>
      <w:r>
        <w:fldChar w:fldCharType="separate"/>
      </w:r>
      <w:r>
        <w:rPr>
          <w:rStyle w:val="18"/>
          <w:rFonts w:ascii="宋体" w:hAnsi="宋体"/>
        </w:rPr>
        <w:t>十五、基金的会计与审计</w:t>
      </w:r>
      <w:r>
        <w:rPr>
          <w:rStyle w:val="18"/>
        </w:rPr>
        <w:tab/>
      </w:r>
      <w:r>
        <w:fldChar w:fldCharType="begin"/>
      </w:r>
      <w:r>
        <w:rPr>
          <w:rStyle w:val="18"/>
        </w:rPr>
        <w:instrText xml:space="preserve"> PAGEREF _Toc256000041 \h </w:instrText>
      </w:r>
      <w:r>
        <w:fldChar w:fldCharType="separate"/>
      </w:r>
      <w:r>
        <w:rPr>
          <w:rStyle w:val="18"/>
        </w:rPr>
        <w:t>75</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"_Toc256000042" </w:instrText>
      </w:r>
      <w:r>
        <w:fldChar w:fldCharType="separate"/>
      </w:r>
      <w:r>
        <w:rPr>
          <w:rStyle w:val="18"/>
          <w:rFonts w:ascii="宋体" w:hAnsi="宋体"/>
        </w:rPr>
        <w:t>十六、基金的信息披露</w:t>
      </w:r>
      <w:r>
        <w:rPr>
          <w:rStyle w:val="18"/>
        </w:rPr>
        <w:tab/>
      </w:r>
      <w:r>
        <w:fldChar w:fldCharType="begin"/>
      </w:r>
      <w:r>
        <w:rPr>
          <w:rStyle w:val="18"/>
        </w:rPr>
        <w:instrText xml:space="preserve"> PAGEREF _Toc256000042 \h </w:instrText>
      </w:r>
      <w:r>
        <w:fldChar w:fldCharType="separate"/>
      </w:r>
      <w:r>
        <w:rPr>
          <w:rStyle w:val="18"/>
        </w:rPr>
        <w:t>76</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"_Toc256000043" </w:instrText>
      </w:r>
      <w:r>
        <w:fldChar w:fldCharType="separate"/>
      </w:r>
      <w:r>
        <w:rPr>
          <w:rStyle w:val="18"/>
          <w:rFonts w:ascii="宋体" w:hAnsi="宋体"/>
        </w:rPr>
        <w:t>十七、侧袋机制</w:t>
      </w:r>
      <w:r>
        <w:rPr>
          <w:rStyle w:val="18"/>
        </w:rPr>
        <w:tab/>
      </w:r>
      <w:r>
        <w:fldChar w:fldCharType="begin"/>
      </w:r>
      <w:r>
        <w:rPr>
          <w:rStyle w:val="18"/>
        </w:rPr>
        <w:instrText xml:space="preserve"> PAGEREF _Toc256000043 \h </w:instrText>
      </w:r>
      <w:r>
        <w:fldChar w:fldCharType="separate"/>
      </w:r>
      <w:r>
        <w:rPr>
          <w:rStyle w:val="18"/>
        </w:rPr>
        <w:t>83</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"_Toc256000044" </w:instrText>
      </w:r>
      <w:r>
        <w:fldChar w:fldCharType="separate"/>
      </w:r>
      <w:r>
        <w:rPr>
          <w:rStyle w:val="18"/>
          <w:rFonts w:ascii="宋体" w:hAnsi="宋体"/>
        </w:rPr>
        <w:t>十八、风险揭示</w:t>
      </w:r>
      <w:r>
        <w:rPr>
          <w:rStyle w:val="18"/>
        </w:rPr>
        <w:tab/>
      </w:r>
      <w:r>
        <w:fldChar w:fldCharType="begin"/>
      </w:r>
      <w:r>
        <w:rPr>
          <w:rStyle w:val="18"/>
        </w:rPr>
        <w:instrText xml:space="preserve"> PAGEREF _Toc256000044 \h </w:instrText>
      </w:r>
      <w:r>
        <w:fldChar w:fldCharType="separate"/>
      </w:r>
      <w:r>
        <w:rPr>
          <w:rStyle w:val="18"/>
        </w:rPr>
        <w:t>86</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"_Toc256000045" </w:instrText>
      </w:r>
      <w:r>
        <w:fldChar w:fldCharType="separate"/>
      </w:r>
      <w:r>
        <w:rPr>
          <w:rStyle w:val="18"/>
          <w:rFonts w:ascii="宋体" w:hAnsi="宋体"/>
        </w:rPr>
        <w:t>十九、基金合同的变更、终止与基金财产的清算</w:t>
      </w:r>
      <w:r>
        <w:rPr>
          <w:rStyle w:val="18"/>
        </w:rPr>
        <w:tab/>
      </w:r>
      <w:r>
        <w:fldChar w:fldCharType="begin"/>
      </w:r>
      <w:r>
        <w:rPr>
          <w:rStyle w:val="18"/>
        </w:rPr>
        <w:instrText xml:space="preserve"> PAGEREF _Toc256000045 \h </w:instrText>
      </w:r>
      <w:r>
        <w:fldChar w:fldCharType="separate"/>
      </w:r>
      <w:r>
        <w:rPr>
          <w:rStyle w:val="18"/>
        </w:rPr>
        <w:t>99</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"_Toc256000046" </w:instrText>
      </w:r>
      <w:r>
        <w:fldChar w:fldCharType="separate"/>
      </w:r>
      <w:r>
        <w:rPr>
          <w:rStyle w:val="18"/>
          <w:rFonts w:ascii="宋体" w:hAnsi="宋体"/>
        </w:rPr>
        <w:t>二十、基金合同内容摘要</w:t>
      </w:r>
      <w:r>
        <w:rPr>
          <w:rStyle w:val="18"/>
        </w:rPr>
        <w:tab/>
      </w:r>
      <w:r>
        <w:fldChar w:fldCharType="begin"/>
      </w:r>
      <w:r>
        <w:rPr>
          <w:rStyle w:val="18"/>
        </w:rPr>
        <w:instrText xml:space="preserve"> PAGEREF _Toc256000046 \h </w:instrText>
      </w:r>
      <w:r>
        <w:fldChar w:fldCharType="separate"/>
      </w:r>
      <w:r>
        <w:rPr>
          <w:rStyle w:val="18"/>
        </w:rPr>
        <w:t>101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"_Toc256000047" </w:instrText>
      </w:r>
      <w:r>
        <w:fldChar w:fldCharType="separate"/>
      </w:r>
      <w:r>
        <w:rPr>
          <w:rStyle w:val="18"/>
          <w:rFonts w:ascii="宋体" w:hAnsi="宋体"/>
        </w:rPr>
        <w:t>二十一、托管协议的内容摘要</w:t>
      </w:r>
      <w:r>
        <w:rPr>
          <w:rStyle w:val="18"/>
        </w:rPr>
        <w:tab/>
      </w:r>
      <w:r>
        <w:fldChar w:fldCharType="begin"/>
      </w:r>
      <w:r>
        <w:rPr>
          <w:rStyle w:val="18"/>
        </w:rPr>
        <w:instrText xml:space="preserve"> PAGEREF _Toc256000047 \h </w:instrText>
      </w:r>
      <w:r>
        <w:fldChar w:fldCharType="separate"/>
      </w:r>
      <w:r>
        <w:rPr>
          <w:rStyle w:val="18"/>
        </w:rPr>
        <w:t>118</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"_Toc256000048" </w:instrText>
      </w:r>
      <w:r>
        <w:fldChar w:fldCharType="separate"/>
      </w:r>
      <w:r>
        <w:rPr>
          <w:rStyle w:val="18"/>
          <w:rFonts w:ascii="宋体" w:hAnsi="宋体"/>
        </w:rPr>
        <w:t>二十二、对基金份额持有人的服务</w:t>
      </w:r>
      <w:r>
        <w:rPr>
          <w:rStyle w:val="18"/>
        </w:rPr>
        <w:tab/>
      </w:r>
      <w:r>
        <w:fldChar w:fldCharType="begin"/>
      </w:r>
      <w:r>
        <w:rPr>
          <w:rStyle w:val="18"/>
        </w:rPr>
        <w:instrText xml:space="preserve"> PAGEREF _Toc256000048 \h </w:instrText>
      </w:r>
      <w:r>
        <w:fldChar w:fldCharType="separate"/>
      </w:r>
      <w:r>
        <w:rPr>
          <w:rStyle w:val="18"/>
        </w:rPr>
        <w:t>134</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"_Toc256000049" </w:instrText>
      </w:r>
      <w:r>
        <w:fldChar w:fldCharType="separate"/>
      </w:r>
      <w:r>
        <w:rPr>
          <w:rStyle w:val="18"/>
          <w:rFonts w:ascii="宋体" w:hAnsi="宋体"/>
        </w:rPr>
        <w:t>二十三、其他应披露事项</w:t>
      </w:r>
      <w:r>
        <w:rPr>
          <w:rStyle w:val="18"/>
        </w:rPr>
        <w:tab/>
      </w:r>
      <w:r>
        <w:fldChar w:fldCharType="begin"/>
      </w:r>
      <w:r>
        <w:rPr>
          <w:rStyle w:val="18"/>
        </w:rPr>
        <w:instrText xml:space="preserve"> PAGEREF _Toc256000049 \h </w:instrText>
      </w:r>
      <w:r>
        <w:fldChar w:fldCharType="separate"/>
      </w:r>
      <w:r>
        <w:rPr>
          <w:rStyle w:val="18"/>
        </w:rPr>
        <w:t>136</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"_Toc256000050" </w:instrText>
      </w:r>
      <w:r>
        <w:fldChar w:fldCharType="separate"/>
      </w:r>
      <w:r>
        <w:rPr>
          <w:rStyle w:val="18"/>
          <w:rFonts w:ascii="宋体" w:hAnsi="宋体"/>
        </w:rPr>
        <w:t>二十四、招募说明书的存放及查阅方式</w:t>
      </w:r>
      <w:r>
        <w:rPr>
          <w:rStyle w:val="18"/>
        </w:rPr>
        <w:tab/>
      </w:r>
      <w:r>
        <w:fldChar w:fldCharType="begin"/>
      </w:r>
      <w:r>
        <w:rPr>
          <w:rStyle w:val="18"/>
        </w:rPr>
        <w:instrText xml:space="preserve"> PAGEREF _Toc256000050 \h </w:instrText>
      </w:r>
      <w:r>
        <w:fldChar w:fldCharType="separate"/>
      </w:r>
      <w:r>
        <w:rPr>
          <w:rStyle w:val="18"/>
        </w:rPr>
        <w:t>139</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"_Toc256000051" </w:instrText>
      </w:r>
      <w:r>
        <w:fldChar w:fldCharType="separate"/>
      </w:r>
      <w:r>
        <w:rPr>
          <w:rStyle w:val="18"/>
          <w:rFonts w:ascii="宋体" w:hAnsi="宋体"/>
        </w:rPr>
        <w:t>二十五、备查文件</w:t>
      </w:r>
      <w:r>
        <w:rPr>
          <w:rStyle w:val="18"/>
        </w:rPr>
        <w:tab/>
      </w:r>
      <w:r>
        <w:fldChar w:fldCharType="begin"/>
      </w:r>
      <w:r>
        <w:rPr>
          <w:rStyle w:val="18"/>
        </w:rPr>
        <w:instrText xml:space="preserve"> PAGEREF _Toc256000051 \h </w:instrText>
      </w:r>
      <w:r>
        <w:fldChar w:fldCharType="separate"/>
      </w:r>
      <w:r>
        <w:rPr>
          <w:rStyle w:val="18"/>
        </w:rPr>
        <w:t>140</w:t>
      </w:r>
      <w:r>
        <w:fldChar w:fldCharType="end"/>
      </w:r>
      <w:r>
        <w:fldChar w:fldCharType="end"/>
      </w:r>
    </w:p>
    <w:p>
      <w:pPr>
        <w:pStyle w:val="20"/>
        <w:snapToGrid w:val="0"/>
        <w:spacing w:after="0" w:line="360" w:lineRule="auto"/>
        <w:jc w:val="center"/>
        <w:rPr>
          <w:rFonts w:ascii="宋体" w:hAnsi="宋体"/>
          <w:color w:val="auto"/>
        </w:rPr>
      </w:pPr>
      <w:r>
        <w:rPr>
          <w:rFonts w:ascii="宋体" w:hAnsi="宋体"/>
          <w:color w:val="auto"/>
        </w:rPr>
        <w:fldChar w:fldCharType="end"/>
      </w:r>
    </w:p>
    <w:p>
      <w:pPr>
        <w:autoSpaceDE w:val="0"/>
        <w:autoSpaceDN w:val="0"/>
        <w:adjustRightInd w:val="0"/>
        <w:snapToGrid w:val="0"/>
        <w:spacing w:before="51" w:after="0" w:line="360" w:lineRule="auto"/>
        <w:ind w:left="120" w:right="13" w:rightChars="6" w:firstLine="480"/>
        <w:rPr>
          <w:rFonts w:ascii="宋体" w:hAnsi="宋体"/>
          <w:kern w:val="0"/>
          <w:szCs w:val="24"/>
        </w:rPr>
        <w:sectPr>
          <w:footerReference r:id="rId12" w:type="default"/>
          <w:pgSz w:w="11920" w:h="16840"/>
          <w:pgMar w:top="1360" w:right="1580" w:bottom="280" w:left="1680" w:header="0" w:footer="1186" w:gutter="0"/>
          <w:cols w:space="720" w:num="1"/>
        </w:sectPr>
      </w:pPr>
    </w:p>
    <w:p>
      <w:pPr>
        <w:pStyle w:val="2"/>
        <w:snapToGrid w:val="0"/>
        <w:spacing w:before="240" w:beforeLines="0" w:after="0"/>
        <w:rPr>
          <w:rFonts w:ascii="宋体" w:hAnsi="宋体"/>
          <w:szCs w:val="30"/>
        </w:rPr>
      </w:pPr>
      <w:bookmarkStart w:id="4" w:name="_Toc256000001"/>
      <w:bookmarkStart w:id="5" w:name="_Toc256000027"/>
      <w:r>
        <w:rPr>
          <w:rFonts w:ascii="宋体" w:hAnsi="宋体"/>
          <w:sz w:val="30"/>
        </w:rPr>
        <w:t>一、绪言</w:t>
      </w:r>
      <w:bookmarkEnd w:id="4"/>
      <w:bookmarkEnd w:id="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中证港股通央企红利指数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和其他相关法律法规的规定以及《交银施罗德中证港股通央企红利指数型证券投资基金基金合同》（以下简称“基金合同”）编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pStyle w:val="2"/>
        <w:snapToGrid w:val="0"/>
        <w:spacing w:before="240" w:beforeLines="0" w:after="0"/>
        <w:rPr>
          <w:rFonts w:ascii="宋体" w:hAnsi="宋体"/>
          <w:szCs w:val="30"/>
        </w:rPr>
      </w:pPr>
      <w:r>
        <w:br w:type="page"/>
      </w:r>
      <w:bookmarkStart w:id="6" w:name="_Toc256000028"/>
      <w:bookmarkStart w:id="7" w:name="_Toc256000002"/>
      <w:r>
        <w:rPr>
          <w:rFonts w:ascii="宋体" w:hAnsi="宋体"/>
          <w:sz w:val="30"/>
        </w:rPr>
        <w:t>二、释义</w:t>
      </w:r>
      <w:bookmarkEnd w:id="6"/>
      <w:bookmarkEnd w:id="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在本招募说明书中，除非文意另有所指，下列词语或简称具有如下含义：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1、基金或本基金：指交银施罗德中证港股通央企红利指数型证券投资基金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2、基金管理人：指交银施罗德基金管理有限公司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3、基金托管人：指中信建投证券股份有限公司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4、基金合同或《基金合同》：指《交银施罗德中证港股通央企红利指数型证券投资基金基金合同》及对基金合同的任何有效修订和补充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5、托管协议：指基金管理人与基金托管人就本基金签订之《交银施罗德中证港股通央企红利指数型证券投资基金托管协议》及对该托管协议的任何有效修订和补充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6、招募说明书、《招募说明书》或本招募说明书：指《交银施罗德中证港股通央企红利指数型证券投资基金招募说明书》及其更新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7、基金份额发售公告：指《交银施罗德中证港股通央企红利指数型证券投资基金基金份额发售公告》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8、基金产品资料概要：指《交银施罗德中证港股通央企红利指数型证券投资基金基金产品资料概要》及其更新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10、《基金法》：指《中华人民共和国证券投资基金法》及颁布机关对其不时做出的修订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11、《销售办法》：指《公开募集证券投资基金销售机构监督管理办法》及颁布机关对其不时做出的修订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12、《信息披露办法》：指《公开募集证券投资基金信息披露管理办法》及颁布机关对其不时做出的修订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13、《运作办法》：指《公开募集证券投资基金运作管理办法》及颁布机关对其不时做出的修订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14、《流动性风险管理规定》：指《公开募集开放式证券投资基金流动性风险管理规定》及颁布机关对其不时做出的修订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15、《指数基金指引》：指《公开募集证券投资基金运作指引第3号——指数基金指引》及颁布机关对其不时做出的修订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16、中国证监会：指中国证券监督管理委员会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18、个人投资者：指依据有关法律法规规定可投资于证券投资基金的自然人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21、投资人、投资者：指个人投资者、机构投资者、合格境外投资者以及法律法规或中国证监会允许购买证券投资基金的其他投资人的合称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22、基金份额持有人：指依基金合同和招募说明书合法取得基金份额的投资人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23、基金销售业务：指基金管理人或销售机构宣传推介基金，发售基金份额，办理基金份额的申购、赎回、转换、转托管及定期定额投资等业务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26、登记机构：指办理登记业务的机构。基金的登记机构为交银施罗德基金管理有限公司或接受交银施罗德基金管理有限公司委托代为办理登记业务的机构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27、基金账户：指登记机构为投资人开立的、记录其持有的、基金管理人所管理的基金份额余额及其变动情况的账户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28、基金交易账户：指销售机构为投资人开立的、记录投资人通过该销售机构办理认购、申购、赎回、转换及转托管等业务而引起的基金份额变动及结余情况的账户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29、基金合同生效日：指基金募集达到法律法规规定及基金合同规定的条件，基金管理人向中国证监会办理基金备案手续完毕，并获得中国证监会书面确认的日期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30、基金合同终止日：指基金合同规定的基金合同终止事由出现后，基金财产清算完毕，清算结果报中国证监会备案并予以公告的日期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31、基金募集期：指自基金份额发售之日起至发售结束之日止的期间，最长不得超过3个月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32、存续期：指基金合同生效至终止之间的不定期期限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33、工作日：指上海证券交易所、深圳证券交易所的正常交易日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34、T日：指销售机构在规定时间受理投资人申购、赎回或其他业务申请的开放日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35、T+n日：指自T日起第n个工作日（不包含T日）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36、开放日：指为投资人办理基金份额申购、赎回或其他业务的工作日（若该工作日为非港股通交易日，则本基金不开放）</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37、开放时间：指开放日基金接受申购、赎回或其他交易的时间段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38、《业务规则》：指《交银施罗德基金管理有限公司开放式基金业务规则》，是规范基金管理人所管理的开放式证券投资基金登记方面的业务规则，由基金管理人和投资人共同遵守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39、认购：指在基金募集期内，投资人根据基金合同和招募说明书的规定申请购买基金份额的行为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40、申购：指基金合同生效后，投资人根据基金合同和招募说明书的规定申请购买基金份额的行为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41、赎回：指基金合同生效后，基金份额持有人按基金合同和招募说明书规定的条件要求将基金份额兑换为现金的行为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42、基金转换：指基金份额持有人按照基金合同和基金管理人届时有效公告规定的条件，申请将其持有基金管理人管理的、某一基金的基金份额转换为基金管理人管理的其他基金基金份额的行为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43、转托管：指基金份额持有人在本基金的不同销售机构之间实施的变更所持基金份额销售机构的操作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44、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45、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46、元：指人民币元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47、基金收益：指基金投资所得红利、股息、债券利息、买卖证券价差、银行存款利息、已实现的其他合法收入及因运用基金财产带来的成本和费用的节约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48、基金资产总值：指基金拥有的各类有价证券、股指期货合约、银行存款本息、基金应收款项及其他资产的价值总和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49、基金资产净值：指基金资产总值减去基金负债后的价值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50、基金份额净值：指计算日基金资产净值除以计算日基金份额总数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51、基金资产估值：指计算评估基金资产和负债的价值，以确定基金资产净值和基金份额净值的过程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52、港股通标的股票：指内地投资者委托内地证券公司，经由内地证券交易所在香港设立的证券交易服务公司，向香港联合交易所进行申报，买卖规定范围内的香港联合交易所上市的股票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53、规定媒介：指符合中国证监会规定条件的用以进行信息披露的全国性报刊及《信息披露办法》规定的互联网网站（包括基金管理人网站、基金托管人网站、中国证监会基金电子披露网站）等媒介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54、销售服务费：指从基金财产中计提的，用于本基金市场推广、销售以及基金份额持有人服务的费用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55、A类基金份额：指在投资人认购/申购时收取认购/申购费用、不从本类别基金资产中计提销售服务费的基金份额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56、C类基金份额：指在投资人认购/申购时不收取认购/申购费用、从本类别基金资产中计提销售服务费的基金份额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57、标的指数：指中证港股通央企红利指数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59、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62、转融通证券出借业务：指本基金以一定费率通过证券交易所综合业务平台向中国证券金融股份有限公司出借证券，中国证券金融股份有限公司到期归还所借证券及相应权益补偿并支付费用的业务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63、不可抗力：指基金合同当事人不能预见、不能避免且不能克服的客观事件</w:t>
      </w:r>
    </w:p>
    <w:p>
      <w:pPr>
        <w:pStyle w:val="2"/>
        <w:snapToGrid w:val="0"/>
        <w:spacing w:before="240" w:beforeLines="0" w:after="0"/>
        <w:rPr>
          <w:rFonts w:ascii="宋体" w:hAnsi="宋体"/>
          <w:szCs w:val="30"/>
        </w:rPr>
      </w:pPr>
      <w:r>
        <w:br w:type="page"/>
      </w:r>
      <w:bookmarkStart w:id="8" w:name="_Toc256000029"/>
      <w:bookmarkStart w:id="9" w:name="_Toc256000003"/>
      <w:r>
        <w:rPr>
          <w:rFonts w:ascii="宋体" w:hAnsi="宋体"/>
          <w:sz w:val="30"/>
        </w:rPr>
        <w:t>三、基金管理人</w:t>
      </w:r>
      <w:bookmarkEnd w:id="8"/>
      <w:bookmarkEnd w:id="9"/>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（一）基金管理人概况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邮政编码：200120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法定代表人：袁庆伟（代任）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成立时间：2005年8月4日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注册资本：2亿元人民币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联系人：何佳妮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电话：（021）61055050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传真：（021）61055034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交银施罗德基金管理有限公司（以下简称“公司”）经中国证监会证监基金字[2005]128号文批准设立。公司股权结构如下：</w:t>
      </w:r>
    </w:p>
    <w:tbl>
      <w:tblPr>
        <w:tblStyle w:val="14"/>
        <w:tblW w:w="5000" w:type="pct"/>
        <w:tblInd w:w="0" w:type="dxa"/>
        <w:tblLayout w:type="fixed"/>
        <w:tblCellMar>
          <w:top w:w="0" w:type="dxa"/>
          <w:left w:w="0" w:type="dxa"/>
          <w:bottom w:w="0" w:type="dxa"/>
          <w:right w:w="0" w:type="dxa"/>
        </w:tblCellMar>
      </w:tblPr>
      <w:tblGrid>
        <w:gridCol w:w="4335"/>
        <w:gridCol w:w="433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股东名称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股权比例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交通银行股份有限公司（以下使用全称或其简称“交通银行”）</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施罗德投资管理有限公司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中国国际海运集装箱（集团）股份有限公司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r>
    </w:tbl>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（二）主要成员情况</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xml:space="preserve">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单锋先生，独立董事，博士。现任南京大学法学教授职务。历任南京大学法学院助教、讲师、副教授。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许颖女士，职工董事，学士。现任交银施罗德基金管理有限公司基金运营部总经理、工会副主席职务。历任交银施罗德基金管理有限公司财务部总经理、财务总监，交银施罗德资产管理有限公司执行监事。</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袁庆伟女士，总经理。简历同上。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邵文婷女士:多资产研究部副总监、基金经理。英国诺丁汉大学金融与投资硕士、西南财经大学数学与经济学双学士。10年证券投资行业从业经验。2016年加入交银施罗德基金管理有限公司，曾任量化投资部研究员、投资经理，现任多资产研究部副总监、基金经理。曾任交银施罗德定期支付月月丰债券型证券投资基金（2022年11月30日至2024年12月27日）的基金经理。现任交银施罗德中证A500指数增强型发起式证券投资基金（2026年02月10日至今）、交银施罗德中证智选沪深港科技50交易型开放式指数证券投资基金（2025年12月10日至今）、交银施罗德中证港股通央企红利指数型证券投资基金（2025年10月28日至今）、交银施罗德恒生港股通创新药精选指数型证券投资基金（2025年08月20日至今）、交银施罗德中证A50指数型证券投资基金（2025年04月02日至今）、交银施罗德上证科创板100指数型证券投资基金（2025年02月26日至今）、交银施罗德中证A500指数型证券投资基金（2025年01月22日至今）、交银施罗德中证红利低波动100指数型证券投资基金（2024年03月15日至今）、上证180公司治理交易型开放式指数证券投资基金（2021年04月30日至今）、交银施罗德上证180公司治理交易型开放式指数证券投资基金联接基金（2021年04月30日至今）、深证300价值交易型开放式指数证券投资基金（2021年04月30日至今）、交银施罗德深证300价值交易型开放式指数证券投资基金联接基金（2021年04月30日至今）、交银施罗德国证新能源指数证券投资基金（LOF）（2021年04月30日至今）、交银施罗德创业板50指数型证券投资基金（2021年04月30日至今）、交银施罗德中证海外中国互联网指数型证券投资基金(LOF)（2021年04月30日至今）、交银施罗德中证环境治理指数型证券投资基金(LOF)（2021年04月30日至今）的基金经理。</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委员：马俊（副总经理）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迟鑫（权益部总经理兼任跨境投资部总经理）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王崇（权益投资副总监、权益部一级专家、基金经理）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于海颖（混合资产投资总监、基金经理）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黄莹洁（固定收益（公募）投资助理总监、基金经理）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樊继拓（多资产研究部副总经理）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上述人员之间不存在近亲属关系。</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（三）基金管理人的职责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1、依法募集资金，办理或者委托经中国证监会认定的其他机构办理基金份额的发售、申购、赎回和登记事宜；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2、办理基金备案手续；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3、对所管理的不同基金财产分别管理、分别记账，进行证券投资；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4、按照基金合同的约定确定基金收益分配方案，及时向基金份额持有人分配收益；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5、进行基金会计核算并编制基金财务会计报告；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6、编制季度报告、中期报告和年度报告；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7、计算并公告基金净值信息，确定基金份额申购、赎回价格；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8、办理与基金财产管理业务活动有关的信息披露事项；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9、按照规定召集基金份额持有人大会；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10、保存基金财产管理业务活动的记录、账册、报表和其他相关资料；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11、以基金管理人名义，代表基金份额持有人利益行使诉讼权利或者实施其他法律行为；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12、有关法律法规和中国证监会规定的其他职责。</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（四）基金管理人的承诺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2、基金管理人承诺不从事违反《基金法》的行为，并承诺建立健全内部风险控制制度，采取有效措施，防止下列行为的发生：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（1）将基金管理人固有财产或者他人财产混同于基金财产从事证券投资；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（2）不公平地对待管理的不同基金财产；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（3）利用基金财产为基金份额持有人以外的第三人牟取利益；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（4）向基金份额持有人违规承诺收益或者承担损失；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（5）侵占、挪用基金财产；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（6）法律、行政法规和中国证监会禁止的其他行为。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3、基金管理人承诺严格遵守基金合同，并承诺建立健全内部控制制度，采取有效措施，防止违反基金合同行为的发生；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4、基金管理人承诺加强人员管理，强化职业操守，督促和约束员工遵守国家有关法律法规及行业规范，诚实信用、勤勉尽责；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5、基金管理人承诺不从事其他法规规定禁止从事的行为。</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（五）基金经理承诺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1、依照有关法律法规和基金合同的规定，本着谨慎的原则为基金份额持有人谋取最大利益；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2、不利用职务之便为自己、受雇人或任何第三者谋取利益；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4、不以任何形式为其他组织或个人进行证券交易。</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（六）基金管理人的内部控制制度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1、内部控制的原则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（1）健全性原则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内部控制应当包括公司的各项业务、各个部门或机构和各级人员, 并涵盖到决策、执行、监督、反馈等各个环节。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（2）有效性原则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通过科学的内控手段和方法，建立合理的内控程序，维护内控制度的有效执行。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（3）独立性原则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公司各机构、部门和岗位职责应当保持相对独立，除非法律法规另有规定，公司基金资产、自有资产、其他资产的运作应当分离。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（4）相互制约原则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公司内部部门和岗位的设置应当体现权责分明、相互制衡。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（5）成本效益原则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公司运用科学化的经营管理方法降低运作成本，提高经济效益，力争以合理的控制成本达到最佳的内部控制效果。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2、风险管理和内部风险控制体系结构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（1）董事会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负责制定公司风险偏好（含风险容忍度）、风险管理和内部控制政策，审议并通过与公司内部风险管理和合规有关的重大事项。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（2）合规风险及审计委员会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（3）风险控制委员会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（4）督察长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（5）风险管理部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（6）审计部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（7）内控合规及法律事务部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（8）业务部门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3、风险管理和内部风险控制的措施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（1）建立内控体系，完善内控制度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（2）建立相互分离、相互制衡的内控机制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（3）建立、健全岗位责任制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建立、健全了岗位责任制，使每个员工都明确自己的任务、职责，并及时将各自工作领域中的风险隐患上报，以防范和减少风险。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（4）建立风险分类、识别、评估、报告、提示程序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（5）建立有效的内部监控系统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建立了足够、有效的内部监控系统，对可能出现的各种风险进行全面和实时的监控。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（6）使用数量化的风险管理手段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采取数量化、技术化的风险控制手段，建立数量化的风险管理模型，用以提示风险，以便公司及时采取有效的措施，对风险进行分散、控制和规避，尽可能地减少损失。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（7）提供足够的培训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制定了完整的培训计划，为所有员工提供足够和适当的培训，使员工明确其职责所在，控制风险。</w:t>
      </w:r>
    </w:p>
    <w:p>
      <w:pPr>
        <w:pStyle w:val="2"/>
        <w:snapToGrid w:val="0"/>
        <w:spacing w:before="240" w:beforeLines="0" w:after="0"/>
        <w:rPr>
          <w:rFonts w:ascii="宋体" w:hAnsi="宋体"/>
          <w:szCs w:val="30"/>
        </w:rPr>
      </w:pPr>
      <w:r>
        <w:br w:type="page"/>
      </w:r>
      <w:bookmarkStart w:id="10" w:name="_Toc256000004"/>
      <w:bookmarkStart w:id="11" w:name="_Toc256000030"/>
      <w:r>
        <w:rPr>
          <w:rFonts w:ascii="宋体" w:hAnsi="宋体"/>
          <w:sz w:val="30"/>
        </w:rPr>
        <w:t>四、基金托管人</w:t>
      </w:r>
      <w:bookmarkEnd w:id="10"/>
      <w:bookmarkEnd w:id="1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（一）基金托管人情况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名称：中信建投证券股份有限公司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北京市朝阳区安立路66号4号楼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法定代表人：刘成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联系人：邱珂磊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联系电话：010-56135357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办公地址：北京市朝阳区景辉街16号院1号楼泰康集团大厦8层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成立时间：2005年11月02日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批准设立机关和批准设立文号：中国证监会证监机构字[2005]112号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组织形式：股份有限公司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注册资本：人民币77.57亿元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基金托管资格批文及文号： 中国证监会证监许可【2015】219号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中信建投证券成立于2005年11月2日，是经中国证监会批准设立的全国性大型综合证券公司。公司注册于北京，注册资本77.57亿元，并设有中信建投期货有限公司、中信建投资本管理有限公司、中信建投（国际）金融控股有限公司、中信建投基金管理有限公司、中信建投投资有限公司等5家子公司。自成立以来，中信建投证券各项业务快速发展，在企业融资、收购兼并、证券经纪、证券金融、固定收益、资产管理、股票及衍生品交易等领域形成了自身特色和核心业务优势，并搭建了研究咨询、信息技术、运营管理、风险管理、合规管理等专业高效的业务支持体系。凭借高度的敬业精神与突出的专业能力，中信建投证券主要业务指标及盈利能力目前均位居行业前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（二）基金托管部门及主要人员情况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中信建投证券托管部管理团队和业务骨干具有丰富的证券投资基金托管业务运作经验，业务人员专业背景覆盖了金融、会计、经济、计算机等各领域，可为托管客户提供个性化产品处理能力。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（三）证券投资基金托管情况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中信建投证券于2015年2月取得中国证监会核准证券投资基金托管资格，中信建投证券始终遵循“诚信、专注、成长、共赢”的经营理念，不断加强风险管理和内部控制，严格履行托管人的各项职责，切实维护基金份额持有人的合法权益，为基金份额持有人提供高质量的托管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（四）基金托管人的内部控制制度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1、内部控制目标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严格遵守国家有关法律、法规、监管规则和公司内部规章制度，防范和化解基金托管业务经营风险，确保托管资产的完整和安全，切实保护基金份额持有人权益，确保托管资产的运作及相关信息披露符合国家法律、法规、监管规则及相关合同、协议的规定，查错防弊、堵塞漏洞、消除隐患，保证托管业务安全、有效、稳健运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2、内部控制组织结构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中信建投证券设有风险管理委员会，负责全公司风险管理与内部控制工作，对托管业务风险控制工作进行检查指导。托管部内部设置专门负责稽核监察工作的内控管理岗，配备专职监察稽核人员，在托管部行政负责人的直接领导下，依照有关法律规章，对业务的运行独立行使监督稽核职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3、内部控制制度及措施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中信建投证券托管部制定了各项管理制度和操作规程，建立了科学合理、控制严密、运行高效的内部控制体系，保障托管业务健全、有效执行；安全保管基金财产，保持基金财产的独立性；实行经营场所封闭式管理，并配备录音和录像监控系统；有独立的综合托管服务系统；业务管理实行复核和检查机制，建立了严格有效的操作制约体系；托管部树立内控优先和风险管理的理念，培养部门全体员工的风险防范和保密意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（五）托管人对管理人运作基金进行监督的方法和程序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1、监督方法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基金托管人根据《基金法》、《运作办法》等法律法规的规定和基金合同、托管协议的约定，对基金合同生效之后所托管基金的投资范围、投资比例、投资限制等进行监督，并及时提示基金管理人违规风险。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2、监督程序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发现基金管理人投资指令或实际投资运作违反法律法规、《基金合同》和托管协议的规定，应及时以电话提醒或书面提示等方式通知基金管理人限期纠正。基金管理人应积极配合和协助基金托管人的监督和核查。基金管理人收到书面通知后应在限期内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pPr>
        <w:pStyle w:val="2"/>
        <w:snapToGrid w:val="0"/>
        <w:spacing w:before="240" w:beforeLines="0" w:after="0"/>
        <w:rPr>
          <w:rFonts w:ascii="宋体" w:hAnsi="宋体"/>
          <w:szCs w:val="30"/>
        </w:rPr>
      </w:pPr>
      <w:r>
        <w:br w:type="page"/>
      </w:r>
      <w:bookmarkStart w:id="12" w:name="_Toc256000031"/>
      <w:bookmarkStart w:id="13" w:name="_Toc256000005"/>
      <w:r>
        <w:rPr>
          <w:rFonts w:ascii="宋体" w:hAnsi="宋体"/>
          <w:sz w:val="30"/>
        </w:rPr>
        <w:t>五、相关服务机构</w:t>
      </w:r>
      <w:bookmarkEnd w:id="12"/>
      <w:bookmarkEnd w:id="13"/>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（一）基金份额销售机构</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本基金直销机构为基金管理人直销柜台以及基金管理人的网上直销交易平台（网站及手机APP，下同）。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机构名称：交银施罗德基金管理有限公司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法定代表人：袁庆伟（代任）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成立时间：2005年8月4日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电话：（021）61055724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传真：（021）61055054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联系人：傅鲸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客户服务电话：400-700-5000（免长途话费），（021）61055000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个人投资者可以通过基金管理人网上直销交易平台办理开户、本基金的申购、赎回及定期定额投资等业务，具体交易细则请参阅基金管理人网站。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网上直销交易平台网址：www.fund001.com。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2、除基金管理人之外的其他销售机构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（1）名称：交通银行股份有限公司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住所：上海市浦东新区银城中路188号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办公地址：上海市浦东新区银城中路188号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法定代表人：任德奇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电话：（021）58781234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传真：（021）58408483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联系人：范瑞波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客户服务电话：95559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网址：www.bankcomm.com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（2）名称：中国工商银行股份有限公司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注册地址：北京市西城区复兴门内大街55号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办公地址：北京市西城区复兴门内大街55号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法定代表人：廖林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网址：www.icbc.com.cn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（3）名称：招商银行股份有限公司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住所：深圳市福田区深南大道7088号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办公地址：深圳市福田区深南大道7088号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法定代表人：缪建民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电话：（0755）83198888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传真：（0755）83195109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联系人：季平伟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网址：www.cmbchina.com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（4）名称：中信建投证券股份有限公司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住所：北京市朝阳区安立路66号4号楼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办公地址：北京市朝阳门内大街188号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法定代表人：刘成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电话：（010）56135784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客户服务电话：95587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网址：www.csc108.com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（5）名称：中信证券股份有限公司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住所：广东省深圳市福田区中心三路8号卓越时代广场（二期）北座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办公地址：北京市朝阳区亮马桥路48号中信证券大厦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法定代表人：张佑君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电话：010-60838888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客服电话：95548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网址：www.cs.ecitic.com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（6）名称：华泰证券股份有限公司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住所：江苏省南京市江东中路228号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办公地址：江苏省南京市建邺区江东中路228号华泰证券广场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电话：（0755）82492193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传真：（0755）82492962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联系人：徐浩津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客户服务电话：95597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网址：www.htsc.com.cn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（7）名称：中信证券（山东）有限责任公司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住所：青岛市崂山区深圳路222号1号楼2001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办公地址：青岛市市南区东海西路28号龙翔广场东座5层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法定代表人：肖海峰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电话：0531-89606166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传真：0532-85022605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联系人：赵如意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客户服务电话：95548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网址：sd.citics.com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（8）名称：中信证券华南股份有限公司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住所：广州市天河区珠江西路5号广州国际金融中心主塔19层、20层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办公地址：广州市天河区珠江西路5号广州国际金融中心主塔19层、20层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法定代表人：陈可可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电话：020-88836999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传真：020-88836984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联系人：郭杏燕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客服电话：（020）95396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网址：www.gzs.com.cn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（9）名称：腾安基金销售（深圳）有限公司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住所：深圳市前海深港合作区前湾一路1号A栋201室（入驻深圳市前海商务秘书有限公司）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办公地址：深圳市南山区海天二路33号腾讯滨海大厦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法定代表人：刘明军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电话：95017（拨通后转1转8）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联系人：谭广峰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客户服务电话：95017（拨通后转1转8）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网址：http://www.tenganxinxi.com/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（10）名称：上海天天基金销售有限公司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住所：上海市徐汇区龙田路190号2号楼2层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办公地址：上海市徐汇区宛平南路88号金座东方财富大厦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法定代表人：其实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电话：（021）54509998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传真：（021）64385308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联系人：屠彦洋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客户服务电话：400-1818-188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网址：www.1234567.com.cn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（11）名称：蚂蚁（杭州）基金销售有限公司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住所：浙江省杭州市余杭区五常街道文一西路969号3幢5层599室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办公地址：浙江省杭州市西湖区西溪路556号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电话：（0571）28829790，（021）60897869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传真：（0571）26698533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联系人：韩爱彬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客户服务电话：95188-8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网址：www.fund123.cn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（12）名称：浙江同花顺基金销售有限公司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住所：浙江省杭州市文二西路1号元茂大厦903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办公地址：浙江杭州余杭区五常街道同顺街18号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法定代表人：吴强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电话：（0571）88911818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传真：（0571）86800423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联系人：吴强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客户服务电话：952555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网址：https://fund.10jqka.com.cn/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（13）名称：上海联泰基金销售有限公司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住所：上海市普陀区兰溪路900弄15号526室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办公地址：上海市虹口区临潼路188号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法定代表人：尹彬彬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电话：021-52822063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传真：021-52975270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联系人：兰敏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客户服务电话：400-118-1188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网址：www.66liantai.com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（14）名称：京东肯特瑞基金销售有限公司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北京市海淀区西三旗建材城中路12号17号平房157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办公地址：北京市通州区亦庄经济技术开发区科创十一街18号院京东集团总部A座17层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法定代表人：王苏宁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电话：95118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传真：010-89189566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客服热线：95118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网址：kenterui.jd.com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（15）名称：中信期货有限公司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住所：深圳市福田区中心三路8号卓越时代广场（二期）北座13层1301-1305室、14层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办公地址：深圳市福田区中心三路8号卓越时代广场（二期）北座13层1301-1305室、14层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法定代表人：张皓</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电话：010-60833754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传真：021-60819988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联系人：刘宏莹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客服电话：400-990-8826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网站：www.citicsf.com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（16）名称：珠海盈米基金销售有限公司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住所：珠海市横琴新区宝华路6号105室-3491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办公地址：广州市海珠区琶洲大道东1号保利国际广场南塔12楼B1201-1203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法定代表人：肖雯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电话：（020）89629099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传真：（020）89629011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联系人：黄敏嫦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客户服务电话：（020）89629066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网址：www.yingmi.com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（17）名称：易方达财富管理基金销售（广州）有限公司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住所：广州市南沙区横沥镇期航二街2号101房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办公地址：广东省广州市天河区珠江东路30号广州银行大厦41楼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法定代表人：陈彤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电话：020-85102688-7498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联系人：吕晋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客户服务电话：4001608888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网址：www.efundcf.com.cn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（18）名称：上海利得基金销售有限公司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上海浦东新区峨山路91弄61号陆家嘴软件园10号楼12楼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办公地址：上海市虹口区东大名路1098号浦江国际金融广场53层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法定代表人：李兴春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电话：021-50583533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传真：021-50583633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伍豪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客服电话：400-032-5885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网址：www.leadfund.com.cn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（19）名称：上海中欧财富基金销售有限公司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住所：中国（上海）自由贸易试验区陆家嘴环路479号1008-1室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办公地址：上海市虹口区公平路18号嘉昱大厦6楼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法定代表人：许欣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电话：021-68609600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传真：021-33830351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刘弘义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客户服务电话：400-700-9700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公司网址：https://www.zocaifu.com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（20）名称：上海基煜基金销售有限公司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住所：上海市崇明县长兴镇路潘园公路1800号2号楼6153室（上海泰和经济发展区）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办公地址：上海市杨浦区昆明路518号A1002室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电话：（021）65370077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传真：（021）55085991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联系人：俞申莉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客户服务电话：（021）65370077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网址：www.fofund.com.cn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（21）名称：中国人寿保险股份有限公司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住所：中国北京市西城区金融大街16号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办公地址：北京市西城区金融大街16号中国人寿广场A座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客户服务电话：95519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 www.e-chinalife.com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（22）名称：汇添富基金销售（上海）有限公司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办公地址：上海市黄浦区外马路728号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电话：021-28932888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网址：https://www.htfwm.com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021-28932888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https://www.htfwm.com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（23）名称：玄元保险代理有限公司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住所：中国(上海)自由贸易试验区张杨路707号1105室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办公地址：中国(上海)自由贸易试验区张杨路707号1105室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法定代表人：马永谙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电话：（021）50701053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传真：（021）50701053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客户服务电话：400-080-8208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网址：www.licaimofang.cn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基金管理人可根据有关法律法规的要求，选择其它符合要求的机构销售本基金，并在管理人网站公示。</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（二）登记机构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法定代表人：袁庆伟（代任）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电话：（021）61055461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传真：（021）61055064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联系人：陈方强</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（三）出具法律意见书的律师事务所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名称：上海市通力律师事务所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住所：上海市银城中路68号时代金融中心19楼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办公地址：上海市银城中路68号时代金融中心18-20楼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负责人：陈臻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电话：（021）31358666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传真：（021）31358600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联系人：丁媛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经办律师：黎明、丁媛</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（四）审计基金财产的会计师事务所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名称：安永华明会计师事务所（特殊普通合伙）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住所：北京市东城区东长安街1号东方广场安永大楼17层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办公地址：北京市东城区东长安街1号东方广场安永大楼17层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执行事务合伙人：毛鞍宁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电话：（010）58153000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传真：（010）85188298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联系人：蒋燕华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经办注册会计师：蒋燕华、费泽旭</w:t>
      </w:r>
    </w:p>
    <w:p>
      <w:pPr>
        <w:pStyle w:val="2"/>
        <w:snapToGrid w:val="0"/>
        <w:spacing w:before="240" w:beforeLines="0" w:after="0"/>
        <w:rPr>
          <w:rFonts w:ascii="宋体" w:hAnsi="宋体"/>
          <w:szCs w:val="30"/>
        </w:rPr>
      </w:pPr>
      <w:r>
        <w:br w:type="page"/>
      </w:r>
      <w:bookmarkStart w:id="14" w:name="_Toc256000032"/>
      <w:bookmarkStart w:id="15" w:name="_Toc256000006"/>
      <w:r>
        <w:rPr>
          <w:rFonts w:ascii="宋体" w:hAnsi="宋体"/>
          <w:sz w:val="30"/>
        </w:rPr>
        <w:t>六、基金的募集</w:t>
      </w:r>
      <w:bookmarkEnd w:id="14"/>
      <w:bookmarkEnd w:id="1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本基金由基金管理人依照《基金法》、《运作办法》、《销售办法》、基金合同及其他有关规定，并经中国证监会2025年7月24日证监许可【2025】1600号文准予募集注册。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本基金为契约型开放式股票型基金。基金存续期间为不定期。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本基金募集期间基金份额净值为人民币1.00元，按初始面值发售。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本基金2025年10月20日至2025年10月24日进行发售，本基金设立募集期共募集209,238,824.67份基金份额，有效认购户数为1,918户。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基金管理人注册并成立追踪同一标的指数的交易型开放式指数基金（ETF），本基金可变更为该ETF的联接基金。该联接基金将其绝大部分基金财产投资于跟踪同一标的指数的ETF，紧密跟踪标的指数表现，追求跟踪偏离度和跟踪误差的最小化。该联接基金具体投资范围及比例等将依据届时有效的法律法规或监管机构要求确定。以上变更需经基金管理人和基金托管人协商一致后修改基金合同，但不需召开基金份额持有人大会审议。</w:t>
      </w:r>
    </w:p>
    <w:p>
      <w:pPr>
        <w:pStyle w:val="2"/>
        <w:snapToGrid w:val="0"/>
        <w:spacing w:before="240" w:beforeLines="0" w:after="0"/>
        <w:rPr>
          <w:rFonts w:ascii="宋体" w:hAnsi="宋体"/>
          <w:szCs w:val="30"/>
        </w:rPr>
      </w:pPr>
      <w:r>
        <w:br w:type="page"/>
      </w:r>
      <w:bookmarkStart w:id="16" w:name="_Toc256000033"/>
      <w:bookmarkStart w:id="17" w:name="_Toc256000007"/>
      <w:r>
        <w:rPr>
          <w:rFonts w:ascii="宋体" w:hAnsi="宋体"/>
          <w:sz w:val="30"/>
        </w:rPr>
        <w:t>七、基金合同的生效</w:t>
      </w:r>
      <w:bookmarkEnd w:id="16"/>
      <w:bookmarkEnd w:id="1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根据有关规定，本基金满足基金合同生效条件，基金合同已于2025年10月28日正式生效。自基金合同生效之日起，本基金管理人正式开始管理本基金。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法律法规或中国证监会另有规定时，从其规定。</w:t>
      </w:r>
    </w:p>
    <w:p>
      <w:pPr>
        <w:pStyle w:val="2"/>
        <w:snapToGrid w:val="0"/>
        <w:spacing w:before="240" w:beforeLines="0" w:after="0"/>
        <w:rPr>
          <w:rFonts w:ascii="宋体" w:hAnsi="宋体"/>
          <w:szCs w:val="30"/>
        </w:rPr>
      </w:pPr>
      <w:r>
        <w:br w:type="page"/>
      </w:r>
      <w:bookmarkStart w:id="18" w:name="_Toc256000034"/>
      <w:bookmarkStart w:id="19" w:name="_Toc256000008"/>
      <w:r>
        <w:rPr>
          <w:rFonts w:ascii="宋体" w:hAnsi="宋体"/>
          <w:sz w:val="30"/>
        </w:rPr>
        <w:t>八、基金份额的申购与赎回</w:t>
      </w:r>
      <w:bookmarkEnd w:id="18"/>
      <w:bookmarkEnd w:id="1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（一）申购和赎回的场所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投资人可通过下述场所按照规定的方式进行申购或赎回：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1、本基金管理人的直销机构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本基金直销机构为基金管理人直销柜台以及基金管理人的网上直销交易平台。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电话：（021）61055724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传真：（021）61055054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联系人：傅鲸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客户服务电话：400-700-5000（免长途话费），（021）61055000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个人投资者可以通过基金管理人网上直销交易平台办理开户、本基金的申购、赎回、定期定额投资等业务，具体交易细则请参阅基金管理人网站。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网上直销交易平台网址：www.fund001.com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2、除基金管理人之外的其他销售机构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本基金除基金管理人之外的其他销售机构参见本招募说明书“五、相关服务机构”章节或拨打基金管理人客户服务电话进行咨询。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若基金管理人或其指定的销售机构开通电话、传真或网上等交易方式，投资人可以通过上述方式进行申购与赎回。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（二）申购和赎回的开放日及时间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1、开放日及开放时间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在开放日办理基金份额的申购和赎回，具体办理时间为上海证券交易所、深圳证券交易所的正常交易日的交易时间（若该工作日为非港股通交易日，则本基金不开放），但基金管理人根据法律法规、中国证监会的要求或基金合同的规定公告暂停申购、赎回时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2、申购、赎回开始日及业务办理时间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本基金已于2025年11月28日起开放申购、赎回业务。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（三）申购与赎回的原则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1、“未知价”原则，即申购、赎回价格以申请当日收市后计算的基金份额净值为基准进行计算；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2、“金额申购、份额赎回”原则，即申购以金额申请，赎回以份额申请；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3、当日的申购与赎回申请可以在基金管理人规定的时间以内撤销，但申请经登记机构受理的不得撤销；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5、办理申购、赎回业务时，应当遵循基金份额持有人利益优先原则，确保投资者的合法权益不受损害并得到公平对待。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基金管理人可在法律法规允许的情况下，对上述原则进行调整。基金管理人必须在新规则开始实施前依照《信息披露办法》的有关规定在规定媒介上公告。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（四）申购和赎回的数额限定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1、申购金额的限制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2、赎回份额的限制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赎回的最低份额为1份基金份额，如果销售机构业务规则规定的最低单笔赎回份额高于1份，以该销售机构的规定为准。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3、最低基金份额余额的限制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每个工作日投资人在单个基金交易账户保留的本基金基金份额余额少于1份时，若当日该账户同时有基金份额减少类业务（如赎回、转换出等）被确认，则基金管理人有权将投资人在该账户保留的本基金基金份额一次性全部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4、基金管理人可以规定本基金的总规模上限、单个投资人累计持有的基金份额上限，具体规定请参见相关公告。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6、基金管理人可在法律法规允许的情况下，调整上述规定申购金额和赎回份额的数量限制。基金管理人必须在调整实施前依照《信息披露办法》的有关规定在规定媒介上公告。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（五）申购和赎回的程序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1、申购和赎回的申请方式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2、申购和赎回的款项支付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投资人申购基金份额时，必须全额交付申购款项，若申购资金在规定时间内未全额到账则申购不成立。投资人全额交付申购款项，申购成立；基金登记机构确认基金份额时，申购生效。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3、申购和赎回申请的确认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基金管理人可在法律法规允许的范围内，依法对上述申购和赎回申请的确认时间进行调整，并必须在调整实施日前按照《信息披露办法》的有关规定在规定媒介上公告。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4、申购和赎回的登记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（2）投资人T日赎回基金成功后，正常情况下，登记机构在T＋1日为投资人扣除权益并办理相应的登记手续。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（3）基金管理人可在法律法规允许的范围内，对上述登记办理时间进行调整，并于开始实施前按照《信息披露办法》的有关规定在规定媒介上公告。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（六）基金的申购费和赎回费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基金份额分为A类基金份额和C类基金份额。投资人申购A类基金份额在申购时支付申购费用、不从该类别基金资产中计提销售服务费；申购C类基金份额不支付申购费用、从该类别基金资产中计提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A类基金份额的申购费用由A类基金份额申购人承担，不列入基金财产，主要用于本基金的市场推广、销售、登记结算等各项费用。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投资人可以多次申购本基金，A类基金份额的申购费用按每笔A类基金份额的申购申请单独计算。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本基金A类基金份额（非养老金客户）的申购费率如下：</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申购费率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A类基金份额申购费率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100万元以下</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100万元（含）至500万元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0.8%</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500万元以上（含500万元）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持有A类基金份额的投资人因红利自动再投资而产生的A类基金份额，不收取相应的申购费用。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本基金对通过基金管理人直销柜台申购A类基金份额的养老金客户实施特定申购费率。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养老金客户指基本养老基金与依法成立的养老计划筹集的资金及其投资运营收益形成的补充养老基金等，具体包括：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1）全国社会保障基金；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2）可以投资基金的地方社会保障基金；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3）企业年金单一计划以及集合计划；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4）企业年金理事会委托的特定客户资产管理计划；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5）企业年金养老金产品。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如将来出现经养老基金监管部门认可的新的养老基金类型，基金管理人可在招募说明书更新或发布临时公告将其纳入养老金客户范围。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通过基金管理人直销柜台申购本基金A类基金份额的养老金客户特定申购费率如下表：</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申购费率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A类基金份额特定申购费率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100万元以下</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0.24%</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100万元（含）至500万元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0.16%</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500万元以上（含500万元）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赎回A类基金份额或C类基金份额收取赎回费用，该费用随基金份额的持有时间增加而递减。本基金A类基金份额和C类基金份额的赎回费用由赎回该类基金份额的基金份额持有人承担，在基金份额持有人赎回基金份额时收取。对于持续持有期间少于7日的投资者收取的赎回费全额计入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本基金A类基金份额的赎回费率如下：</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A类基金份额的赎回费率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赎回费率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7日以内</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7日以上（含）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本基金C类基金份额的赎回费率如下：</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C类基金份额的赎回费率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赎回费率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7日以内</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7日以上（含）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3、基金管理人可以在基金合同约定的范围内调整费率或收费方式，并最迟应于新的费率或收费方式实施日前依照《信息披露办法》的有关规定在规定媒介上公告。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（七）申购和赎回的数额和价格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1、申购和赎回数额、余额的处理方式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A类基金份额或C类基金份额的赎回金额为按实际确认的A类基金份额或C类基金份额的有效赎回份额乘以当日该类基金份额的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2、申购份额的计算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本基金采用金额申购的方式。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（1）A类基金份额的申购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申购总金额=申请总金额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净申购金额=申购总金额/（1+申购费率）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（注：对于适用固定金额申购费用的申购，净申购金额＝申购总金额－固定申购费用金额）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申购费用=申购总金额-净申购金额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（注：对于适用固定金额申购费用的申购，申购费用＝固定申购费用金额）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申购份额=净申购金额/ T日A类基金份额净值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例四：某投资者（非养老金客户）投资100,000.00元申购本基金的A类基金份额，假设申购当日A类基金份额净值为1.0400元，申购费率为1.2%，则其可得到的申购份额为：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申购总金额＝100,000.00元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净申购金额=100,000.00/（1+1.2%）= 98,814.23元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申购费用=100,000.00- 98,814.23 = 1,185.77元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 98,814.23 /1.0400= 95,013.68份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即：该投资者（非养老金客户）投资100,000.00元申购本基金A类基金份额，假设申购当日A类基金份额净值为1.0400元，则其可得到95,013.68份A类基金份额。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例五：某养老金客户投资1,000,000.00元通过基金管理人的直销柜台申购本基金的A类基金份额，假设申购当日A类基金份额净值为1.0400元，申购费率为0.16%，则其可得到的申购份额为：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申购总金额＝1,000,000.00元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净申购金额=1,000,000.00/（1+0.16%）= 998,402.56 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申购费用=1,000,000.00- 998,402.56 =1,597.44元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 998,402.56 /1.0400=960,002.46份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即：该养老金客户投资1,000,000.00元通过基金管理人的直销柜台申购本基金的A类基金份额，假设申购当日A类基金份额净值为1.0400元，则其可得到960,002.46份A类基金份额。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（2）C类基金份额的申购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如果投资者选择申购C类基金份额，则申购份额的计算方法如下：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申购总金额=申请总金额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申购份额=申购总金额/T日C类基金份额净值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例六：某投资者投资100,000.00元申购本基金的C类基金份额，假设申购当日C类基金份额净值为1.0400元，则其可得到的申购份额为：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申购总金额=100,000.00元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申购份额＝100,000.00/1.0400＝96,153.85份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即：投资者投资100,000.00元申购本基金的C类基金份额，假设申购当日C类基金份额净值为1.0400元，则其可得到96,153.85份C类基金份额。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3、赎回金额的计算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本基金采用“份额赎回”的方式。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（1）A类基金份额的赎回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如果投资者赎回A类基金份额，则赎回金额的计算方法如下：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赎回费用=赎回份额×T日A类基金份额净值×赎回费率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赎回金额=赎回份额×T日A类基金份额净值-赎回费用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例七：某投资者赎回100,000.00份A类基金份额，持有期限为6日，对应的赎回费率为1.5%，假设赎回当日A类基金份额净值是1.0160元，则其可得到的赎回金额为：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赎回费用=100,000.00×1.0160×1.5%＝1,524.00元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赎回金额=100,000.00×1.0160-1,524.00＝100,076.00元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即：该投资者赎回100,000.00份A类基金份额，持有期限为6日，对应的赎回费率为1.5%，假设赎回当日A类基金份额净值是1.0160元，则其可得到的赎回金额为100,076.00元。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（2）C类基金份额的赎回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如果投资者赎回C类基金份额，赎回金额的计算方法如下：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赎回费用=赎回份额×T日C类基金份额净值×赎回费率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赎回金额=赎回份额×T日C类基金份额净值-赎回费用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例八：某投资者赎回100,000.00份C类基金份额，持有期限为6日，对应的赎回费率为1.5%，假设赎回当日C类基金份额净值是1.0160元，则其可得到的赎回金额为：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赎回费用=100,000.00×1.0160×1.5%＝1,524.00元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赎回金额=100,000.00×1.0160-1,524.00＝100,076.00元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即：该投资者赎回100,000.00份C类基金份额，持有期限为6日，对应的赎回费率为1.5%，假设赎回当日C类基金份额净值是1.0160元，则其可得到的赎回金额为100,076.00元。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4、基金份额净值的计算公式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A类基金份额净值＝A类基金份额的基金资产净值总额/发行在外的A类基金份额总数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C类基金份额净值＝C类基金份额的基金资产净值总额/发行在外的C类基金份额总数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T日的基金份额净值在当天收市后计算，并在T+1日（包括该日）内公告。遇特殊情况，经履行适当程序，可以适当延迟计算或公告。本基金A类基金份额和C类基金份额的基金份额净值的计算，均保留到小数点后4位，小数点后第5位四舍五入，由此产生的收益或损失由基金财产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（八）拒绝或暂停申购的情形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发生下列情况时，基金管理人可拒绝或暂停接受投资人的申购申请：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1、因不可抗力导致基金无法正常运作。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2、发生基金合同规定的暂停基金资产估值情况时，基金管理人可暂停接受投资人的申购申请。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3、证券/期货交易所交易时间非正常停市或港股通临时停市，导致基金管理人无法计算当日基金资产净值。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4、接受某笔或某些申购申请可能会影响或损害现有基金份额持有人利益时。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港股通交易每日额度不足，或者发生证券交易服务公司等机构认定的交易异常情况并决定暂停提供部分或者全部港股通服务，或者发生其他影响通过内地与香港股票市场交易互联互通机制进行正常交易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10、法律法规规定、中国证监会认定或基金合同约定的其他情形。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上述第1、2、3、5、6、7、8、10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（九）暂停赎回或延缓支付赎回款项的情形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发生下列情形时，基金管理人可暂停接受投资人的赎回申请或延缓支付赎回款项：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1、因不可抗力导致基金管理人不能支付赎回款项。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2、发生基金合同规定的暂停基金资产估值情况时，基金管理人可暂停接受投资人的赎回申请或延缓支付赎回款项。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3、证券/期货交易所交易时间非正常停市或港股通临时停市，导致基金管理人无法计算当日基金资产净值。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4、连续两个或两个以上开放日发生巨额赎回。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5、发生继续接受赎回申请将损害现有基金份额持有人利益的情形时，基金管理人可暂停接受基金份额持有人的赎回申请。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6、指数编制单位或指数发布机构因异常情况使标的指数数据无法正常计算、计算错误或发布异常时。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8、法律法规规定、中国证监会认定或基金合同约定的其他情形。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（十）巨额赎回的情形及处理方式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1、巨额赎回的认定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2、巨额赎回的处理方式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3、巨额赎回的公告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当发生上述巨额赎回并延期办理时，基金管理人应当通过邮寄、传真、刊登公告或者通知销售机构代为告知等方式在3个交易日内通知基金份额持有人，说明有关处理方法，并在2日内在规定媒介上刊登公告。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（十一）暂停申购或赎回的公告和重新开放申购或赎回的公告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1、发生上述暂停申购或赎回情况的，基金管理人应在规定期限内在规定媒介上刊登暂停公告。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2、如发生暂停的时间为1日，基金管理人应于重新开放日，在规定媒介上刊登基金重新开放申购或赎回公告，并公布最近1个开放日的各类基金份额的基金份额净值。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（十二）基金转换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（十三）基金的非交易过户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（十四）基金的转托管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基金份额持有人可办理已持有基金份额在不同销售机构之间的转托管，基金销售机构可以按照规定的标准收取转托管费。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（十五）定期定额投资计划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本基金2025年11月26日刊登公告自2025年11月28日起开通定期定额投资计划业务，具体开通销售机构名单和业务规则参见相关公告。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（十六）基金份额的冻结和解冻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基金登记机构只受理国家有权机关依法要求的基金份额的冻结与解冻，以及登记机构认可、符合法律法规的其他情况下的冻结与解冻。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（十七）基金份额的转让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（十八）实施侧袋机制期间本基金的申购与赎回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本基金实施侧袋机制的，本基金的申购和赎回安排详见本招募说明书“侧袋机制”部分的规定或相关公告。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（十九）其他业务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pStyle w:val="2"/>
        <w:snapToGrid w:val="0"/>
        <w:spacing w:before="240" w:beforeLines="0" w:after="0"/>
        <w:rPr>
          <w:rFonts w:ascii="宋体" w:hAnsi="宋体"/>
          <w:szCs w:val="30"/>
        </w:rPr>
      </w:pPr>
      <w:r>
        <w:br w:type="page"/>
      </w:r>
      <w:bookmarkStart w:id="20" w:name="_Toc256000035"/>
      <w:bookmarkStart w:id="21" w:name="_Toc256000009"/>
      <w:r>
        <w:rPr>
          <w:rFonts w:ascii="宋体" w:hAnsi="宋体"/>
          <w:sz w:val="30"/>
        </w:rPr>
        <w:t>九、基金的投资</w:t>
      </w:r>
      <w:bookmarkEnd w:id="20"/>
      <w:bookmarkEnd w:id="21"/>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（一）投资目标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本基金采用指数化投资策略，紧密跟踪中证港股通央企红利指数，追求跟踪偏离度与跟踪误差最小化。</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（二）投资范围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投资范围为具有良好流动性的金融工具，包括中证港股通央企红利指数的成份股（含存托凭证）及备选成份股（含存托凭证）、其他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本基金可根据法律法规的规定参与融资及转融通证券出借业务。未来在法律法规允许的前提下，本基金可根据相关法律法规规定参与融券业务。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如法律法规或监管机构以后允许基金投资其他品种，基金管理人在履行适当程序后，可以将其纳入投资范围。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投资组合比例为：本基金投资于中证港股通央企红利指数成份股（含存托凭证）及备选成份股（含存托凭证）的比例不低于基金资产净值的90%且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（三）投资策略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主要采用组合复制策略及适当的替代性策略以更好的跟踪标的指数，实现基金投资目标。在正常市场情况下，力争控制本基金日均跟踪偏离度的绝对值不超过0.35%，年跟踪误差不超过4%。如因指数编制规则调整或其他因素导致跟踪偏离度和跟踪误差超过上述范围，基金管理人应采取合理措施避免跟踪偏离度、跟踪误差进一步扩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1、股票投资策略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（1）组合复制策略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本基金主要采取完全复制法，即按照标的指数成份股及其权重构建基金的股票投资组合，并根据标的指数成份股及其权重的变动对股票投资组合进行相应地调整。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（2）替代性策略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出现市场流动性不足、因法律法规原因个别成份股被限制投资等情况，导致本基金无法获得足够数量的股票时，或出于其他基金管理人认定不适合投资的股票或可能严重限制本基金跟踪标的指数的合理原因，基金管理人将通过投资成份股、非成份股等进行替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2、债券投资策略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本基金将以降低跟踪误差和流动性管理为目的，综合考虑流动性和收益性，适当参与债券投资。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3、股指期货投资策略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本基金投资股指期货将根据风险管理的原则，以套期保值为目的，主要选择流动性好、交易活跃的股指期货合约，以降低股票仓位调整的交易成本，提高投资效率，从而更好地跟踪标的指数，实现投资目标。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4、资产支持证券投资策略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健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5、存托凭证投资策略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本基金投资存托凭证的策略依照境内上市交易的股票投资策略执行。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6、融资、转融通证券出借业务投资策略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将在条件允许的情况下，本着谨慎原则，适度参与融资、转融通证券出借业务。本基金在参与融资业务时，将通过对市场环境、利率水平、基金规模以及基金申购赎回情况等因素的研究和判断，决定融资规模。本基金管理人将充分考虑融资业务的收益性、流动性及风险性特征，谨慎进行投资。为了更好地实现投资目标，在加强风险防范并遵守审慎原则的前提下，本基金可根据投资管理需要参与转融通证券出借业务。本基金将在分析市场情况、投资者类型与结构、基金历史申购赎回情况、出借证券流动性情况等因素的基础上，合理确定出借证券的范围、期限和比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未来，随着投资工具的发展和丰富，基金管理人可以在不改变投资目标的前提下，在履行适当程序后相应调整和更新相关投资策略，并在招募说明书中更新。</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（四）投资限制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1、组合限制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基金的投资组合应遵循以下限制：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（1）本基金投资于中证港股通央企红利指数成份股（含存托凭证）及备选成份股（含存托凭证）的比例不低于基金资产净值的90%且不低于非现金基金资产的80%；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（3）本基金投资于同一原始权益人的各类资产支持证券的比例，不得超过基金资产净值的10％；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（4）本基金持有的全部资产支持证券，其市值不得超过基金资产净值的20％；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（5）本基金持有的同一（指同一信用级别）资产支持证券的比例，不得超过该资产支持证券规模的10％；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（6）本基金管理人管理的全部基金投资于同一原始权益人的各类资产支持证券，不得超过其各类资产支持证券合计规模的10％；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（11）本基金资产总值不超过基金资产净值的140%；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（12）本基金参与股指期货交易，则：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1）本基金在任何交易日日终，持有的买入股指期货合约价值，不得超过基金资产净值的10%；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在任何交易日日终，持有的买入股指期货合约价值与有价证券市值之和，不得超过基金资产净值的100%。其中，有价证券指股票、债券（不含到期日在一年以内的政府债券）、资产支持证券、买入返售金融资产（不含质押式回购）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3）本基金在任何交易日日终，持有的卖出股指期货合约价值不得超过基金持有的股票总市值的20%；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4）本基金所持有的股票市值和买入、卖出股指期货合约价值，合计（轧差计算）应当符合基金合同关于股票投资比例的有关约定；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5）本基金在任何交易日内交易（不包括平仓）的股指期货合约的成交金额不得超过上一交易日基金资产净值的20%；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（13）本基金参与融资业务后，每个交易日日终，本基金持有的融资买入股票与其他有价证券市值之和，不得超过基金资产净值的95%；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（14）本基金参与转融通证券出借业务，需遵守下列投资限制：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1）出借证券资产不得超过基金资产净值的30%，出借期限在10个交易日以上的出借证券应纳入《流动性风险管理规定》所述流动性受限证券的范围；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2）参与出借业务的单只证券不得超过本基金持有该证券总量的50%；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3）最近6个月内日均基金资产净值不得低于2亿元；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4）证券出借的平均剩余期限不得超过30天，平均剩余期限按照市值加权平均计算；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因证券市场波动、上市公司合并、基金规模变动等基金管理人之外的因素致使基金投资不符合上述规定的，基金管理人不得新增出借业务；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（15）本基金投资存托凭证的比例限制依照境内上市交易的股票执行；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（16）法律法规及中国证监会规定的和《基金合同》约定的其他投资限制。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除上述（2）、（7）、（9）、（10）、（14）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法律法规或监管部门取消或变更上述限制，如适用于本基金，基金管理人在履行适当程序后，则本基金投资不再受相关限制或以变更后的规定为准。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2、禁止行为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为维护基金份额持有人的合法权益，基金财产不得用于下列投资或者活动：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（1）承销证券；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（2）违反规定向他人贷款或者提供担保；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（3）从事承担无限责任的投资；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（4）买卖其他基金份额，但是中国证监会另有规定的除外；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（5）向其基金管理人、基金托管人出资；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（6）从事内幕交易、操纵证券交易价格及其他不正当的证券交易活动；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（7）法律、行政法规和中国证监会规定禁止的其他活动。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如法律、行政法规或监管部门取消或变更上述规定，如适用于本基金，基金管理人在履行适当程序后，本基金可不受上述规定的限制或以变更后的规定为准。</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（五）业绩比较基准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本基金业绩比较基准：中证港股通央企红利指数收益率（经估值汇率调整）×95%＋人民币银行活期存款利率（税后）×5%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未来若出现标的指数不符合要求（不包括因成份股价格波动等指数编制方法变动之外的因素致使标的指数不符合要求的情形）、指数编制机构退出等情形，基金管理人应当自该情形发生之日起十个工作日内向中国证监会报告并提出解决方案，如转换运作方式，与其他基金合并或者终止基金合同等，并在6个月内召集基金份额持有人大会进行表决，基金份额持有人大会未成功召开或就上述事项表决未通过的，基金合同终止。但若标的指数变更对基金投资无实质性影响（包括但不限于编制机构名称变更、指数更名等），则无需召开基金份额持有人大会，经基金管理人与基金托管人协商一致并按照监管部门要求履行适当程序后在规定媒介上刊登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自指数编制机构停止标的指数的编制及发布至解决方案确定期间，基金管理人应按照指数编制机构提供的最近一个交易日的指数信息遵循基金份额持有人利益优先原则维持基金投资运作。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本基金运作过程中，当标的指数成份股发生明显负面事件面临退市风险，且指数编制机构暂未作出调整的，基金管理人应当按照持有人利益优先的原则，履行内部决策程序后及时对相关成份股进行调整。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若基金标的指数发生变更，基金业绩比较基准随之变更，由基金管理人根据标的指数变更情形履行对应适当程序，并在调整实施前依照《信息披露办法》的有关规定在规定媒介上刊登公告。</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（六）风险收益特征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本基金是一只股票型基金，其预期风险和预期收益理论上高于混合型基金、债券型基金和货币市场基金。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本基金为指数型基金，主要采用完全复制法跟踪中证港股通央企红利指数，具有与标的指数相似的风险收益特征。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本基金投资港股通标的股票，会面临港股通机制下因投资环境、投资标的、市场制度以及交易规则等差异带来的特有风险。</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（七）基金管理人代表基金行使股东或债权人权利的处理原则及方法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1、基金管理人按照国家有关规定代表基金独立行使股东或债权人权利，保护基金份额持有人的利益；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2、不谋求对上市公司的控股；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3、有利于基金财产的安全与增值；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4、不通过关联交易为自身、雇员、授权代理人或任何存在利害关系的第三人牟取任何不当利益。</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（八）侧袋机制的实施和投资运作安排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侧袋机制实施期间，本部分约定的投资组合比例、投资策略、组合限制、业绩比较基准、风险收益特征等约定仅适用于主袋账户。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（九）基金投资组合报告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基金托管人中信建投证券股份有限公司根据本基金合同约定，于2026年07月17日复核了本报告中的财务指标、净值表现和投资组合报告等内容，保证复核内容不存在虚假记载、误导性陈述或者重大遗漏。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本报告期自2026年04月01日起至2026年06月30日止。本报告中财务资料未经审计。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1、报告期末基金资产组合情况</w:t>
      </w:r>
    </w:p>
    <w:tbl>
      <w:tblPr>
        <w:tblStyle w:val="14"/>
        <w:tblW w:w="5000" w:type="pct"/>
        <w:tblInd w:w="0" w:type="dxa"/>
        <w:tblLayout w:type="fixed"/>
        <w:tblCellMar>
          <w:top w:w="0" w:type="dxa"/>
          <w:left w:w="0" w:type="dxa"/>
          <w:bottom w:w="0" w:type="dxa"/>
          <w:right w:w="0" w:type="dxa"/>
        </w:tblCellMar>
      </w:tblPr>
      <w:tblGrid>
        <w:gridCol w:w="2167"/>
        <w:gridCol w:w="2167"/>
        <w:gridCol w:w="2168"/>
        <w:gridCol w:w="2168"/>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项目</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占基金总资产的比例（%）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权益投资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43,269,643.67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89.45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其中：股票</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43,269,643.67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89.45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基金投资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固定收益投资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2,531,563.70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5.23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2,531,563.70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5.23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   资产支持证券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贵金属投资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金融衍生品投资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买入返售金融资产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其中：买断式回购的买入返售金融资产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银行存款和结算备付金合计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1,987,748.00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4.11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其他资产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585,407.06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48,374,362.43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注：本基金本报告期末通过港股通机制投资香港股票的公允价值为43,269,643.67元，占基金资产净值比例为92.85%。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2、报告期末按行业分类的股票投资组合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 报告期末指数投资按行业分类的境内股票投资组合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 报告期末积极投资按行业分类的境内股票投资组合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 报告期末按行业分类的港股通投资股票投资组合</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行业类别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公允价值（人民币）</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工业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15,215,771.35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32.65</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金融</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12,042,035.81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25.84</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能源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6,556,987.94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14.07</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通信服务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4,566,683.90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9.80</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公用事业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2,080,264.11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4.46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原材料</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769,917.46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1.65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房地产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768,666.75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1.65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医药卫生</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705,714.25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主要消费</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563,602.10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43,269,643.67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92.85</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注：本报告采用中证CICS一级分类标准编制。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3、期末按公允价值占基金资产净值比例大小排序的股票投资明细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3.1 报告期末指数投资按公允价值占基金资产净值比例大小排序的前十名股票投资明细</w:t>
      </w:r>
    </w:p>
    <w:tbl>
      <w:tblPr>
        <w:tblStyle w:val="14"/>
        <w:tblW w:w="5000" w:type="pct"/>
        <w:tblInd w:w="0" w:type="dxa"/>
        <w:tblLayout w:type="fixed"/>
        <w:tblCellMar>
          <w:top w:w="0" w:type="dxa"/>
          <w:left w:w="0" w:type="dxa"/>
          <w:bottom w:w="0" w:type="dxa"/>
          <w:right w:w="0" w:type="dxa"/>
        </w:tblCellMar>
      </w:tblPr>
      <w:tblGrid>
        <w:gridCol w:w="1445"/>
        <w:gridCol w:w="1445"/>
        <w:gridCol w:w="1445"/>
        <w:gridCol w:w="1445"/>
        <w:gridCol w:w="1445"/>
        <w:gridCol w:w="1445"/>
      </w:tblGrid>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股票代码</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01919 HK</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中远海控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166,000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1,875,772.69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4.03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03877 HK</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中国船舶租赁</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872,000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1,635,931.30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3.51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01088 HK</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中国神华</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38,000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1,324,156.59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2.84</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00883 HK</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中国海洋石油</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67,000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1,182,478.71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2.54</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00939 HK</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建设银行</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166,000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1,163,526.95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2.50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01898 HK</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中煤能源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135,000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1,154,954.36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00857 HK</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中国石油股份</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156,000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1,148,987.42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01883 HK</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中信国际电讯</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532,000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1,141,309.44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02388 HK</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中银香港</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30,500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1,122,679.04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01398 HK</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工商银行</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195,000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1,089,031.42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2.34</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3.2 报告期末积极投资按公允价值占基金资产净值比例大小排序的前五名股票投资明细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4、报告期末按债券品种分类的债券投资组合</w:t>
      </w:r>
    </w:p>
    <w:tbl>
      <w:tblPr>
        <w:tblStyle w:val="14"/>
        <w:tblW w:w="5000" w:type="pct"/>
        <w:tblInd w:w="0" w:type="dxa"/>
        <w:tblLayout w:type="fixed"/>
        <w:tblCellMar>
          <w:top w:w="0" w:type="dxa"/>
          <w:left w:w="0" w:type="dxa"/>
          <w:bottom w:w="0" w:type="dxa"/>
          <w:right w:w="0" w:type="dxa"/>
        </w:tblCellMar>
      </w:tblPr>
      <w:tblGrid>
        <w:gridCol w:w="2167"/>
        <w:gridCol w:w="2167"/>
        <w:gridCol w:w="2168"/>
        <w:gridCol w:w="2168"/>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债券品种</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国家债券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2,531,563.70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5.43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央行票据</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金融债券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其中：政策性金融债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企业债券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企业短期融资券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中期票据</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可转债（可交换债）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同业存单</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2,531,563.70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5.43</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5、报告期末按公允价值占基金资产净值比例大小排序的前五名债券投资明细</w:t>
      </w:r>
    </w:p>
    <w:tbl>
      <w:tblPr>
        <w:tblStyle w:val="14"/>
        <w:tblW w:w="5000" w:type="pct"/>
        <w:tblInd w:w="0" w:type="dxa"/>
        <w:tblLayout w:type="fixed"/>
        <w:tblCellMar>
          <w:top w:w="0" w:type="dxa"/>
          <w:left w:w="0" w:type="dxa"/>
          <w:bottom w:w="0" w:type="dxa"/>
          <w:right w:w="0" w:type="dxa"/>
        </w:tblCellMar>
      </w:tblPr>
      <w:tblGrid>
        <w:gridCol w:w="1445"/>
        <w:gridCol w:w="1445"/>
        <w:gridCol w:w="1445"/>
        <w:gridCol w:w="1445"/>
        <w:gridCol w:w="1445"/>
        <w:gridCol w:w="144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债券代码</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数量（张）</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019785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25国债13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25,000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2,531,563.70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5.43</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6、报告期末按公允价值占基金资产净值比例大小排序的前十名资产支持证券投资明细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7、报告期末按公允价值占基金资产净值比例大小排序的前五名贵金属投资明细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8、报告期末按公允价值占基金资产净值比例大小排序的前五名权证投资明细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9、报告期末本基金投资的股指期货交易情况说明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9.1 报告期末本基金投资的股指期货持仓和损益明细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9.2 本基金投资股指期货的投资政策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10、报告期末本基金投资的国债期货交易情况说明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10.1 本期国债期货投资政策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10.2 报告期末本基金投资的国债期货持仓和损益明细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10.3 本期国债期货投资评价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11、投资组合报告附注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2026年06月05日,国家金融监督管理总局公示行政处罚决定书,给予中国建设银行股份有限公司70万元人民币的行政处罚。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2026年02月14日,央行公示银罚决字[2026]5号行政处罚决定书,给予中国建设银行股份有限公司罚没共计4350.61万元人民币的行政处罚。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2025年09月12日,国家金融监督管理总局公示行政处罚决定书,给予中国建设银行股份有限公司290万元人民币的行政处罚。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遵循指数化投资理念，绝大部分资产采用完全复制法跟踪指数，以完全按照标的指数成份股组成及其权重构建基金股票投资组合为原则，进行被动式指数化投资。本基金对上述主体发行证券的投资遵守本基金管理人基金投资管理相关制度及被动式指数化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11.2 基金投资的前十名股票是否超出基金合同约定的备选股票库</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基金投资的前十名股票中，没有超出基金合同约定的备选股票库之外的股票。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11.3 其他资产构成</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存出保证金</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应收证券清算款</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应收股利</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543,672.85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应收利息</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应收申购款</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41,734.21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其他应收款</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585,407.06</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11.4 报告期末持有的处于转股期的可转换债券明细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11.5 报告期末股票中存在流通受限情况的说明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报告期末指数投资前十名股票中存在流通受限情况的说明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报告期末积极投资前五名股票中存在流通受限情况的说明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11.6 投资组合报告附注的其他文字描述部分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由于四舍五入的原因，分项之和与合计项之间可能存在尾差。</w:t>
      </w:r>
    </w:p>
    <w:p>
      <w:pPr>
        <w:pStyle w:val="2"/>
        <w:snapToGrid w:val="0"/>
        <w:spacing w:before="240" w:beforeLines="0" w:after="0"/>
        <w:rPr>
          <w:rFonts w:ascii="宋体" w:hAnsi="宋体"/>
          <w:szCs w:val="30"/>
        </w:rPr>
      </w:pPr>
      <w:r>
        <w:br w:type="page"/>
      </w:r>
      <w:bookmarkStart w:id="22" w:name="_Toc256000010"/>
      <w:bookmarkStart w:id="23" w:name="_Toc256000036"/>
      <w:r>
        <w:rPr>
          <w:rFonts w:ascii="宋体" w:hAnsi="宋体"/>
          <w:sz w:val="30"/>
        </w:rPr>
        <w:t>十、基金的业绩</w:t>
      </w:r>
      <w:bookmarkEnd w:id="22"/>
      <w:bookmarkEnd w:id="2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基金业绩截止日为2026年06月30日，所载财务数据未经审计。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1、基金份额净值增长率及其与同期业绩比较基准收益率的比较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（1）交银中证港股通央企红利指数A</w:t>
      </w:r>
    </w:p>
    <w:tbl>
      <w:tblPr>
        <w:tblStyle w:val="14"/>
        <w:tblW w:w="5000" w:type="pct"/>
        <w:tblInd w:w="0" w:type="dxa"/>
        <w:tblLayout w:type="fixed"/>
        <w:tblCellMar>
          <w:top w:w="0" w:type="dxa"/>
          <w:left w:w="0" w:type="dxa"/>
          <w:bottom w:w="0" w:type="dxa"/>
          <w:right w:w="0" w:type="dxa"/>
        </w:tblCellMar>
      </w:tblPr>
      <w:tblGrid>
        <w:gridCol w:w="1238"/>
        <w:gridCol w:w="1238"/>
        <w:gridCol w:w="1238"/>
        <w:gridCol w:w="1239"/>
        <w:gridCol w:w="1239"/>
        <w:gridCol w:w="1239"/>
        <w:gridCol w:w="1239"/>
      </w:tblGrid>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阶段</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净值增长率①</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净值增长率标准差②</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①-③</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过去三个月</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-11.30%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0.77%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-12.81%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0.80%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1.51%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2026年上半年</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-11.67%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0.87%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-12.42%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0.89%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0.75%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2025年度（自基金合同生效起至2025年12月31日）</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-3.53%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-3.82%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0.83%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-0.43%</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（2）交银中证港股通央企红利指数C</w:t>
      </w:r>
    </w:p>
    <w:tbl>
      <w:tblPr>
        <w:tblStyle w:val="14"/>
        <w:tblW w:w="5000" w:type="pct"/>
        <w:tblInd w:w="0" w:type="dxa"/>
        <w:tblLayout w:type="fixed"/>
        <w:tblCellMar>
          <w:top w:w="0" w:type="dxa"/>
          <w:left w:w="0" w:type="dxa"/>
          <w:bottom w:w="0" w:type="dxa"/>
          <w:right w:w="0" w:type="dxa"/>
        </w:tblCellMar>
      </w:tblPr>
      <w:tblGrid>
        <w:gridCol w:w="1238"/>
        <w:gridCol w:w="1238"/>
        <w:gridCol w:w="1238"/>
        <w:gridCol w:w="1239"/>
        <w:gridCol w:w="1239"/>
        <w:gridCol w:w="1239"/>
        <w:gridCol w:w="1239"/>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阶段</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净值增长率①</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净值增长率标准差②</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①-③</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过去三个月</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-11.36%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0.77%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-12.81%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0.80%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1.45%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2026年上半年</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-11.75%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0.87%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-12.42%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0.89%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2025年度（自基金合同生效起至2025年12月31日）</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-3.58%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-3.82%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0.83%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-0.43%</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注：本基金的业绩比较基准为中证港股通央企红利指数收益率（经估值汇率调整）×95%＋人民币银行活期存款利率（税后）×5%，每日进行再平衡过程。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2、自基金合同生效以来基金份额累计净值增长率变动及其与同期业绩比较基准收益率变动的比较</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交银施罗德中证港股通央企红利指数型证券投资基金</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份额累计净值增长率与业绩比较基准收益率的历史走势对比图</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(2025年10月28日至2026年06月30日)</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（1）交银中证港股通央企红利指数A</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6" o:spt="75" type="#_x0000_t75" style="height:268.25pt;width:439.5pt;" filled="f" o:preferrelative="t" stroked="f" coordsize="21600,21600">
            <v:path/>
            <v:fill on="f" focussize="0,0"/>
            <v:stroke on="f" joinstyle="miter"/>
            <v:imagedata r:id="rId16" o:title=""/>
            <o:lock v:ext="edit" aspectratio="t"/>
            <w10:wrap type="none"/>
            <w10:anchorlock/>
          </v:shape>
        </w:pic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（2）交银中证港股通央企红利指数C</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7" o:spt="75" type="#_x0000_t75" style="height:268.25pt;width:439.5pt;" filled="f" o:preferrelative="t" stroked="f" coordsize="21600,21600">
            <v:path/>
            <v:fill on="f" focussize="0,0"/>
            <v:stroke on="f" joinstyle="miter"/>
            <v:imagedata r:id="rId17" o:title=""/>
            <o:lock v:ext="edit" aspectratio="t"/>
            <w10:wrap type="none"/>
            <w10:anchorlock/>
          </v:shape>
        </w:pic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本基金基金合同生效日为2025年10月28日，基金合同生效日至报告期期末，本基金运作时间未满一年。本基金建仓期为自基金合同生效日起的6个月。截至建仓期结束，本基金各项资产配置比例符合基金合同及招募说明书有关投资比例的约定。</w:t>
      </w:r>
    </w:p>
    <w:p>
      <w:pPr>
        <w:pStyle w:val="2"/>
        <w:snapToGrid w:val="0"/>
        <w:spacing w:before="240" w:beforeLines="0" w:after="0"/>
        <w:rPr>
          <w:rFonts w:ascii="宋体" w:hAnsi="宋体"/>
          <w:szCs w:val="30"/>
        </w:rPr>
      </w:pPr>
      <w:r>
        <w:br w:type="page"/>
      </w:r>
      <w:bookmarkStart w:id="24" w:name="_Toc256000037"/>
      <w:bookmarkStart w:id="25" w:name="_Toc256000011"/>
      <w:r>
        <w:rPr>
          <w:rFonts w:ascii="宋体" w:hAnsi="宋体"/>
          <w:sz w:val="30"/>
        </w:rPr>
        <w:t>十一、基金的财产</w:t>
      </w:r>
      <w:bookmarkEnd w:id="24"/>
      <w:bookmarkEnd w:id="2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（一）基金资产总值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基金资产总值是指基金拥有的各类有价证券、股指期货合约、银行存款本息、基金应收款项及其他资产的价值总和。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基金资产净值是指基金资产总值减去基金负债后的价值。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（三）基金财产的账户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（四）基金财产的保管和处分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pStyle w:val="2"/>
        <w:snapToGrid w:val="0"/>
        <w:spacing w:before="240" w:beforeLines="0" w:after="0"/>
        <w:rPr>
          <w:rFonts w:ascii="宋体" w:hAnsi="宋体"/>
          <w:szCs w:val="30"/>
        </w:rPr>
      </w:pPr>
      <w:r>
        <w:br w:type="page"/>
      </w:r>
      <w:bookmarkStart w:id="26" w:name="_Toc256000012"/>
      <w:bookmarkStart w:id="27" w:name="_Toc256000038"/>
      <w:r>
        <w:rPr>
          <w:rFonts w:ascii="宋体" w:hAnsi="宋体"/>
          <w:sz w:val="30"/>
        </w:rPr>
        <w:t>十二、基金资产的估值</w:t>
      </w:r>
      <w:bookmarkEnd w:id="26"/>
      <w:bookmarkEnd w:id="2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（一）估值日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本基金的估值日为本基金相关的证券交易场所的交易日以及国家法律法规规定需要对外披露基金净值的非交易日。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（二）估值对象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基金所拥有的股票、债券、资产支持证券、衍生工具和其他投资等持续以公允价值计量的金融资产及负债。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（三）估值原则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基金管理人在确定相关金融资产和金融负债的公允价值时，应符合《企业会计准则》、监管部门有关规定。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（四）估值方法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交易所上市的有价证券（包括股票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2、处于未上市期间的有价证券应区分如下情况处理：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（2）首次公开发行未上市的股票和债券，采用估值技术确定公允价值；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3、对于已上市或已挂牌转让的不含权固定收益品种（另有规定的除外），选取第三方估值基准服务机构提供的相应品种当日的估值全价进行估值。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4、对于已上市或已挂牌转让的含权固定收益品种（另有规定的除外），选取第三方估值基准服务机构提供的相应品种当日的唯一估值全价或推荐估值全价进行估值。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含投资者回售权的固定收益品种，行使回售权的，在回售登记日至实际收款日期间建议选取第三方估值基准服务机构提供的相应品种的唯一估值全价或推荐估值全价，同时应充分考虑发行人的信用风险变化对公允价值的影响。回售登记期截止日（含当日）后未行使回售权的按照长待偿期所对应的价格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6、对于未上市或未挂牌转让且不存在活跃市场的固定收益品种，采用在当前情况下适用并且有足够可利用数据和其他信息支持的估值技术确定其公允价值。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8、同一证券同时在两个或两个以上市场交易的，按证券所处的市场分别估值。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9、估值计算中涉及港币对人民币汇率的，将依据下列信息提供机构所提供的汇率为基准：当日中国人民银行或其授权机构公布的人民币与港币的中间价。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10、对于因税收规定调整或其他原因导致本基金实际交纳税金与估算的应交税金有差异的，本基金将在相关税金调整日或实际支付日进行相应的会计处理。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11、本基金投资存托凭证的估值核算依照境内上市交易的股票执行。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12、基金参与融资和转融通证券出借业务的，应参照相关法律法规和中国证券投资基金业协会发布的相关规定进行估值。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14、当发生大额申购或赎回情形时，基金管理人可以采用摆动定价机制，以确保基金估值的公平性。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15、相关法律法规以及监管部门有强制规定的，从其规定。如有新增事项，按国家最新规定估值。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（五）估值程序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基金管理人于每个工作日计算各类基金份额的基金资产净值及基金份额净值，经基金托管人复核，并按规定公告。如遇特殊情况，经履行适当程序，可以适当延迟计算或公告。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应每个工作日对基金资产估值，但基金管理人根据法律法规或基金合同的规定暂停估值时除外。基金管理人每个工作日对基金资产估值后，将基金资产净值、各类基金份额净值结果发送基金托管人，经基金托管人复核无误后，由基金管理人依据基金合同和相关法律法规的规定对外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（六）估值错误的处理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基金管理人和基金托管人将采取必要、适当、合理的措施确保基金资产估值的准确性、及时性。当基金份额净值小数点后4位以内（含第4位）发生估值错误时，视为基金份额净值错误。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基金合同的当事人应按照以下约定处理：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1、估值错误类型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上述估值错误的主要类型包括但不限于：资料申报差错、数据传输差错、数据计算差错、系统故障差错、下达指令差错等。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对于因技术原因引起的差错，若系同行业现有技术水平无法预见、无法避免、无法抗拒，则属不可抗力，按照下述规定执行。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2、估值错误处理原则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（4）估值错误调整采用尽量恢复至假设未发生估值错误的正确情形的方式。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（5）按法律法规规定的其他原则处理估值错误。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3、估值错误处理程序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估值错误被发现后，有关的当事人应当及时进行处理，处理的程序如下：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（1）查明估值错误发生的原因，列明所有的当事人，并根据估值错误发生的原因确定估值错误的责任方；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（2）根据估值错误处理原则或当事人协商的方法对因估值错误造成的损失进行评估；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（3）根据估值错误处理原则或当事人协商的方法由估值错误的责任方进行更正和赔偿损失；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4、基金份额净值估值错误处理的方法如下：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（1）基金份额净值计算出现错误时，基金管理人应当立即予以纠正，通报基金托管人，并采取合理的措施防止损失进一步扩大。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（2）错误偏差达到该类基金份额净值的0.25%时，基金管理人应当通报基金托管人并报中国证监会备案；错误偏差达到该类基金份额净值的0.5%时，基金管理人应当公告，并报中国证监会备案。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（3）前述内容如法律法规或监管机关另有规定的，从其规定处理。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（七）暂停估值的情形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1、基金投资所涉及的证券/期货交易市场或外汇市场遇法定节假日或因其他原因暂停营业时；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2、因不可抗力致使基金管理人、基金托管人无法准确评估基金资产价值时；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3、当特定资产占前一估值日基金资产净值50%以上的，经与基金托管人协商确认后，基金管理人应当暂停估值；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4、法律法规、中国证监会和基金合同认定的其它情形。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（八）基金净值的确认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（九）特殊情形的处理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1、基金管理人或基金托管人按估值方法的第13项进行估值时，所造成的误差不作为基金资产估值错误处理。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由于不可抗力原因，或由于证券/期货交易所、证券/期货经纪机构、登记结算公司、指数编制机构及存款银行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（十）实施侧袋机制期间的基金资产估值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本基金实施侧袋机制的，应根据本部分的约定对主袋账户资产进行估值并披露主袋账户的基金净值信息，暂停披露侧袋账户份额净值。</w:t>
      </w:r>
    </w:p>
    <w:p>
      <w:pPr>
        <w:pStyle w:val="2"/>
        <w:snapToGrid w:val="0"/>
        <w:spacing w:before="240" w:beforeLines="0" w:after="0"/>
        <w:rPr>
          <w:rFonts w:ascii="宋体" w:hAnsi="宋体"/>
          <w:szCs w:val="30"/>
        </w:rPr>
      </w:pPr>
      <w:r>
        <w:br w:type="page"/>
      </w:r>
      <w:bookmarkStart w:id="28" w:name="_Toc256000039"/>
      <w:bookmarkStart w:id="29" w:name="_Toc256000013"/>
      <w:r>
        <w:rPr>
          <w:rFonts w:ascii="宋体" w:hAnsi="宋体"/>
          <w:sz w:val="30"/>
        </w:rPr>
        <w:t>十三、基金收益与分配</w:t>
      </w:r>
      <w:bookmarkEnd w:id="28"/>
      <w:bookmarkEnd w:id="2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（一）基金利润的构成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（二）基金可供分配利润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基金可供分配利润指截至收益分配基准日基金未分配利润与未分配利润中已实现收益的孰低数。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（三）基金收益分配原则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1、由于本基金A类基金份额不收取销售服务费，C类基金份额收取销售服务费，各基金份额类别对应的可供分配利润将有所不同；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2、基金管理人可每季度对基金相对业绩比较基准的超额收益率以及基金的可供分配利润进行评价，在符合收益分配相关规定的前提下，基金管理人可进行收益分配；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符合有关基金分红条件的前提下，本基金可每季度进行收益分配，基金管理人也可根据实际情况在其他日期对本基金进行收益分配，具体分配方案以公告为准；若《基金合同》生效不满3个月可不进行收益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5、本基金同一基金份额类别的每一基金份额享有同等分配权；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6、法律法规或监管机关另有规定的，从其规定。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基金管理人可在不违反法律法规且对基金份额持有人利益无实质性不利影响的前提下，对上述原则进行修改或调整，而无需召开基金份额持有人大会审议。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（四）基金相对业绩比较基准的超额收益率计算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在评价日，基金管理人计算基金累计报酬率、业绩比较基准同期累计报酬率。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基金评价日本基金相对业绩比较基准的超额收益率＝基金累计报酬率－业绩比较基准同期累计报酬率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基金累计报酬率＝（评价日基金份额净值/基金合同生效日所对应的 3 个月月度对日的前一工作日基金份额净值－1）×100%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业绩比较基准同期累计报酬率＝（评价日业绩比较基准数值/基金合同生效日所对应的 3 个月月度对日的前一工作日业绩比较基准数值－1）×100%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3个月月度对日指某一特定日期在之后第3个月月度中的对应日期，若该日历月度中不存在对应日期，则取该月度最后一日。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如基金份额发生折算，则采用剔除折算因素的基金份额净值，详见届时基金管理人发布的相关公告。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（五）收益分配方案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（六）收益分配方案的确定、公告与实施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本基金收益分配方案由基金管理人拟定，并由基金托管人复核，依照《信息披露办法》的规定在规定媒介公告。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法律法规或监管机关另有规定的，从其规定。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（七）基金收益分配中发生的费用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（八）收益分配方式的修改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投资人可至销售机构办理收益分配方式的修改，投资人对本基金不同的基金交易账户可设置不同的收益分配方式。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投资人同一日多次申报收益分配方式变更的，按照《业务规则》执行，最终确认的收益分配方式以登记机构记录为准。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（九）实施侧袋机制期间的收益分配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本基金实施侧袋机制的，侧袋账户不进行收益分配。</w:t>
      </w:r>
    </w:p>
    <w:p>
      <w:pPr>
        <w:pStyle w:val="2"/>
        <w:snapToGrid w:val="0"/>
        <w:spacing w:before="240" w:beforeLines="0" w:after="0"/>
        <w:rPr>
          <w:rFonts w:ascii="宋体" w:hAnsi="宋体"/>
          <w:szCs w:val="30"/>
        </w:rPr>
      </w:pPr>
      <w:r>
        <w:br w:type="page"/>
      </w:r>
      <w:bookmarkStart w:id="30" w:name="_Toc256000040"/>
      <w:bookmarkStart w:id="31" w:name="_Toc256000014"/>
      <w:r>
        <w:rPr>
          <w:rFonts w:ascii="宋体" w:hAnsi="宋体"/>
          <w:sz w:val="30"/>
        </w:rPr>
        <w:t>十四、基金的费用与税收</w:t>
      </w:r>
      <w:bookmarkEnd w:id="30"/>
      <w:bookmarkEnd w:id="3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（一）基金费用的种类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1、基金管理人的管理费；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2、基金托管人的托管费；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3、《基金合同》生效后与基金相关的信息披露费用；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4、《基金合同》生效后与基金相关的会计师费、律师费、仲裁费和诉讼费；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5、基金份额持有人大会费用；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6、基金的证券/期货交易费用；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7、基金的银行汇划费用；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8、基金的开户费用、账户维护费用；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9、因投资港股通标的股票而产生的各项合理费用；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10、本基金从C类基金份额的基金财产中计提的销售服务费；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11、按照国家有关规定和《基金合同》约定，可以在基金财产中列支的其他费用。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（二）基金费用计提方法、计提标准和支付方式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1、与基金运作有关的费用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（1）基金管理人的管理费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本基金的管理费按前一日基金资产净值的0.5%年费率计提。管理费的计算方法如下：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H＝E×0.5%÷当年天数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H为每日应计提的基金管理费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E为前一日的基金资产净值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费每日计提，逐日累计至每月月末，按月支付。由基金管理人向基金托管人发送基金管理费划款指令，基金托管人复核后于次月首日起5个工作日内从基金财产中一次性支付给基金管理人。若遇法定节假日、休息日或不可抗力致使无法按时支付的，顺延至最近可支付日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（2）基金托管人的托管费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本基金的托管费按前一日基金资产净值的0.1%的年费率计提。托管费的计算方法如下：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H＝E×0.1%÷当年天数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H为每日应计提的基金托管费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E为前一日的基金资产净值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费每日计提，逐日累计至每月月末，按月支付。由基金管理人向基金托管人发送基金托管费划款指令，基金托管人复核后于次月首日起5个工作日内从基金财产中一次性支付给基金托管人。若遇法定节假日、休息日或不可抗力致使无法按时支付的，顺延至最近可支付日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（3）C类基金份额的销售服务费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本基金A类基金份额不收取销售服务费，C类基金份额的销售服务费按前一日C类基金份额的资产净值的0.25%年费率计提。销售服务费的计算方法如下：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H＝E×0.25%÷当年天数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H为C类基金份额每日应计提的销售服务费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E为C类基金份额前一日基金资产净值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类基金份额销售服务费每日计提，逐日累计至每月月末，按月支付。由基金管理人向基金托管人发送销售服务费划付指令，经基金托管人复核后于次月首日起5个工作日内从基金财产中一次性支付给基金管理人，由基金管理人代付给销售机构。若遇法定节假日、休息日或不可抗力致使无法按时支付的，顺延至最近可支付日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C类基金份额的销售服务费将专门用于本基金的推广、销售与基金份额持有人服务。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（4）上述“（一）基金费用的种类”中第3－9项、第11项费用，根据有关法规及相应协议规定，按费用实际支出金额列入当期费用，由基金托管人从基金财产中支付。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2、与基金销售有关的费用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本基金申购费的费率水平、计算公式和收取方式详见“基金份额的申购与赎回”一章。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本基金赎回费的费率水平、计算公式和收取方式详见“基金份额的申购与赎回”一章。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（三）不列入基金费用的项目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下列费用不列入基金费用：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1、基金管理人和基金托管人因未履行或未完全履行义务导致的费用支出或基金财产的损失；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2、基金管理人和基金托管人处理与基金运作无关的事项发生的费用；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3、《基金合同》生效前的相关费用；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4、标的指数许可使用费（由基金管理人承担）；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5、其他根据相关法律法规及中国证监会的有关规定不得列入基金费用的项目。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（四）实施侧袋机制期间的基金费用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（五）基金税收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pPr>
        <w:pStyle w:val="2"/>
        <w:snapToGrid w:val="0"/>
        <w:spacing w:before="240" w:beforeLines="0" w:after="0"/>
        <w:rPr>
          <w:rFonts w:ascii="宋体" w:hAnsi="宋体"/>
          <w:szCs w:val="30"/>
        </w:rPr>
      </w:pPr>
      <w:r>
        <w:br w:type="page"/>
      </w:r>
      <w:bookmarkStart w:id="32" w:name="_Toc256000041"/>
      <w:bookmarkStart w:id="33" w:name="_Toc256000015"/>
      <w:r>
        <w:rPr>
          <w:rFonts w:ascii="宋体" w:hAnsi="宋体"/>
          <w:sz w:val="30"/>
        </w:rPr>
        <w:t>十五、基金的会计与审计</w:t>
      </w:r>
      <w:bookmarkEnd w:id="32"/>
      <w:bookmarkEnd w:id="3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（一）基金会计政策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1、基金管理人为本基金的基金会计责任方；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2、基金的会计年度为公历年度的1月1日至12月31日；基金首次募集的会计年度按如下原则：如果《基金合同》生效少于2个月，可以并入下一个会计年度披露；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3、基金核算以人民币为记账本位币，以人民币元为记账单位；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4、会计制度执行国家有关会计制度；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5、本基金独立建账、独立核算；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6、基金管理人及基金托管人各自保留完整的会计账目、凭证并进行日常的会计核算，按照有关规定编制基金会计报表；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7、基金托管人每月与基金管理人就基金的会计核算、报表编制等进行核对并以双方认可的方式确认。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（二）基金的年度审计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1、基金管理人聘请与基金管理人、基金托管人相互独立的符合《中华人民共和国证券法》规定的会计师事务所及其注册会计师对本基金的年度财务报表进行审计。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2、会计师事务所更换经办注册会计师，应事先征得基金管理人同意。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3、基金管理人认为有充足理由更换会计师事务所，须通报基金托管人。更换会计师事务所需依照《信息披露办法》的规定在规定媒介公告。</w:t>
      </w:r>
    </w:p>
    <w:p>
      <w:pPr>
        <w:pStyle w:val="2"/>
        <w:snapToGrid w:val="0"/>
        <w:spacing w:before="240" w:beforeLines="0" w:after="0"/>
        <w:rPr>
          <w:rFonts w:ascii="宋体" w:hAnsi="宋体"/>
          <w:szCs w:val="30"/>
        </w:rPr>
      </w:pPr>
      <w:r>
        <w:br w:type="page"/>
      </w:r>
      <w:bookmarkStart w:id="34" w:name="_Toc256000042"/>
      <w:bookmarkStart w:id="35" w:name="_Toc256000016"/>
      <w:r>
        <w:rPr>
          <w:rFonts w:ascii="宋体" w:hAnsi="宋体"/>
          <w:sz w:val="30"/>
        </w:rPr>
        <w:t>十六、基金的信息披露</w:t>
      </w:r>
      <w:bookmarkEnd w:id="34"/>
      <w:bookmarkEnd w:id="3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（一）本基金的信息披露应符合《基金法》、《运作办法》、《信息披露办法》、《流动性风险管理规定》、《基金合同》及其他有关规定。相关法律法规关于信息披露的规定发生变化时，本基金从其最新规定。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（二）信息披露义务人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（三）本基金信息披露义务人承诺公开披露的基金信息，不得有下列行为：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1、虚假记载、误导性陈述或者重大遗漏；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2、对证券投资业绩进行预测；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3、违规承诺收益或者承担损失；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4、诋毁其他基金管理人、基金托管人或者基金销售机构；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5、登载任何自然人、法人和非法人组织的祝贺性、恭维性或推荐性的文字；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6、中国证监会禁止的其他行为。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本基金公开披露的信息采用阿拉伯数字；除特别说明外，货币单位为人民币元。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（五）公开披露的基金信息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公开披露的基金信息包括：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1、基金招募说明书、《基金合同》、基金托管协议、基金产品资料概要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（3）基金托管协议是界定基金托管人和基金管理人在基金财产保管及基金运作监督等活动中的权利、义务关系的法律文件。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2、基金份额发售公告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基金管理人应当就基金份额发售的具体事宜编制基金份额发售公告，并在披露招募说明书的当日登载于规定媒介上。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3、《基金合同》生效公告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基金管理人应当在收到中国证监会确认文件的次日在规定媒介上登载《基金合同》生效公告。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4、基金净值信息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《基金合同》生效后，在开始办理基金份额申购或者赎回前，基金管理人应当至少每周在规定网站分别披露一次A类基金份额和C类基金份额所对应的基金份额净值和基金份额累计净值。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基金管理人应当在不晚于半年度和年度最后一日的次日，在规定网站披露半年度和年度最后一日A类基金份额和C类基金份额所对应的基金份额净值和基金份额累计净值。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5、基金份额申购、赎回价格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6、基金定期报告，包括基金年度报告、基金中期报告和基金季度报告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基金管理人应当在上半年结束之日起两个月内，编制完成基金中期报告，将中期报告登载在规定网站上，并将中期报告提示性公告登载在规定报刊上。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基金管理人应当在季度结束之日起15个工作日内，编制完成基金季度报告，将季度报告登载在规定网站上，并将季度报告提示性公告登载在规定报刊上。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《基金合同》生效不足2个月的，基金管理人可以不编制当期季度报告、中期报告或者年度报告。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基金管理人应当在基金年度报告和中期报告中披露基金组合资产情况及其流动性风险分析等。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7、临时报告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本基金发生重大事件，有关信息披露义务人应当依照《信息披露办法》的规定编制临时报告书，并登载在规定报刊和规定网站上。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前款所称重大事件，是指可能对基金份额持有人权益或者基金份额的价格产生重大影响的下列事件：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（1）基金份额持有人大会的召开及决定的事项；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（2）《基金合同》终止、基金清算；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（3）转换基金运作方式、基金合并；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（4）更换基金管理人、基金托管人、基金份额登记机构，基金改聘会计师事务所；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（6）基金管理人、基金托管人的法定名称、住所发生变更；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（7）基金管理人变更持有百分之五以上股权的股东、基金管理人的实际控制人变更；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（8）基金募集期延长或提前结束募集；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（9）基金管理人的高级管理人员、基金经理和基金托管人专门基金托管部门负责人发生变动；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（11）涉及基金财产、基金管理业务、基金托管业务的诉讼或仲裁；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（14）基金收益分配事项；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（15）管理费、托管费、销售服务费、申购费、赎回费等费用计提标准、计提方式和费率发生变更；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（16）任一类基金份额净值计价错误达该类基金份额净值百分之零点五；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（17）本基金开始办理申购、赎回；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（18）本基金发生巨额赎回并延期办理；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（19）本基金连续发生巨额赎回并暂停接受赎回申请或延缓支付赎回款项；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（20）本基金暂停接受申购、赎回申请或重新接受申购、赎回申请；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（21）发生涉及基金申购、赎回事项调整或潜在影响投资者赎回等重大事项时；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（22）基金管理人采用摆动定价机制进行估值；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（23）本基金增加或调整基金份额类别；</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（24）本基金推出新业务或服务；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（25）《基金合同》生效后，连续30、40、45个工作日出现基金份额持有人数量不满200人或者基金资产净值低于5000万元情形，基金管理人应当发布提示性公告；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（26）基金信息披露义务人认为可能对基金份额持有人权益或者基金份额的价格产生重大影响的其他事项或中国证监会规定和基金合同约定的其他事项。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8、澄清公告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9、基金份额持有人大会决议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基金份额持有人大会决定的事项，应当依法报中国证监会备案，并予以公告。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10、实施侧袋机制期间的信息披露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11、清算报告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12、基金投资资产支持证券情况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13、基金投资股指期货情况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股指期货，基金管理人需按照法规要求在季度报告、中期报告、年度报告等定期报告和招募说明书（更新）等文件中披露股指期货交易情况，包括交易政策、持仓情况、损益情况、风险指标等，并充分揭示股指期货交易对基金总体风险的影响以及是否符合既定的投资政策和投资目标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14、基金投资港股通标的股票情况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本基金投资于港股通标的股票，基金应当在季度报告、中期报告、年度报告等定期报告和招募说明书（更新）等文件中披露港股通标的股票的投资情况。法律法规或中国证监会另有规定的，从其规定。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15、基金参与融资和转融通证券出借业务情况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本基金参与转融通证券出借业务的，基金管理人应当在基金定期报告等文件中就报告期内发生的重大关联交易事项做详细说明。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未来在法律法规允许的前提下，本基金可依据法律法规的相关规定参与融券业务，并相应履行信息披露义务。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16、中国证监会规定的其他信息。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（六）信息披露事务管理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基金管理人、基金托管人应当建立健全信息披露管理制度，指定专门部门及高级管理人员负责管理信息披露事务。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基金信息披露义务人公开披露基金信息，应当符合中国证监会相关基金信息披露内容与格式准则等法律法规的规定。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应当按照相关法律法规、中国证监会的规定和《基金合同》的约定，对基金管理人编制的基金资产净值、各类基金份额的基金份额净值、基金份额申购赎回价格、基金定期报告、更新的招募说明书、基金产品资料概要、基金清算报告等相关基金信息进行复核、审查，并向基金管理人进行书面或电子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（七）信息披露文件的存放与查阅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依法必须披露的信息发布后，基金管理人、基金托管人应当按照相关法律法规规定将信息置备于各自办公场所，供社会公众查阅、复制。</w:t>
      </w:r>
    </w:p>
    <w:p>
      <w:pPr>
        <w:pStyle w:val="2"/>
        <w:snapToGrid w:val="0"/>
        <w:spacing w:before="240" w:beforeLines="0" w:after="0"/>
        <w:rPr>
          <w:rFonts w:ascii="宋体" w:hAnsi="宋体"/>
          <w:szCs w:val="30"/>
        </w:rPr>
      </w:pPr>
      <w:r>
        <w:br w:type="page"/>
      </w:r>
      <w:bookmarkStart w:id="36" w:name="_Toc256000043"/>
      <w:bookmarkStart w:id="37" w:name="_Toc256000017"/>
      <w:r>
        <w:rPr>
          <w:rFonts w:ascii="宋体" w:hAnsi="宋体"/>
          <w:sz w:val="30"/>
        </w:rPr>
        <w:t>十七、侧袋机制</w:t>
      </w:r>
      <w:bookmarkEnd w:id="36"/>
      <w:bookmarkEnd w:id="3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基金管理人不得在侧袋账户中进行除特定资产处置变现以外的其他投资操作。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1、本基金实施侧袋机制的，管理费和托管费等按主袋账户基金资产净值作为基数计提。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1、临时公告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2、基金净值信息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3、定期报告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pStyle w:val="2"/>
        <w:snapToGrid w:val="0"/>
        <w:spacing w:before="240" w:beforeLines="0" w:after="0"/>
        <w:rPr>
          <w:rFonts w:ascii="宋体" w:hAnsi="宋体"/>
          <w:szCs w:val="30"/>
        </w:rPr>
      </w:pPr>
      <w:r>
        <w:br w:type="page"/>
      </w:r>
      <w:bookmarkStart w:id="38" w:name="_Toc256000044"/>
      <w:bookmarkStart w:id="39" w:name="_Toc256000018"/>
      <w:r>
        <w:rPr>
          <w:rFonts w:ascii="宋体" w:hAnsi="宋体"/>
          <w:sz w:val="30"/>
        </w:rPr>
        <w:t>十八、风险揭示</w:t>
      </w:r>
      <w:bookmarkEnd w:id="38"/>
      <w:bookmarkEnd w:id="3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基金份额持有人须了解并承受以下风险：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（一）市场风险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（二）管理风险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1、本基金的申购、赎回安排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采用开放方式运作，基金管理人在开放日办理基金份额的申购和赎回，具体办理时间为上海证券交易所、深圳证券交易所的正常交易日的交易时间（若该工作日为非港股通交易日，则本基金不开放），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不超过3个月开始办理赎回业务，具体业务办理时间在赎回开始公告中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2、投资市场、行业及资产的流动性风险评估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3、巨额赎回情形下的流动性风险管理措施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4、实施备用的流动性风险管理工具的情形、程序及对投资者的潜在影响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本基金在面临大规模赎回的情况下有可能因为无法变现造成流动性风险。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基金份额持有人的利益。当实施备用的流动性风险管理工具时，有可能无法按基金合同约定的时限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基金管理人将根据主袋账户运作情况合理确定申购政策，因此实施侧袋机制后主袋账户份额存在暂停申购的可能。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（四）信用风险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基金在交易过程发生交收违约，或者基金所投资债券之发行人出现违约、拒绝支付到期本息，都可能导致基金资产损失和收益变化，从而产生风险。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（五）本基金的特有风险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为股票型基金，投资于中证港股通央企红利指数成份股（含存托凭证）及备选成份股（含存托凭证）的比例不低于基金资产净值的90%且不低于非现金基金资产的80%，因投资权益类资产而面临权益类资产市场的系统性风险和个股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2、标的指数回报与股票市场平均回报偏离的风险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标的指数并不能代表整个股票市场。标的指数成份股的平均回报率与整个股票市场的平均回报率可能存在偏离。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3、标的指数波动的风险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标的指数成份股的价格可能受到政治因素、经济因素、上市公司经营状况、投资人心理和交易制度等各种因素的影响而波动，导致指数波动，从而使基金收益水平发生变化，产生风险。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4、标的指数成分股主题集中风险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本基金标的指数成分股主要集中于港股通央企红利主题相关上市公司，须承受因政府政策变化、市场情况变化等影响相关主题股票的因素所带来的风险。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5、基金投资组合回报与标的指数回报偏离及跟踪误差控制未达约定目标的风险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以下因素可能使基金投资组合的收益率与标的指数的收益率发生偏离，也可能使基金的跟踪误差控制未达约定目标：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（1）由于标的指数调整成份股或变更编制方法，使本基金在相应的组合调整中产生跟踪偏离度与跟踪误差。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（2）由于标的指数成份股发生配股、增发等行为导致成份股在标的指数中的权重发生变化，使本基金在相应的组合调整中产生跟踪偏离度和跟踪误差。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（3）标的指数成份股派发现金红利、新股市值配售收益将导致基金收益率超过标的指数收益率，产生正的跟踪偏离度。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（4）由于标的指数成份股停牌、摘牌或流动性差等原因使本基金无法及时调整投资组合或承担冲击成本而产生跟踪偏离度和跟踪误差。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（5）因法律法规的限制或其他限制，本基金可能不能投资于部分标的指数成份股。在使用替代方法，如投资同行业中相关性较高的股票以替代上述投资受限股票时，会产生一定的跟踪偏离度和跟踪误差。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（6）基金有投资成本、各种费用及税收，而指数编制不考虑费用和税收，这将导致基金收益率落后于标的指数收益率，产生负的跟踪偏离度。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（7）在本基金指数化投资过程中，基金管理人的管理能力，例如跟踪指数的水平、技术手段、买入卖出的时机选择等，都会对本基金的收益产生影响，从而影响本基金对标的指数的跟踪程度。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在正常市场情况下，本基金力争控制本基金日均跟踪偏离度的绝对值不超过0.35%，年跟踪误差不超过4%。但因标的指数编制规则调整或其他因素可能导致跟踪偏离度和跟踪误差超过上述范围，本基金净值表现与指数价格走势可能发生较大偏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6、指数编制机构停止服务的风险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标的指数由指数编制机构发布并管理和维护，未来指数编制机构可能由于各种原因停止对标的指数的管理和维护，本基金将根据基金合同的约定自该情形发生之日起十个工作日内向中国证监会报告并提出解决方案，如转换运作方式，与其他基金合并或者终止基金合同等，并在6个月内召集基金份额持有人大会进行表决，基金份额持有人大会未成功召开或就上述事项表决未通过的，基金合同终止。投资人将面临转换运作方式，与其他基金合并或者终止基金合同等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7、成份股停牌的风险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标的指数成份股可能因各种原因临时或长期停牌，发生成份股停牌时可能面临如下风险：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（1）基金可能因无法及时调整投资组合而导致跟踪偏离度和跟踪误差扩大。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（2）若成份股停牌时间较长，在约定时间内仍未能及时买入或卖出的，由此可能影响投资者的投资损益并使基金产生跟踪偏离度和跟踪误差。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极端情况下，标的指数成份股可能大面积停牌，基金可能无法及时卖出成份股以获取足额的符合要求的赎回款项，由此基金管理人可能采取暂停赎回的措施，投资者将面临无法赎回全部或部分基金份额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运作过程中，当标的指数成份股发生明显负面事件面临退市风险，且指数编制机构暂未作出调整的，基金管理人应当按照持有人利益优先的原则，履行内部决策程序后及时对相关成份股进行调整，可能影响投资者的投资损益并使基金产生跟踪偏离度和跟踪误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8、基金合同提前终止风险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《基金合同》生效后，连续50个工作日出现基金份额持有人数量不满200人或者基金资产净值低于5000万元情形的，基金合同终止，不需召开基金份额持有人大会。因此，投资者可能面临基金合同提前终止的风险。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9、本基金可投资创业板股票，创业板个股上市后的前五个交易日不设价格涨跌幅限制，第六个交易日开始涨跌幅限制比例为20%。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10、投资港股通标的股票的特定风险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本基金投资于港股通标的股票，会面临港股通机制下因投资环境、投资标的、市场制度以及交易规则等差异带来的特有风险，具体如下：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（1）港股交易失败风险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（2）汇率风险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（3）境外市场的风险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2）香港市场交易规则有别于内地A股市场规则，此外，在“内地与香港股票市场交易互联互通机制”下参与香港股票投资还将面临包括但不限于如下特殊风险：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a）香港市场实行T+0回转交易机制（即当日买入的股票，在交收前可以于当日卖出），且证券交易价格并无涨跌幅上下限的规定，因此每日涨跌幅空间相对较大，可能表现出比A股更为剧烈的股价波动；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香港联合交易所出现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d）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以上所述因素可能会给本基金投资带来特殊交易风险。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11、投资股指期货的特定风险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（1）市场风险是指由于股指期货价格变动而给投资者带来的风险。市场风险是股指期货投资中最主要的风险。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（2）流动性风险是指由于股指期货合约无法及时变现所带来的风险。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（3）基差风险是指股指期货合约价格和指数价格之间的价格差的波动所造成的风险，以及不同股指期货合约价格之间价格差的波动所造成的期现价差风险。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（4）保证金风险是指由于无法及时筹措资金满足建立或者维持股指期货合约头寸所要求的保证金而带来的风险。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（5）信用风险是指期货经纪公司违约而产生损失的风险。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（6）操作风险是指由于内部流程的不完善，业务人员出现差错或者疏漏，或者系统出现故障等原因造成损失的风险。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此外，由于衍生品通常具有杠杆效应，价格波动比标的工具更为剧烈，并且其定价相当复杂，不适当的估值也有可能使基金资产面临损失风险。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12、投资资产支持证券的特定风险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13、投资流通受限证券的特定风险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14、投资存托凭证的特定风险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15、投资科创板股票的特定风险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（1）市场风险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科创板个股上市后的前五个交易日无涨跌停限制，其后涨跌幅限制为20%，科创板股票上市首日即可作为融资融券标的，可能导致较大的股票价格波动。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科创板整体投资门槛较高，二级市场上个人投资者参与度相对较低，机构持有个股大量流通盘导致个股流动性较差，基金组合存在无法及时变现及其他相关流动性风险。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（3）退市风险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科创板退市制度较主板更为严格，且不再设置暂停上市、恢复上市和重新上市环节，上市公司退市风险更大。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（4）系统性风险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（5）政策风险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16、本基金参与融资业务的特定风险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本基金可根据法律法规的规定参与融资业务，面临的风险包括但不限于：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（1）市场风险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可能放大投资损失的风险：融资业务具有杠杆效应，它在放大投资收益的同时也必然放大投资风险。将股票作为担保品进行融资交易时，既需要承担原有的股票价格下跌带来的风险，又得承担融资买入股票带来的风险，同时还须支付相应的利息和费用，由此承担的风险可能远远超过普通证券交易。</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2）利率变动带来的成本加大风险：在从事融资交易期间，如中国人民银行规定的同期贷款基准利率调高，证券公司将相应调高融资利率，投资成本也因为利率的上调而增加，将面临融资成本增加的风险。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强制平仓风险：融资交易中，投资组合与证券公司间除了普通交易的委托买卖关系外，还存在着较为复杂的债权债务关系，以及由于债权债务产生的信托关系和担保关系。证券公司为保护自身债权，对投资组合信用账户的资产负债情况实时监控，在一定条件下可以对投资组合担保资产执行强制平仓,且平仓的品种、数量、价格、时机将不受投资组合的控制，平仓的数额可能超过全部负债，由此给投资组合带来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外部监管风险：在融资交易出现异常或市场出现系统性风险时，监管部门、证券交易所和证券公司都将可能对融资交易采取相应措施，例如提高融资保证金比例、维持担保比例和强制平仓的条件等，以维护市场平稳运行。这些措施将可能给本金带来杠杆效应降低、甚至提前进入追加担保物或强制平仓状态等潜在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融资业务的流动性风险主要指当基金不能按照约定的期限清偿债务，或上市证券价格波动导致担保物价值与融资债务之间的比例低于平仓维持担保比例，且不能按照约定的时间追加担保物时面临强制平仓的风险。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（3）信用风险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信用风险主要指交易对手违约产生的风险。一方面，如果证券公司没有按照融资合同的要求履行义务可能带来风险；另一方面，若在从事融资交易期间，证券公司融资业务资格、融资业务交易权限被取消或被暂停，证券公司可能无法履约，则投资组合可能会面临一定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17、本基金参与转融通证券出借业务的特定风险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本基金可根据法律法规和基金合同的约定参与转融通证券出借业务，面临的风险包括但不限于：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面对大额赎回时，可能因证券出借原因发生无法及时变现、支付赎回款项的风险；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（2）信用风险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证券出借对手方可能无法及时归还证券、无法支付相应权益补偿及借券费用的风险；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（3）市场风险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证券出借后可能面临出借期间无法及时处置证券的风险；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（4）其他风险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如宏观政策变化、证券市场剧烈波动、个别证券出现重大事件、交易对手方违约、业务规则调整、信息技术不能正常运行等风险。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（六）本基金法律文件风险收益特征表述与销售机构基金风险评价可能不一致的风险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（七）其他风险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1、因技术因素而产生的风险，如电脑系统不可靠产生的风险；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2、因基金业务快速发展，在制度建设、人员配备、内控制度建立等方面的不完善产生的风险；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3、因人为因素而产生的风险、如内幕交易、欺诈行为等产生的风险；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4、对主要业务人员如基金经理的依赖而可能产生的风险；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5、因业务竞争压力可能产生的风险；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6、战争、自然灾害等不可抗力可能导致基金财产的损失，影响基金收益水平，从而带来风险；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7、其他意外导致的风险。</w:t>
      </w:r>
    </w:p>
    <w:p>
      <w:pPr>
        <w:pStyle w:val="2"/>
        <w:snapToGrid w:val="0"/>
        <w:spacing w:before="240" w:beforeLines="0" w:after="0"/>
        <w:rPr>
          <w:rFonts w:ascii="宋体" w:hAnsi="宋体"/>
          <w:szCs w:val="30"/>
        </w:rPr>
      </w:pPr>
      <w:r>
        <w:br w:type="page"/>
      </w:r>
      <w:bookmarkStart w:id="40" w:name="_Toc256000045"/>
      <w:bookmarkStart w:id="41" w:name="_Toc256000019"/>
      <w:r>
        <w:rPr>
          <w:rFonts w:ascii="宋体" w:hAnsi="宋体"/>
          <w:sz w:val="30"/>
        </w:rPr>
        <w:t>十九、基金合同的变更、终止与基金财产的清算</w:t>
      </w:r>
      <w:bookmarkEnd w:id="40"/>
      <w:bookmarkEnd w:id="4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（一）《基金合同》的变更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（二）《基金合同》的终止事由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有下列情形之一的，经履行相关程序后，《基金合同》应当终止：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1、基金份额持有人大会决定终止的；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4、连续50个工作日出现基金份额持有人数量不满200人或者基金资产净值低于5000万元情形的，基金合同终止，不需召开基金份额持有人大会；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5、《基金合同》约定的其他情形；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6、相关法律法规和中国证监会规定的其他情况。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（三）基金财产的清算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4、基金财产清算程序：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（1）《基金合同》终止情形出现时，由基金财产清算小组统一接管基金财产；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（2）对基金财产和债权债务进行清理和确认；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（3）对基金财产进行估值和变现；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（4）制作清算报告；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（6）将清算报告报中国证监会备案并公告；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（7）对基金剩余财产进行分配。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5、基金财产清算的期限为6个月，但因本基金所持证券的流动性受到限制而不能及时变现的，清算期限相应顺延。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（四）清算费用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清算费用是指基金财产清算小组在进行基金财产清算过程中发生的所有合理费用，清算费用由基金财产清算小组优先从基金财产中支付。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（五）基金财产清算剩余资产的分配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（六）基金财产清算的公告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（七）基金财产清算账册及文件的保存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基金财产清算账册及有关文件由基金托管人保存不低于法律法规规定的最低期限。</w:t>
      </w:r>
    </w:p>
    <w:p>
      <w:pPr>
        <w:pStyle w:val="2"/>
        <w:snapToGrid w:val="0"/>
        <w:spacing w:before="240" w:beforeLines="0" w:after="0"/>
        <w:rPr>
          <w:rFonts w:ascii="宋体" w:hAnsi="宋体"/>
          <w:szCs w:val="30"/>
        </w:rPr>
      </w:pPr>
      <w:r>
        <w:br w:type="page"/>
      </w:r>
      <w:bookmarkStart w:id="42" w:name="_Toc256000020"/>
      <w:bookmarkStart w:id="43" w:name="_Toc256000046"/>
      <w:r>
        <w:rPr>
          <w:rFonts w:ascii="宋体" w:hAnsi="宋体"/>
          <w:sz w:val="30"/>
        </w:rPr>
        <w:t>二十、基金合同内容摘要</w:t>
      </w:r>
      <w:bookmarkEnd w:id="42"/>
      <w:bookmarkEnd w:id="4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（一）基金份额持有人、基金管理人和基金托管人的权利与义务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（1）根据《基金法》、《运作办法》及其他有关规定，基金管理人的权利包括但不限于：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1）依法募集资金；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2）自《基金合同》生效之日起，根据法律法规和《基金合同》独立运用并管理基金财产；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3）依照《基金合同》收取基金管理费以及法律法规规定或中国证监会批准的其他费用；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4）销售基金份额；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5）按照规定召集基金份额持有人大会；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7）在基金托管人更换时，提名新的基金托管人；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8）选择、更换基金销售机构，对基金销售机构的相关行为进行监督和处理；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9）担任或委托其他符合条件的机构担任基金登记机构办理基金登记业务并获得《基金合同》规定的费用；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10）依据《基金合同》及有关法律规定决定基金收益的分配方案；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11）在《基金合同》约定的范围内，拒绝或暂停受理申购与赎回申请；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12）依照法律法规为基金的利益对被投资公司行使股东权利，为基金的利益行使因基金财产投资于证券所产生的权利；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13）在法律法规允许的前提下，为基金的利益依法为基金进行融资及转融通证券出借业务；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14）以基金管理人的名义，代表基金份额持有人的利益行使诉讼权利或者实施其他法律行为；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15）选择、更换律师事务所、会计师事务所、证券经纪商、期货经纪机构或其他为基金提供服务的外部机构；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16）在符合有关法律、法规的前提下，制定和调整有关基金认购、申购、赎回、转换等的业务规则；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17）法律法规及中国证监会规定的和《基金合同》约定的其他权利。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（2）根据《基金法》、《运作办法》及其他有关规定，基金管理人的义务包括但不限于：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1）依法募集资金，办理或者委托经中国证监会认定的其他机构办理基金份额的发售、申购、赎回和登记事宜；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2）办理基金备案手续；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3）自《基金合同》生效之日起，以诚实信用、谨慎勤勉的原则管理和运用基金财产；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4）配备足够的具有专业资格的人员进行基金投资分析、决策，以专业化的经营方式管理和运作基金财产；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7）依法接受基金托管人的监督；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9）进行基金会计核算并编制基金财务会计报告；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10）编制季度报告、中期报告和年度报告；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11）严格按照《基金法》、《基金合同》及其他有关规定，履行信息披露及报告义务；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保守基金商业秘密，不泄露基金投资计划、投资意向等。除《基金法》、《基金合同》及其他有关规定另有规定外，在基金信息公开披露前应予保密，不向他人泄露；但根据监管机构、司法机关等有权机关的要求提供，或因审计、法律等外部专业顾问提供服务需要提供的情况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13）按《基金合同》的约定确定基金收益分配方案，及时向基金份额持有人分配基金收益；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14）按规定受理申购与赎回申请，及时、足额支付赎回款项；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16）按规定保存基金财产管理业务活动的会计账册、报表、记录和其他相关资料不低于法律法规规定的最低期限；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18）组织并参加基金财产清算小组，参与基金财产的保管、清理、估价、变现和分配；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19）面临解散、依法被撤销或者被依法宣告破产时，及时报告中国证监会并通知基金托管人；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22）当基金管理人将其义务委托第三方处理时，应当对第三方处理有关基金事务的行为承担责任；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23）以基金管理人名义，代表基金份额持有人利益行使诉讼权利或实施其他法律行为；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25）执行生效的基金份额持有人大会的决议；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26）建立并保存基金份额持有人名册；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27）法律法规及中国证监会规定的和《基金合同》约定的其他义务。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（1）根据《基金法》、《运作办法》及其他有关规定，基金托管人的权利包括但不限于：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1）自《基金合同》生效之日起，依法律法规和《基金合同》的规定安全保管基金财产；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2）依《基金合同》约定获得基金托管费以及法律法规规定或监管部门批准的其他费用；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4）根据相关市场规则，为基金开设资金账户、证券账户等投资所需账户，为基金办理证券交易资金清算；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5）提议召开或召集基金份额持有人大会；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6）在基金管理人更换时，提名新的基金管理人；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7）法律法规及中国证监会规定的和《基金合同》约定的其他权利。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（2）根据《基金法》、《运作办法》及其他有关规定，基金托管人的义务包括但不限于：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1）以诚实信用、勤勉尽责的原则持有并安全保管基金财产；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5）保管由基金管理人代表基金签订的与基金有关的重大合同及有关凭证；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6）按规定开设基金财产的资金账户、证券账户等投资所需账户，按照《基金合同》的约定，根据基金管理人的投资指令，及时办理清算、交割事宜；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保守基金商业秘密，除《基金法》、《基金合同》及其他有关规定另有规定外，在基金信息公开披露前予以保密，不得向他人泄露；但根据监管机构、司法机关等有权机关的要求提供，或因审计、法律等外部专业顾问提供服务需要提供的情况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8）复核、审查基金管理人计算的基金资产净值、各类基金份额净值、基金份额申购、赎回价格；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9）办理与基金托管业务活动有关的信息披露事项；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11）保存基金托管业务活动的记录、账册、报表和其他相关资料不低于法律法规规定的最低期限；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12）建立并保存基金份额持有人名册；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13）按规定制作相关账册并与基金管理人核对；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14）依据基金管理人的指令或有关规定向基金份额持有人支付基金收益和赎回款项；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16）按照法律法规和《基金合同》的规定监督基金管理人的投资运作；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17）参加基金财产清算小组，参与基金财产的保管、清理、估价、变现和分配；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18）面临解散、依法被撤销或者被依法宣告破产时，及时报告中国证监会，并通知基金管理人；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19）因违反《基金合同》导致基金财产损失时，应承担赔偿责任，其赔偿责任不因其退任而免除；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21）执行生效的基金份额持有人大会的决议；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22）法律法规及中国证监会规定的和《基金合同》约定的其他义务。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3、基金份额持有人的权利与义务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投资者持有本基金基金份额的行为即视为对《基金合同》的承认和接受，基金投资者自依据《基金合同》取得本基金基金份额，即成为本基金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同一类别每份基金份额具有同等的合法权益。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（1）根据《基金法》、《运作办法》及其他有关规定，基金份额持有人的权利包括但不限于：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1）分享基金财产收益；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2）参与分配清算后的剩余基金财产；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3）依法并按照基金合同和招募说明书的规定转让或者申请赎回其持有的基金份额；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4）按照规定要求召开基金份额持有人大会或者召集基金份额持有人大会；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5）出席或者委派代表出席基金份额持有人大会，对基金份额持有人大会审议事项行使表决权；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6）查阅或者复制公开披露的基金信息资料；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7）监督基金管理人的投资运作；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8）对基金管理人、基金托管人、基金服务机构损害其合法权益的行为依法提起诉讼或仲裁；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9）法律法规及中国证监会规定的和《基金合同》约定的其他权利。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（2）根据《基金法》、《运作办法》及其他有关规定，基金份额持有人的义务包括但不限于：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1）认真阅读并遵守《基金合同》、招募说明书等信息披露文件；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2）了解所投资基金产品，了解自身风险承受能力，自主判断基金的投资价值，自主做出投资决策，自行承担投资风险；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3）关注基金信息披露，及时行使权利和履行义务；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4）交纳基金认购、申购款项及法律法规和《基金合同》所规定的费用；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5）在其持有的基金份额范围内，承担基金亏损或者《基金合同》终止的有限责任；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6）不从事任何有损基金及其他《基金合同》当事人合法权益的活动；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7）执行生效的基金份额持有人大会的决议；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8）返还在基金交易过程中因任何原因获得的不当得利；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9）遵守基金管理人、基金托管人、销售机构和登记机构的相关交易及业务规则；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10）提供基金管理人和监管机构依法要求提供的信息，以及不时的更新和补充，并保证其真实性；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11）法律法规及中国证监会规定的和《基金合同》约定的其他义务。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（二）基金份额持有人大会召集、议事及表决的程序和规则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本基金份额持有人大会不设日常机构。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1、召开事由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（1）当出现或需要决定下列事由之一的，应当召开基金份额持有人大会，法律法规、中国证监会另有规定的除外：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1）终止《基金合同》，基金合同另有规定的除外；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2）更换基金管理人；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3）更换基金托管人；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4）转换基金运作方式；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5）调整基金管理人、基金托管人的报酬标准或提高销售服务费率；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6）变更基金类别；</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7）本基金与其他基金的合并；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8）变更基金投资目标、范围或策略，基金合同另有规定的除外；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9）变更基金份额持有人大会程序，基金合同另有规定的除外；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10）基金管理人或基金托管人要求召开基金份额持有人大会；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12）对基金合同当事人权利和义务产生重大影响的其他事项；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13）法律法规、《基金合同》或中国证监会规定的其他应当召开基金份额持有人大会的事项。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1）调低基金销售服务费率；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2）法律法规要求增加的基金费用的收取；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3）在法律法规和《基金合同》规定的范围内调整本基金的申购费率、在对现有基金份额持有人利益无实质性不利影响的前提下变更收费方式；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4）因相应的法律法规、登记机构的相关业务规则发生变动而应当对《基金合同》进行修改；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5）对《基金合同》的修改对基金份额持有人利益无实质性不利影响或修改不涉及《基金合同》当事人权利义务关系发生重大变化；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6）在法律法规允许的情况下，且在对现有基金份额持有人利益无实质性不利影响的前提下，基金管理人履行适当程序后，推出新业务或服务；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7）在符合法律法规及本基金合同规定、并且对基金份额持有人利益无实质性不利影响的前提下，增加或调整本基金份额类别的设置、对基金份额分类办法及规则进行调整；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8）若将来本基金管理人注册并成立追踪同一标的指数的交易型开放式指数基金（ETF），则基金管理人在履行适当程序后有权决定将本基金转换为该基金的联接基金，并相应修改《基金合同》；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10）按照法律法规和《基金合同》规定不需召开基金份额持有人大会的其他情形。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2、会议召集人及召集方式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（1）除法律法规规定或《基金合同》另有约定外，基金份额持有人大会由基金管理人召集；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（2）基金管理人未按规定召集或不能召集时，由基金托管人召集；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（6）基金份额持有人会议的召集人负责选择确定开会时间、地点、方式和权益登记日。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3、召开基金份额持有人大会的通知时间、通知内容、通知方式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（1）召开基金份额持有人大会，召集人应于会议召开前30日，在规定媒介公告。基金份额持有人大会通知应至少载明以下内容：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1）会议召开的时间、地点和会议形式；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2）会议拟审议的事项、议事程序和表决方式；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3）有权出席基金份额持有人大会的基金份额持有人的权益登记日；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4）授权委托证明的内容要求（包括但不限于代理人身份，代理权限和代理有效期限等）、送达时间和地点；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5）会务常设联系人姓名及联系电话；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6）出席会议者必须准备的文件和必须履行的手续；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7）召集人需要通知的其他事项。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4、基金份额持有人出席会议的方式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基金份额持有人大会可通过现场开会方式、通讯开会方式或法律法规、监管机构允许的其他方式召开，会议的召开方式由会议召集人确定。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（2）通讯开会。通讯开会系指基金份额持有人将其对表决事项的投票以会议通知载明的形式或基金合同约定的其他方式在表决截止日以前送达至召集人指定的地址或系统。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在同时符合以下条件时，通讯开会的方式视为有效：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1）会议召集人按《基金合同》约定公布会议通知后，在2个工作日内连续公布相关提示性公告；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5、议事内容与程序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（1）议事内容及提案权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基金份额持有人大会的召集人发出召集会议的通知后，对原有提案的修改应当在基金份额持有人大会召开前及时公告。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基金份额持有人大会不得对未事先公告的议事内容进行表决。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（2）议事程序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1）现场开会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2）通讯开会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基金份额持有人所持每份基金份额有一票表决权。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基金份额持有人大会决议分为一般决议和特别决议：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基金份额持有人大会采取记名方式进行投票表决。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基金份额持有人大会的各项提案或同一项提案内并列的各项议题应当分开审议、逐项表决。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7、计票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（1）现场开会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2）监票人应当在基金份额持有人表决后立即进行清点并由大会主持人当场公布计票结果。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4）计票过程应由公证机关予以公证，基金管理人或基金托管人拒不出席大会的，不影响计票的效力。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（2）通讯开会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8、生效与公告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基金份额持有人大会的决议，召集人应当自通过之日起5日内报中国证监会备案。基金份额持有人大会的决议自表决通过之日起生效。法律法规另有规定的，从其规定。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9、实施侧袋机制期间基金份额持有人大会的特殊约定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（1）基金份额持有人行使提议权、召集权、提名权所需单独或合计代表相关基金份额10%以上（含10%）；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（2）现场开会的到会者在权益登记日代表的基金份额不少于本基金在权益登记日相关基金份额的二分之一（含二分之一）；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（6）一般决议须经参加大会的基金份额持有人或其代理人所持表决权的二分之一以上（含二分之一）通过；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（7）特别决议应当经参加大会的基金份额持有人或其代理人所持表决权的三分之二以上（含三分之二）通过。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同一主侧袋账户内的每份基金份额具有平等的表决权。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本部分对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（三）基金合同解除和终止的事由、程序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1、《基金合同》的变更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2、《基金合同》的终止事由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有下列情形之一的，经履行相关程序后，《基金合同》应当终止：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（1）基金份额持有人大会决定终止的；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（4）连续50个工作日出现基金份额持有人数量不满200人或者基金资产净值低于5000万元情形的，基金合同终止，不需召开基金份额持有人大会；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（5）《基金合同》约定的其他情形；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（6）相关法律法规和中国证监会规定的其他情况。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3、基金财产的清算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（4）基金财产清算程序：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1）《基金合同》终止情形出现时，由基金财产清算小组统一接管基金财产；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2）对基金财产和债权债务进行清理和确认；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3）对基金财产进行估值和变现；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4）制作清算报告；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6）将清算报告报中国证监会备案并公告；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7）对基金剩余财产进行分配。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（5）基金财产清算的期限为6个月，但因本基金所持证券的流动性受到限制而不能及时变现的，清算期限相应顺延。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4、清算费用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清算费用是指基金财产清算小组在进行基金财产清算过程中发生的所有合理费用，清算费用由基金财产清算小组优先从基金财产中支付。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5、基金财产清算剩余资产的分配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6、基金财产清算的公告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7、基金财产清算账册及文件的保存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基金财产清算账册及有关文件由基金托管人保存不低于法律法规规定的最低期限。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（四）争议解决方式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《基金合同》受中国法律（为本基金合同之目的，不含港澳台地区法律）管辖并从其解释。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（五）基金合同存放及投资者取得基金合同的方式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《基金合同》正本一式三份，除上报有关监管机构一份外，基金管理人、基金托管人各持有一份，每份具有同等的法律效力。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《基金合同》可印制成册，供投资者在基金管理人、基金托管人、销售机构的办公场所和营业场所查阅，但应以《基金合同》正本为准。</w:t>
      </w:r>
    </w:p>
    <w:p>
      <w:pPr>
        <w:pStyle w:val="2"/>
        <w:snapToGrid w:val="0"/>
        <w:spacing w:before="240" w:beforeLines="0" w:after="0"/>
        <w:rPr>
          <w:rFonts w:ascii="宋体" w:hAnsi="宋体"/>
          <w:szCs w:val="30"/>
        </w:rPr>
      </w:pPr>
      <w:r>
        <w:br w:type="page"/>
      </w:r>
      <w:bookmarkStart w:id="44" w:name="_Toc256000047"/>
      <w:bookmarkStart w:id="45" w:name="_Toc256000021"/>
      <w:r>
        <w:rPr>
          <w:rFonts w:ascii="宋体" w:hAnsi="宋体"/>
          <w:sz w:val="30"/>
        </w:rPr>
        <w:t>二十一、托管协议的内容摘要</w:t>
      </w:r>
      <w:bookmarkEnd w:id="44"/>
      <w:bookmarkEnd w:id="4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（一）托管协议当事人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法定代表人：袁庆伟（代任）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成立时间：2005年8月4日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批准设立机关及批准设立文号：中国证监会证监基金字[2005]128号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注册资本：2亿元人民币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组织形式: 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名称：中信建投证券股份有限公司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住所：北京市朝阳区安立路66号4号楼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法定代表人：刘成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成立时间：2005年11月2日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批准设立机关和批准设立文号：证监会、证监机构字[2005]112号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组织形式：股份有限公司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注册资本：人民币77.57亿元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基金托管资格批文及文号：证监许可【2015】219号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（二）基金托管人对基金管理人的业务监督和核查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1、基金托管人对基金管理人的投资行为行使监督权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（1）基金托管人根据有关法律法规的规定及《基金合同》和本协议的约定，对基金的投资范围、投资对象进行监督。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投资范围为具有良好流动性的金融工具，包括中证港股通央企红利指数的成份股（含存托凭证）及备选成份股（含存托凭证）、其他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本基金可根据法律法规的规定参与融资及转融通证券出借业务。未来在法律法规允许的前提下，本基金可根据相关法律法规规定参与融券业务。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如法律法规或监管机构以后允许基金投资其他品种，基金管理人在履行适当程序后，可以将其纳入投资范围。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投资组合比例为：本基金投资于中证港股通央企红利指数成份股（含存托凭证）及备选成份股（含存托凭证）的比例不低于基金资产净值的90%且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xml:space="preserve">（2）基金托管人根据有关法律法规的规定及《基金合同》和本协议的约定，对基金投资、融资比例进行监督。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根据《基金合同》的约定，本基金投资组合比例应符合以下规定：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a.本基金投资于中证港股通央企红利指数成份股（含存托凭证）及备选成份股（含存托凭证）的比例不低于基金资产净值的90%且不低于非现金基金资产的80%；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b.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c.本基金投资于同一原始权益人的各类资产支持证券的比例，不得超过基金资产净值的10％；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d.本基金持有的全部资产支持证券，其市值不得超过基金资产净值的20％；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e.本基金持有的同一（指同一信用级别）资产支持证券的比例，不得超过该资产支持证券规模的10％；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f.本基金管理人管理的全部基金投资于同一原始权益人的各类资产支持证券，不得超过其各类资产支持证券合计规模的10％；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g.本基金应投资于信用级别评级为BBB以上（含BBB）的资产支持证券。基金持有资产支持证券期间，如果其信用等级下降、不再符合投资标准，应在评级报告发布之日起3个月内予以全部卖出；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i.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j.本基金与私募类证券资管产品及中国证监会认定的其他主体为交易对手开展逆回购交易的，可接受质押品的资质要求应当与基金合同约定的投资范围保持一致；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k.本基金资产总值不超过基金资产净值的140%；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l.本基金参与股指期货交易，则：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①本基金在任何交易日日终，持有的买入股指期货合约价值，不得超过基金资产净值的10%；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②本基金在任何交易日日终，持有的买入股指期货合约价值与有价证券市值之和，不得超过基金资产净值的100%。其中，有价证券指股票、债券（不含到期日在一年以内的政府债券）、资产支持证券、买入返售金融资产（不含质押式回购）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③本基金在任何交易日日终，持有的卖出股指期货合约价值不得超过基金持有的股票总市值的20%；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④本基金所持有的股票市值和买入、卖出股指期货合约价值，合计（轧差计算）应当符合基金合同关于股票投资比例的有关约定；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⑤本基金在任何交易日内交易（不包括平仓）的股指期货合约的成交金额不得超过上一交易日基金资产净值的20%；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m.本基金参与融资业务后，每个交易日日终，本基金持有的融资买入股票与其他有价证券市值之和，不得超过基金资产净值的95%；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n.本基金参与转融通证券出借业务，需遵守下列投资限制：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①出借证券资产不得超过基金资产净值的30%，出借期限在10个交易日以上的出借证券应纳入《流动性风险管理规定》所述流动性受限证券的范围；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②参与出借业务的单只证券不得超过本基金持有该证券总量的50%；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③最近6个月内日均基金资产净值不得低于2亿元；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④证券出借的平均剩余期限不得超过30天，平均剩余期限按照市值加权平均计算；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因证券市场波动、上市公司合并、基金规模变动等基金管理人之外的因素致使基金投资不符合上述规定的，基金管理人不得新增出借业务；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o.本基金投资存托凭证的比例限制依照境内上市交易的股票执行；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p.法律法规及中国证监会规定的和《基金合同》约定的其他投资限制。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除上述b、g、i、j、n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法律法规或监管部门取消或变更上述限制，如适用于本基金，基金管理人在履行适当程序后，则本基金投资不再受相关限制或以变更后的规定为准。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基金托管人依照上述规定对本基金的投资组合限制及调整期限进行监督。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（3）基金托管人根据有关法律法规的规定及基金合同和本协议的约定，对基金投资禁止行为进行监督。基金财产不得用于下列投资或者活动。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1）承销证券；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2）违反规定向他人贷款或者提供担保；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3）从事承担无限责任的投资；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4）买卖其他基金份额，但是中国证监会另有规定的除外；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5）向其基金管理人、基金托管人出资；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6）从事内幕交易、操纵证券交易价格及其他不正当的证券交易活动；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7）法律、行政法规和中国证监会规定禁止的其他活动。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如法律、行政法规或监管部门取消或变更上述规定，如适用于本基金，基金管理人在履行适当程序后，本基金可不受上述规定的限制或以变更后的规定为准。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在基金合同生效后，基金管理人和基金托管人应相互提供与本机构有控股关系的股东或者与本机构有其他重大利害关系的公司名单，以上名单发生变化的，应及时予以更新并通知对方。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（4）基金托管人根据有关法律法规的规定及基金合同和本协议的约定，对基金管理人参与银行间债券市场进行监督。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在基金投资运作之前向基金托管人提供符合法律法规及行业标准的、经慎重选择的、本基金适用的银行间债券市场交易对手名单。基金管理人应严格按照交易对手名单的范围在银行间债券市场选择交易对手。基金托管人监督基金管理人是否按事前提供的银行间债券市场交易对手名单进行交易，如基金管理人未提供银行间债券市场交易对手名单，则视为交易对手名单包括全市场所有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对银行间债券市场交易对手名单及结算方式进行更新，应及时通知基金托管人，新名单自基金托管人确认后生效，新名单生效前已与本次剔除的交易对手所进行但尚未结算的交易，仍应按照原协议进行结算。如基金管理人根据市场情况需要临时调整银行间债券市场交易对手名单及结算方式的，应向基金托管人说明理由，并在与交易对手发生交易前与基金托管人确认，双方共同协商解决。如果基金托管人发现基金管理人与不在名单内的银行间市场交易对手进行交易，应及时提醒基金管理人，经提醒后基金管理人仍未改正的，基金托管人不承担由此造成的相应损失和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负责对交易对手的资信控制和交易方式进行控制，按银行间债券市场的交易规则进行交易，并负责处理因交易对手不履行合同而造成的纠纷，基金托管人不承担由此造成的相应法律责任及损失，但基金托管人应提供必要的配合和协助。基金托管人根据银行间债券市场成交单对合同履行情况进行监督，如基金托管人发现基金管理人没有按照事先约定的交易对手或交易方式进行交易时，基金托管人应及时提醒基金管理人，经提醒后基金管理人仍未改正的，基金托管人不承担由此造成的相应损失和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（5）基金托管人根据有关法律法规的规定及基金合同和本协议的约定，对基金管理人银行存款业务进行监督。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本基金投资银行存款应符合如下规定：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1）基金管理人、基金托管人应当与存款银行建立对账机制，确保基金银行存款业务账目及核算的真实、准确。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2）基金托管人应加强对基金银行存款业务的监督与核查，严格审查、复核相关协议、账户资料、投资指令、存款证实书等有关文件，切实履行托管职责。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（6）基金托管人对基金投资流通受限证券的监督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1）基金投资流通受限证券，应遵守《关于基金投资非公开发行股票等流通受限证券有关问题的通知》等有关法律法规规定。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流通受限证券与上文所述的流动性受限资产的范围并不完全一致，包括由相关法律法规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投资流通受限证券前，基金管理人应向基金托管人提供符合法律法规要求的有关书面信息，包括但不限于拟发行证券主体的中国证监会批准文件、发行证券数量、发行价格、锁定期，基金拟认购的数量、价格、总成本、总成本占基金资产净值的比例、已持有流通受限证券市值占基金资产净值的比例、资金划付时间等。基金管理人应保证上述信息的真实、完整，并应至少于拟执行投资指令前两个工作日将上述信息书面发至基金托管人，保证基金托管人有足够的时间进行审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托管人应对基金管理人提供的有关书面信息进行审核，基金托管人认为上述资料可能导致基金投资出现风险的，有权要求基金管理人在投资流通受限证券前就该风险的消除或防范措施进行补充书面说明，并保留查看基金管理人风险管理部门就基金投资流通受限证券出具的风险评估报告等必要备查资料的权利。否则，基金托管人有权拒绝执行有关指令。因拒绝执行该指令造成基金财产损失的，基金托管人不承担责任，并有权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如基金管理人和基金托管人无法达成一致，应及时上报中国证监会请求解决。如果基金托管人切实履行监督职责，则不承担责任。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管理人运用基金财产参与转融通证券出借业务，应当遵守审慎经营原则，配备技术系统和专业人员，制定科学合理的投资策略和风险管理制度，完善业务流程，有效防范和控制风险，基金托管人将对基金参与出借业务进行监督和复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（8）基金托管人根据法律法规的规定及《基金合同》和本协议的约定，对基金投资其他方面进行监督。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应根据有关法律法规的规定及《基金合同》的约定，对基金资产净值计算、各类基金份额净值计算、应收资金到账、基金费用开支及收入确认、基金收益分配、相关信息披露、基金宣传推介材料中登载基金业绩表现数据等进行监督和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应积极配合和协助基金托管人的监督和核查，在规定时间内答复并改正，就基金托管人的合理疑义进行解释或举证。对基金托管人按照法规要求需向中国证监会报送基金监督报告的，基金管理人应积极配合提供相关数据资料和制度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发现基金管理人的投资指令或实际投资运作违反《基金法》及其他有关法规、《基金合同》和本协议规定的行为，应及时以书面形式通知基金管理人限期纠正，基金管理人收到通知后应及时核对，并以电话或书面形式向基金托管人反馈，说明违规原因及纠正期限，并保证在规定期限内及时改正。在限期内，基金托管人有权随时对通知事项进行复查，督促基金管理人改正。基金管理人对基金托管人通知的违规事项未能在限期内纠正的，基金托管人有权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基金托管人发现基金管理人有重大违规行为，应立即报告中国证监会，同时通知基金管理人在限期内纠正。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基金托管人发现基金管理人的指令违反法律、行政法规和其他有关规定，或者违反《基金合同》约定的，应当拒绝执行，立即通知基金管理人，并按规定向中国证监会报告。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基金托管人发现基金管理人依据交易程序已经生效的指令违反法律、行政法规和其他有关规定，或者违反《基金合同》约定的，应当立即通知基金管理人，并按规定向中国证监会报告。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（三）基金管理人对基金托管人的业务核查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基金法》及其他有关法规、《基金合同》和本协议规定，基金管理人对基金托管人履行托管职责的情况进行核查，核查事项包括但不限于基金托管人是否安全保管基金财产、开立基金财产的资金账户、证券账户及债券托管账户等投资所需账户，是否及时、准确复核基金管理人计算的基金资产净值和各类基金份额净值，是否根据基金管理人指令办理清算交收，是否按照法规规定和《基金合同》规定进行相关信息披露和监督基金投资运作等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定期和不定期地对基金托管人保管的基金资产进行核查。基金托管人应积极配合基金管理人的核查行为，包括但不限于：提交相关资料以供基金管理人核查基金财产的完整性和真实性，在规定时间内答复并改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限期内纠正，基金托管人收到通知后应及时核对并以书面形式对基金管理人发出回函。在限期内，基金管理人有权随时对通知事项进行复查，督促基金托管人改正。基金托管人对基金管理人通知的违规事项未能在限期内纠正的，基金管理人应报告中国证监会。对基金管理人按照法规要求需向中国证监会报送基金监督报告的，基金托管人应积极配合提供相关数据资料和制度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基金管理人发现基金托管人有重大违规行为，应立即报告中国证监会，同时通知基金托管人在限期内纠正。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（四）基金财产的保管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1、基金财产保管的原则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（1）基金托管人应安全保管基金财产，未经基金管理人的指令，不得自行运用、处分、分配基金的任何资产，非因基金财产本身承担的债务，不得对基金财产强制执行。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财产应独立于基金管理人、基金托管人、证券经纪机构的固有财产。基金财产的债权、不得与基金管理人、基金托管人固有财产的债务相抵销，不同基金财产的债权债务，不得相互抵销。基金管理人、基金托管人以其自有资产承担法律责任，其债权人不得对基金财产行使请求冻结、扣押和其他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（3）基金托管人按照规定开立基金财产的资金账户、证券账户和债券托管账户等投资所需账户，基金管理人和基金托管人按照规定开立期货资金账户。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（4）基金托管人对所托管的不同基金财产分别设置账户，与基金托管人的其他业务和其他基金的托管业务实行严格的分账管理，独立核算，确保基金财产的完整和独立。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对于因为基金投资产生的应收资产和基金申购过程中产生的应收资产，应由基金管理人负责与有关当事人确定到账日期并通知基金托管人，到账日基金资产没有到达基金银行存款账户（即资金账户，下同）的，基金托管人应及时通知基金管理人采取措施进行催收。由此给基金造成损失的，基金管理人应负责向有关当事人追偿基金的损失。基金托管人对此不承担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2、基金募集资产的验证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募集期满或基金停止募集时，募集的基金份额总额、基金募集金额、基金份额持有人人数符合《基金法》、《运作办法》、基金合同等有关规定后，基金募集期届满或基金提前结束募集之日起10日内，由基金管理人聘请符合《中华人民共和国证券法》规定的会计师事务所进行验资，出具验资报告，出具的验资报告应由参加验资的2名以上（含2名）中国注册会计师签字方为有效。验资完成，基金管理人应将属于基金财产的全部资金划入基金托管人开立的基金银行存款账户，基金托管人在收到资金当日出具相关证明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3、基金的银行存款账户的开立和管理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（1）基金托管人应负责本基金的银行存款账户的开设和管理。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以本基金的名义开设本基金的银行存款账户，账户名称以实际开立为准。本基金的银行预留印鉴由基金托管人保管和使用。本基金的一切货币收支活动，包括但不限于投资、支付赎回金额、支付基金收益，均需通过本基金的银行存款账户进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银行存款账户的开立和使用，限于满足开展本基金业务的需要。基金托管人和基金管理人不得假借本基金的名义开立其他任何银行存款账户；亦不得使用本基金的银行存款账户进行本基金业务以外的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（4）基金银行存款账户的管理应符合法律法规的有关规定。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4、基金证券账户、证券交易资金账户的开立和管理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（1）基金托管人应当代表本基金，以基金托管人和本基金联名的方式在中国证券登记结算有限责任公司开设证券账户。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（2）基金证券账户资产的管理和运用由基金管理人负责。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采用“第三方存管”+“托管”模式存管证券交易结算资金，基金管理人负责在证券经纪商开设基金证券交易资金账户，并通知基金托管人与开立的基金托管账户建立第三方存管关系，同时三方存管的银证转账密码应及时通知基金托管人并由其掌握，在基金运作期间不得变更基金证券交易资金账户与托管账户之间的三方存管关系，未经基金托管人同意，不得对该证券交易资金账户项下的证券资产进行转托管和撤销指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由基金托管人持基金管理人与证券经纪机构签订的三方存管相关协议办理证券交易资金账户与本基金银行存款账户的银证签约手续，未经基金托管人书面同意，基金管理人不得将银证签约的指定银行结算账户（即本基金银行存款账户）变更为其他账户，否则，因此引起的法律后果及给本基金造成的损失全部由基金管理人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证券账户和证券交易资金账户的开立和使用，限于满足开展本基金业务的需要。基金托管人和基金管理人不得出借或未经另一方同意擅自转让本基金的证券账户和证券交易资金账户；亦不得使用本基金的证券账户和证券交易资金账户进行本基金业务以外的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5、债券托管账户的开立和管理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生效后，基金管理人负责向中国人民银行进行报备，基金托管人在备案通过后在中央国债登记结算有限责任公司及银行间市场清算所股份有限公司以本基金的名义开立债券托管账户，并由基金托管人负责基金的债券及资金的清算。基金管理人负责申请基金进入全国银行间同业拆借市场进行交易，由基金管理人在中国外汇交易中心开设同业拆借市场交易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（2）基金管理人代表基金签订全国银行间债券市场债券回购主协议，协议正本由基金管理人保存。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6、期货相关账户的开立和管理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基金管理人、基金托管人应当按照相关规定开立期货资金账户，在中国金融期货交易所获取交易编码。期货资金账户名称及交易编码对应名称应按照有关规定设立。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7、基金投资银行存款账户的开立和管理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存款账户必须以基金名义开立，账户名称为基金名称，存款账户开户文件上加盖预留印鉴（须包括基金托管人印章）及基金管理人公章。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本基金投资银行存款时，基金管理人应当与存款银行签订具体存款协议/存款确认单据，明确存款的类型、期限、利率、金额、账号、对账方式、支取方式、存款到期指定收款账户等细则。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为防范特殊情况下的流动性风险，存款协议中应当约定提前支取条款。</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8、其他账户的开立和管理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中国证监会或其他监管机构在本托管协议订立日之后允许基金从事其他投资品种的投资业务，涉及相关账户的开立、使用的，由基金管理人协助基金托管人根据有关法律法规的规定和《基金合同》的约定，开立有关账户。该账户按有关规则使用并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9、基金财产投资的有关实物证券、银行存款定期存单等有价凭证的保管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实物证券由基金托管人存放于基金托管人的保管库。实物证券的购买和转让，由基金托管人根据基金管理人的指令办理。基金托管人对由基金托管人以外机构实际有效控制的本基金资产不承担保管责任。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银行存款定期存单等有价凭证由基金托管人负责保管。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基金托管人只负责对存款证实书进行保管，不负责对存款证实书真伪的辨别，不承担存款证实书对应存款的本金及收益的安全保管责任。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10、与基金财产有关的重大合同的保管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由基金管理人代表基金签署的与基金有关的重大合同的原件分别由基金托管人、基金管理人保管，相关业务程序另有限制除外。除本协议另有规定外，基金管理人在代表基金签署与基金有关的重大合同时应尽可能保证基金一方持有二份以上的正本，以便基金管理人和基金托管人至少各持有一份正本的原件，基金管理人应及时将正本送达基金托管人处。合同的保管期限按照国家有关规定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对于无法取得二份以上的正本的，基金管理人应向基金托管人提供加盖授权业务章的合同传真件，未经双方协商或未在合同约定范围内，合同原件不得转移。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（五）基金资产净值的计算及复核程序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基金资产净值是指基金资产总值减去基金负债后的价值。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每估值日对基金资产估值，但基金管理人根据法律法规或本基金合同的规定暂停估值时除外。估值原则应符合《基金合同》、《中国证监会关于证券投资基金估值业务的指导意见》及其他法律、法规的规定。基金资产净值和基金份额净值由基金管理人负责计算，基金托管人负责进行复核。基金管理人应于每个估值日交易结束后计算当日的基金资产净值和各类基金份额净值并发送给基金托管人。基金托管人对净值计算结果复核确认后发送给基金管理人，由基金管理人对基金净值信息按约定予以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本基金按以下方法估值：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交易所上市的有价证券（包括股票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2、处于未上市期间的有价证券应区分如下情况处理：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（2）首次公开发行未上市的股票和债券，采用估值技术确定公允价值；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3、对于已上市或已挂牌转让的不含权固定收益品种（另有规定的除外），选取第三方估值基准服务机构提供的相应品种当日的估值全价进行估值。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4、对于已上市或已挂牌转让的含权固定收益品种（另有规定的除外），选取第三方估值基准服务机构提供的相应品种当日的唯一估值全价或推荐估值全价进行估值。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含投资者回售权的固定收益品种，行使回售权的，在回售登记日至实际收款日期间建议选取第三方估值基准服务机构提供的相应品种的唯一估值全价或推荐估值全价，同时应充分考虑发行人的信用风险变化对公允价值的影响。回售登记期截止日（含当日）后未行使回售权的按照长待偿期所对应的价格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6、对于未上市或未挂牌转让且不存在活跃市场的固定收益品种，采用在当前情况下适用并且有足够可利用数据和其他信息支持的估值技术确定其公允价值。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8、同一证券同时在两个或两个以上市场交易的，按证券所处的市场分别估值。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9、估值计算中涉及港币对人民币汇率的，将依据下列信息提供机构所提供的汇率为基准：当日中国人民银行或其授权机构公布的人民币与港币的中间价。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10、对于因税收规定调整或其他原因导致本基金实际交纳税金与估算的应交税金有差异的，本基金将在相关税金调整日或实际支付日进行相应的会计处理。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11、本基金投资存托凭证的估值核算依照境内上市交易的股票执行。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12、基金参与融资和转融通证券出借业务的，应参照相关法律法规和中国证券投资基金业协会发布的相关规定进行估值。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14、当发生大额申购或赎回情形时，基金管理人可以采用摆动定价机制，以确保基金估值的公平性。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15、相关法律法规以及监管部门有强制规定的，从其规定。如有新增事项，按国家最新规定估值。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（六）基金份额持有人名册的保管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名册至少应包括基金份额持有人的名称和持有的基金份额。基金份额持有人名册由基金登记机构根据基金管理人的指令编制和保管，基金管理人和基金托管人应分别保管基金份额持有人名册，基金登记机构保存期不低于法律法规规定的最低期限。如不能妥善保管，则按相关法规承担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基金托管人要求或编制中期报告和年度报告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（七）争议解决方式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双方当事人同意，因本协议而产生的或与本协议有关的一切争议，应通过友好协商解决。托管协议当事人不愿通过协商解决或者协商不成的，任何一方当事人均有权将争议提交中国国际经济贸易仲裁委员会，按照中国国际经济贸易仲裁委员会届时有效的仲裁规则进行仲裁。仲裁地点为北京市。仲裁裁决是终局的，并对相关各方当事人均有约束力。除非仲裁裁决另有决定，仲裁费用由败诉方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争议处理期间，双方当事人应恪守基金管理人和基金托管人职责，继续忠实、勤勉、尽责地履行《基金合同》和本协议规定的义务，维护基金份额持有人的合法权益。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本协议受中华人民共和国法律（为本协议之目的，在此不包括香港特别行政区、澳门特别行政区和台湾地区法律）管辖并从其解释。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（八）托管协议的变更、终止与基金财产的清算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1、基金托管协议的变更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本协议双方当事人经协商一致，可以对协议进行修改。修改后的新协议，其内容不得与《基金合同》的规定有任何冲突。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2、基金托管协议的终止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2）基金托管人解散、依法被撤销、破产，被依法取消基金托管资格或因其他事由造成其他基金托管人接管基金财产；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3）基金管理人解散、依法被撤销、破产，被依法取消基金管理资格或因其他事由造成其他基金管理人接管基金管理权；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4）发生《基金法》、《运作办法》或其他法律法规规定的终止事项。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3、基金财产的清算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（4）基金财产清算程序：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1）《基金合同》终止情形出现时，由基金财产清算小组统一接管基金财产；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2）对基金财产和债权债务进行清理和确认；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3）对基金财产进行估值和变现；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4）制作清算报告；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6）将清算报告报中国证监会备案并公告；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7）对基金剩余财产进行分配。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（5）基金财产清算的期限为6个月，但因本基金所持证券的流动性受到限制而不能及时变现的，清算期限相应顺延。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（6）清算费用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清算费用是指基金财产清算小组在进行基金财产清算过程中发生的所有合理费用，清算费用由基金财产清算小组优先从基金财产中支付。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（7）基金财产清算剩余资产的分配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（8）基金财产清算的公告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（9）基金财产清算账册及文件的保存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基金财产清算账册及有关文件由基金托管人保存不低于法律法规规定的最低期限。</w:t>
      </w:r>
    </w:p>
    <w:p>
      <w:pPr>
        <w:pStyle w:val="2"/>
        <w:snapToGrid w:val="0"/>
        <w:spacing w:before="240" w:beforeLines="0" w:after="0"/>
        <w:rPr>
          <w:rFonts w:ascii="宋体" w:hAnsi="宋体"/>
          <w:szCs w:val="30"/>
        </w:rPr>
      </w:pPr>
      <w:r>
        <w:br w:type="page"/>
      </w:r>
      <w:bookmarkStart w:id="46" w:name="_Toc256000048"/>
      <w:bookmarkStart w:id="47" w:name="_Toc256000022"/>
      <w:r>
        <w:rPr>
          <w:rFonts w:ascii="宋体" w:hAnsi="宋体"/>
          <w:sz w:val="30"/>
        </w:rPr>
        <w:t>二十二、对基金份额持有人的服务</w:t>
      </w:r>
      <w:bookmarkEnd w:id="46"/>
      <w:bookmarkEnd w:id="4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（一）持有人交易资料的寄送服务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1、基金合同生效后的每次交易结束后，投资人可在T+2个工作日后通过销售机构的网点查询和打印确认单；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（二）网上直销服务</w:t>
      </w:r>
    </w:p>
    <w:p>
      <w:pPr>
        <w:autoSpaceDE w:val="0"/>
        <w:autoSpaceDN w:val="0"/>
        <w:adjustRightInd w:val="0"/>
        <w:snapToGrid w:val="0"/>
        <w:spacing w:after="0" w:line="360" w:lineRule="auto"/>
        <w:ind w:firstLine="480" w:firstLineChars="200"/>
        <w:jc w:val="left"/>
        <w:rPr>
          <w:rFonts w:hint="eastAsia" w:ascii="宋体" w:hAnsi="宋体"/>
          <w:kern w:val="0"/>
          <w:sz w:val="24"/>
        </w:rPr>
      </w:pPr>
      <w:r>
        <w:rPr>
          <w:rFonts w:hint="eastAsia" w:ascii="宋体" w:hAnsi="宋体"/>
          <w:kern w:val="0"/>
          <w:sz w:val="24"/>
        </w:rPr>
        <w:t>本基金管理人已开通基金网上直销服务，个人投资者可以直接通过本基金管理人的网上直销交易平台办理开户和本基金的申购、赎回、定期定额投资等业务。通过网上直销交易平台办理本基金申购和定期定额投资业务的个人投资者将享受申购费率的优惠，其他费率标准不变。具体优惠费率请参见公司网站列示的网上直销交易平台申购、定期定额投资费率表或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基金网上直销交易平</w:t>
      </w:r>
      <w:bookmarkStart w:id="54" w:name="_GoBack"/>
      <w:r>
        <w:rPr>
          <w:rFonts w:hint="eastAsia" w:ascii="宋体" w:hAnsi="宋体"/>
          <w:kern w:val="0"/>
          <w:sz w:val="24"/>
        </w:rPr>
        <w:t>台已开通的银行卡及各银行卡交易金额限额请参阅本基金管理人网站。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在条件成熟的时候，本基金管理人将根据基金网上直销业务的发展状况，适时调整可用于网上直销交易平台的银行卡种类，敬请投资人留意相关公告。</w:t>
      </w:r>
    </w:p>
    <w:bookmarkEnd w:id="54"/>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（三）信息咨询、查询服务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投资人可以拨打本基金管理人客户服务电话投诉直销机构的人员和服务。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（四）基金转换业务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本基金未开通转换业务，具体实施方法请参见相关公告。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（五）定期定额投资计划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本基金已开通定期定额投资计划，具体实施方法请参见相关公告。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服务联系方式：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本基金管理人的互联网地址及电子信箱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电子信箱：services@jysld.com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投资者也可登录本基金管理人网站，直接提出有关本基金的问题和建议。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pPr>
        <w:pStyle w:val="2"/>
        <w:snapToGrid w:val="0"/>
        <w:spacing w:before="240" w:beforeLines="0" w:after="0"/>
        <w:rPr>
          <w:rFonts w:ascii="宋体" w:hAnsi="宋体"/>
          <w:szCs w:val="30"/>
        </w:rPr>
      </w:pPr>
      <w:r>
        <w:br w:type="page"/>
      </w:r>
      <w:bookmarkStart w:id="48" w:name="_Toc256000049"/>
      <w:bookmarkStart w:id="49" w:name="_Toc256000023"/>
      <w:r>
        <w:rPr>
          <w:rFonts w:ascii="宋体" w:hAnsi="宋体"/>
          <w:sz w:val="30"/>
        </w:rPr>
        <w:t>二十三、其他应披露事项</w:t>
      </w:r>
      <w:bookmarkEnd w:id="48"/>
      <w:bookmarkEnd w:id="4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基金合同如有未尽事宜，由基金合同当事人各方按有关法律法规协商解决。</w:t>
      </w:r>
    </w:p>
    <w:tbl>
      <w:tblPr>
        <w:tblStyle w:val="14"/>
        <w:tblW w:w="5000" w:type="pct"/>
        <w:tblInd w:w="0" w:type="dxa"/>
        <w:tblLayout w:type="fixed"/>
        <w:tblCellMar>
          <w:top w:w="0" w:type="dxa"/>
          <w:left w:w="0" w:type="dxa"/>
          <w:bottom w:w="0" w:type="dxa"/>
          <w:right w:w="0" w:type="dxa"/>
        </w:tblCellMar>
      </w:tblPr>
      <w:tblGrid>
        <w:gridCol w:w="605"/>
        <w:gridCol w:w="3629"/>
        <w:gridCol w:w="2823"/>
        <w:gridCol w:w="1613"/>
      </w:tblGrid>
      <w:tr>
        <w:tblPrEx>
          <w:tblCellMar>
            <w:top w:w="0" w:type="dxa"/>
            <w:left w:w="0" w:type="dxa"/>
            <w:bottom w:w="0" w:type="dxa"/>
            <w:right w:w="0" w:type="dxa"/>
          </w:tblCellMar>
        </w:tblPrEx>
        <w:trPr>
          <w:cantSplit/>
          <w:trHeight w:val="375" w:hRule="atLeast"/>
        </w:trPr>
        <w:tc>
          <w:tcPr>
            <w:tcW w:w="30"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序号</w:t>
            </w:r>
          </w:p>
        </w:tc>
        <w:tc>
          <w:tcPr>
            <w:tcW w:w="180"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公告事项</w:t>
            </w:r>
          </w:p>
        </w:tc>
        <w:tc>
          <w:tcPr>
            <w:tcW w:w="140"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披露媒介</w:t>
            </w:r>
          </w:p>
        </w:tc>
        <w:tc>
          <w:tcPr>
            <w:tcW w:w="80"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披露日期</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交银施罗德中证港股通央企红利指数型证券投资基金（A类份额）基金产品资料概要</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2025-10-13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交银施罗德中证港股通央企红利指数型证券投资基金（C类份额）基金产品资料概要</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2025-10-13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交银施罗德中证港股通央企红利指数型证券投资基金基金合同及招募说明书提示性公告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2025-10-13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交银施罗德中证港股通央企红利指数型证券投资基金托管协议</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2025-10-13</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交银施罗德中证港股通央企红利指数型证券投资基金基金份额发售公告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2025-10-13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交银施罗德中证港股通央企红利指数型证券投资基金金基金合同摘要</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2025-10-13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交银施罗德中证港股通央企红利指数型证券投资基金基金合同</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2025-10-13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交银施罗德中证港股通央企红利指数型证券投资基金招募说明书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2025-10-13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交银施罗德基金管理有限公司关于增加交银施罗德中证港股通央企红利指数型证券投资基金销售机构的公告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2025-10-17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交银施罗德基金管理有限公司关于交银施罗德中证港股通央企红利指数型证券投资基金提前结束募集的公告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2025-10-24</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交银施罗德基金管理有限公司关于交银施罗德中证港股通央企红利指数型证券投资基金基金合同生效公告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2025-10-29</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交银施罗德基金管理有限公司关于旗下被动型指数基金投资关联方证券的公告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2025-10-29</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交银施罗德基金管理有限公司关于交银施罗德中证港股通央企红利指数型证券投资基金开放日常申购、赎回、定期定额投资业务的公告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2025-11-26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交银施罗德基金管理有限公司董事变更公告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交银施罗德中证港股通央企红利指数型证券投资基金2025年第4季度报告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交银施罗德基金管理有限公司关于旗下部分基金于2026年非港股通交易日暂停基金交易业务的提示性公告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2026-02-14</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交银施罗德中证港股通央企红利指数型证券投资基金2025年年度报告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交银施罗德基金管理有限公司旗下公募基金通过证券公司证券交易及佣金支付情况（2025年）</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交银施罗德基金管理有限公司关于旗下部分基金非港股通交易日暂停申购、赎回等业务安排的公告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2026-03-31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交银施罗德中证港股通央企红利指数型证券投资基金2026年第1季度报告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2026-04-21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交银施罗德基金管理有限公司关于交银施罗德中证港股通央企红利指数型证券投资基金基金资产净值连续低于5000万元的提示性公告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2026-04-30</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交银施罗德基金管理有限公司关于旗下部分基金非港股通交易日暂停申购、赎回等业务安排的公告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2026-05-21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交银施罗德基金管理有限公司关于高级管理人员变更的公告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2026-06-13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交银施罗德基金管理有限公司关于旗下部分基金非港股通交易日暂停申购、赎回等业务安排的公告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2026-06-30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交银施罗德中证港股通央企红利指数型证券投资基金2026年第2季度报告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2026-07-20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交银施罗德中证港股通央企红利指数型证券投资基金2026年中期报告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2026-08-31</w:t>
            </w:r>
          </w:p>
        </w:tc>
      </w:tr>
    </w:tbl>
    <w:p>
      <w:pPr>
        <w:pStyle w:val="2"/>
        <w:snapToGrid w:val="0"/>
        <w:spacing w:before="240" w:beforeLines="0" w:after="0"/>
        <w:rPr>
          <w:rFonts w:ascii="宋体" w:hAnsi="宋体"/>
          <w:szCs w:val="30"/>
        </w:rPr>
      </w:pPr>
      <w:r>
        <w:br w:type="page"/>
      </w:r>
      <w:bookmarkStart w:id="50" w:name="_Toc256000024"/>
      <w:bookmarkStart w:id="51" w:name="_Toc256000050"/>
      <w:r>
        <w:rPr>
          <w:rFonts w:ascii="宋体" w:hAnsi="宋体"/>
          <w:sz w:val="30"/>
        </w:rPr>
        <w:t>二十四、招募说明书的存放及查阅方式</w:t>
      </w:r>
      <w:bookmarkEnd w:id="50"/>
      <w:bookmarkEnd w:id="5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投资人还可以直接登录基金管理人的网站(www.fund001.com)查阅和下载招募说明书。</w:t>
      </w:r>
    </w:p>
    <w:p>
      <w:pPr>
        <w:pStyle w:val="2"/>
        <w:snapToGrid w:val="0"/>
        <w:spacing w:before="240" w:beforeLines="0" w:after="0"/>
        <w:rPr>
          <w:rFonts w:ascii="宋体" w:hAnsi="宋体"/>
          <w:szCs w:val="30"/>
        </w:rPr>
      </w:pPr>
      <w:r>
        <w:br w:type="page"/>
      </w:r>
      <w:bookmarkStart w:id="52" w:name="_Toc256000025"/>
      <w:bookmarkStart w:id="53" w:name="_Toc256000051"/>
      <w:r>
        <w:rPr>
          <w:rFonts w:ascii="宋体" w:hAnsi="宋体"/>
          <w:sz w:val="30"/>
        </w:rPr>
        <w:t>二十五、备查文件</w:t>
      </w:r>
      <w:bookmarkEnd w:id="52"/>
      <w:bookmarkEnd w:id="5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以下备查文件存放在基金管理人的办公场所，在办公时间可供免费查阅。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（一）中国证监会准予交银施罗德中证港股通央企红利指数型证券投资基金募集注册的文件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（二）《交银施罗德中证港股通央企红利指数型证券投资基金基金合同》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（三）《交银施罗德中证港股通央企红利指数型证券投资基金托管协议》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（四）基金管理人业务资格批件、营业执照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（五）基金托管人业务资格批件、营业执照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（六）关于申请募集注册交银施罗德中证港股通央企红利指数型证券投资基金的法律意见书</w:t>
      </w:r>
    </w:p>
    <w:sectPr>
      <w:footerReference r:id="rId13" w:type="default"/>
      <w:pgSz w:w="11920" w:h="16840"/>
      <w:pgMar w:top="1360" w:right="1580" w:bottom="280" w:left="1680" w:header="0" w:footer="118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4097" o:spid="_x0000_s4097"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4</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4098" o:spid="_x0000_s409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5</w:t>
                </w:r>
                <w:r>
                  <w:rPr>
                    <w:rFonts w:ascii="Times New Roman" w:hAnsi="Times New Roman"/>
                    <w:kern w:val="0"/>
                    <w:sz w:val="18"/>
                    <w:szCs w:val="18"/>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4099" o:spid="_x0000_s4099" o:spt="202" type="#_x0000_t202" style="position:absolute;left:0pt;margin-left:291.25pt;margin-top:773.85pt;height:11pt;width:33.5pt;mso-position-horizontal-relative:page;mso-position-vertical-relative:page;z-index:-251655168;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140</w:t>
                </w:r>
                <w:r>
                  <w:rPr>
                    <w:rFonts w:ascii="Times New Roman" w:hAnsi="Times New Roman"/>
                    <w:kern w:val="0"/>
                    <w:sz w:val="18"/>
                    <w:szCs w:val="18"/>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napToGrid w:val="0"/>
      <w:spacing w:before="0" w:after="0"/>
      <w:ind w:left="0" w:right="0" w:firstLine="0"/>
      <w:jc w:val="right"/>
      <w:rPr>
        <w:rFonts w:hint="eastAsia" w:ascii="宋体" w:hAnsi="宋体"/>
      </w:rPr>
    </w:pPr>
    <w:r>
      <w:rPr>
        <w:rFonts w:hint="eastAsia" w:ascii="宋体" w:hAnsi="宋体"/>
      </w:rPr>
      <w:t>交银施罗德中证港股通央企红利指数型证券投资基金招募说明书（更新）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hint="eastAsia"/>
      </w:rPr>
    </w:pPr>
  </w:p>
  <w:p>
    <w:pPr>
      <w:pStyle w:val="9"/>
      <w:jc w:val="right"/>
      <w:rPr>
        <w:rFonts w:hint="eastAsia"/>
      </w:rPr>
    </w:pPr>
  </w:p>
  <w:p>
    <w:pPr>
      <w:pStyle w:val="9"/>
      <w:snapToGrid w:val="0"/>
      <w:spacing w:before="0" w:after="0"/>
      <w:ind w:left="0" w:right="0" w:firstLine="0"/>
      <w:jc w:val="right"/>
      <w:rPr>
        <w:rFonts w:hint="eastAsia" w:ascii="宋体" w:hAnsi="宋体"/>
      </w:rPr>
    </w:pPr>
    <w:r>
      <w:rPr>
        <w:rFonts w:hint="eastAsia" w:ascii="宋体" w:hAnsi="宋体"/>
      </w:rPr>
      <w:t>交银施罗德中证港股通央企红利指数型证券投资基金招募说明书（更新）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5"/>
      <w:suff w:val="space"/>
      <w:lvlText w:val="§%1"/>
      <w:lvlJc w:val="left"/>
      <w:pPr>
        <w:ind w:left="425" w:hanging="425"/>
      </w:pPr>
      <w:rPr>
        <w:rFonts w:hint="eastAsia"/>
      </w:rPr>
    </w:lvl>
    <w:lvl w:ilvl="1" w:tentative="0">
      <w:start w:val="1"/>
      <w:numFmt w:val="decimal"/>
      <w:pStyle w:val="26"/>
      <w:suff w:val="space"/>
      <w:lvlText w:val="%1.%2"/>
      <w:lvlJc w:val="left"/>
      <w:pPr>
        <w:ind w:left="738" w:hanging="454"/>
      </w:pPr>
      <w:rPr>
        <w:rFonts w:hint="eastAsia"/>
      </w:rPr>
    </w:lvl>
    <w:lvl w:ilvl="2" w:tentative="0">
      <w:start w:val="1"/>
      <w:numFmt w:val="decimal"/>
      <w:pStyle w:val="27"/>
      <w:suff w:val="space"/>
      <w:lvlText w:val="%1.%2.%3"/>
      <w:lvlJc w:val="left"/>
      <w:pPr>
        <w:ind w:left="624" w:hanging="624"/>
      </w:pPr>
    </w:lvl>
    <w:lvl w:ilvl="3" w:tentative="0">
      <w:start w:val="1"/>
      <w:numFmt w:val="decimal"/>
      <w:pStyle w:val="29"/>
      <w:suff w:val="space"/>
      <w:lvlText w:val="%1.%2.%3.%4"/>
      <w:lvlJc w:val="left"/>
      <w:pPr>
        <w:ind w:left="794" w:hanging="794"/>
      </w:pPr>
      <w:rPr>
        <w:rFonts w:hint="eastAsia"/>
      </w:rPr>
    </w:lvl>
    <w:lvl w:ilvl="4" w:tentative="0">
      <w:start w:val="1"/>
      <w:numFmt w:val="decimal"/>
      <w:pStyle w:val="28"/>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3,4"/>
    </o:shapelayout>
  </w:hdrShapeDefaults>
  <w:footnotePr>
    <w:footnote w:id="0"/>
    <w:footnote w:id="1"/>
  </w:footnotePr>
  <w:endnotePr>
    <w:endnote w:id="0"/>
    <w:endnote w:id="1"/>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59B549F"/>
    <w:rsid w:val="09DE5A76"/>
    <w:rsid w:val="18B26813"/>
    <w:rsid w:val="1F492925"/>
    <w:rsid w:val="277565C7"/>
    <w:rsid w:val="3388218D"/>
    <w:rsid w:val="382505E2"/>
    <w:rsid w:val="4469414C"/>
    <w:rsid w:val="754D4536"/>
    <w:rsid w:val="75506434"/>
    <w:rsid w:val="77377BC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0"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styleId="2">
    <w:name w:val="heading 1"/>
    <w:basedOn w:val="1"/>
    <w:next w:val="1"/>
    <w:link w:val="40"/>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8"/>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9"/>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unhideWhenUsed/>
    <w:uiPriority w:val="1"/>
  </w:style>
  <w:style w:type="table" w:default="1" w:styleId="14">
    <w:name w:val="Normal Table"/>
    <w:unhideWhenUsed/>
    <w:qFormat/>
    <w:uiPriority w:val="99"/>
    <w:tblPr>
      <w:tblCellMar>
        <w:top w:w="0" w:type="dxa"/>
        <w:left w:w="108" w:type="dxa"/>
        <w:bottom w:w="0" w:type="dxa"/>
        <w:right w:w="108" w:type="dxa"/>
      </w:tblCellMar>
    </w:tblPr>
  </w:style>
  <w:style w:type="paragraph" w:styleId="5">
    <w:name w:val="Document Map"/>
    <w:basedOn w:val="1"/>
    <w:link w:val="36"/>
    <w:unhideWhenUsed/>
    <w:uiPriority w:val="99"/>
    <w:rPr>
      <w:rFonts w:ascii="宋体"/>
      <w:sz w:val="18"/>
      <w:szCs w:val="18"/>
    </w:rPr>
  </w:style>
  <w:style w:type="paragraph" w:styleId="6">
    <w:name w:val="annotation text"/>
    <w:basedOn w:val="1"/>
    <w:link w:val="32"/>
    <w:unhideWhenUsed/>
    <w:uiPriority w:val="0"/>
    <w:pPr>
      <w:jc w:val="left"/>
    </w:pPr>
  </w:style>
  <w:style w:type="paragraph" w:styleId="7">
    <w:name w:val="Balloon Text"/>
    <w:basedOn w:val="1"/>
    <w:semiHidden/>
    <w:uiPriority w:val="0"/>
    <w:rPr>
      <w:sz w:val="18"/>
      <w:szCs w:val="18"/>
    </w:rPr>
  </w:style>
  <w:style w:type="paragraph" w:styleId="8">
    <w:name w:val="footer"/>
    <w:basedOn w:val="1"/>
    <w:link w:val="37"/>
    <w:unhideWhenUsed/>
    <w:uiPriority w:val="99"/>
    <w:pPr>
      <w:tabs>
        <w:tab w:val="center" w:pos="4153"/>
        <w:tab w:val="right" w:pos="8306"/>
      </w:tabs>
      <w:snapToGrid w:val="0"/>
      <w:jc w:val="left"/>
    </w:pPr>
    <w:rPr>
      <w:kern w:val="0"/>
      <w:sz w:val="18"/>
      <w:szCs w:val="18"/>
    </w:rPr>
  </w:style>
  <w:style w:type="paragraph" w:styleId="9">
    <w:name w:val="header"/>
    <w:basedOn w:val="1"/>
    <w:link w:val="34"/>
    <w:unhideWhenUsed/>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uiPriority w:val="39"/>
    <w:pPr>
      <w:spacing w:after="0" w:line="320" w:lineRule="auto"/>
    </w:pPr>
    <w:rPr>
      <w:rFonts w:eastAsia="宋体"/>
      <w:sz w:val="24"/>
    </w:rPr>
  </w:style>
  <w:style w:type="paragraph" w:styleId="11">
    <w:name w:val="Subtitle"/>
    <w:basedOn w:val="1"/>
    <w:next w:val="1"/>
    <w:link w:val="35"/>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uiPriority w:val="39"/>
    <w:pPr>
      <w:ind w:left="480" w:leftChars="200"/>
    </w:pPr>
  </w:style>
  <w:style w:type="paragraph" w:styleId="13">
    <w:name w:val="annotation subject"/>
    <w:basedOn w:val="6"/>
    <w:next w:val="6"/>
    <w:link w:val="33"/>
    <w:unhideWhenUsed/>
    <w:uiPriority w:val="99"/>
    <w:rPr>
      <w:b/>
      <w:bCs/>
    </w:rPr>
  </w:style>
  <w:style w:type="table" w:styleId="15">
    <w:name w:val="Table Grid"/>
    <w:basedOn w:val="1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uiPriority w:val="99"/>
    <w:rPr>
      <w:color w:val="0000FF"/>
      <w:u w:val="single"/>
    </w:rPr>
  </w:style>
  <w:style w:type="character" w:styleId="19">
    <w:name w:val="annotation reference"/>
    <w:unhideWhenUsed/>
    <w:uiPriority w:val="0"/>
    <w:rPr>
      <w:sz w:val="21"/>
      <w:szCs w:val="21"/>
    </w:rPr>
  </w:style>
  <w:style w:type="paragraph" w:customStyle="1" w:styleId="20">
    <w:name w:val="20"/>
    <w:basedOn w:val="2"/>
    <w:next w:val="1"/>
    <w:qFormat/>
    <w:uiPriority w:val="39"/>
    <w:pPr>
      <w:widowControl/>
      <w:spacing w:before="480" w:beforeLines="0" w:line="276" w:lineRule="auto"/>
      <w:jc w:val="left"/>
      <w:outlineLvl w:val="9"/>
    </w:pPr>
    <w:rPr>
      <w:rFonts w:ascii="Cambria" w:hAnsi="Cambria" w:eastAsia="宋体" w:cs="Times New Roman"/>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22"/>
    <w:semiHidden/>
    <w:uiPriority w:val="99"/>
    <w:pPr>
      <w:spacing w:after="200" w:line="276" w:lineRule="auto"/>
    </w:pPr>
    <w:rPr>
      <w:rFonts w:ascii="Calibri" w:hAnsi="Calibri" w:eastAsia="宋体" w:cs="Times New Roman"/>
      <w:kern w:val="2"/>
      <w:sz w:val="21"/>
      <w:szCs w:val="22"/>
      <w:lang w:val="en-US" w:eastAsia="zh-CN" w:bidi="ar-SA"/>
    </w:rPr>
  </w:style>
  <w:style w:type="paragraph" w:customStyle="1" w:styleId="23">
    <w:name w:val="Default"/>
    <w:uiPriority w:val="0"/>
    <w:pPr>
      <w:widowControl w:val="0"/>
      <w:autoSpaceDE w:val="0"/>
      <w:autoSpaceDN w:val="0"/>
      <w:adjustRightInd w:val="0"/>
      <w:spacing w:after="200" w:line="276" w:lineRule="auto"/>
    </w:pPr>
    <w:rPr>
      <w:rFonts w:ascii="宋体" w:hAnsi="Calibri" w:eastAsia="宋体" w:cs="宋体"/>
      <w:color w:val="000000"/>
      <w:sz w:val="24"/>
      <w:szCs w:val="24"/>
      <w:lang w:val="en-US" w:eastAsia="zh-CN" w:bidi="ar-SA"/>
    </w:rPr>
  </w:style>
  <w:style w:type="paragraph" w:customStyle="1" w:styleId="24">
    <w:name w:val="Header_0"/>
    <w:unhideWhenUsed/>
    <w:uiPriority w:val="99"/>
    <w:pPr>
      <w:pBdr>
        <w:bottom w:val="single" w:color="auto" w:sz="6" w:space="1"/>
      </w:pBdr>
      <w:tabs>
        <w:tab w:val="center" w:pos="4153"/>
        <w:tab w:val="right" w:pos="8306"/>
      </w:tabs>
      <w:snapToGrid w:val="0"/>
      <w:spacing w:after="200" w:line="276" w:lineRule="auto"/>
      <w:jc w:val="left"/>
    </w:pPr>
    <w:rPr>
      <w:rFonts w:ascii="Calibri" w:hAnsi="Calibri" w:eastAsia="宋体" w:cs="Times New Roman"/>
      <w:sz w:val="18"/>
      <w:szCs w:val="18"/>
    </w:rPr>
  </w:style>
  <w:style w:type="paragraph" w:customStyle="1" w:styleId="25">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6">
    <w:name w:val="XBRLTitle2"/>
    <w:basedOn w:val="11"/>
    <w:next w:val="4"/>
    <w:qFormat/>
    <w:uiPriority w:val="0"/>
    <w:pPr>
      <w:keepNext/>
      <w:keepLines/>
      <w:numPr>
        <w:ilvl w:val="1"/>
        <w:numId w:val="1"/>
      </w:numPr>
      <w:jc w:val="left"/>
    </w:pPr>
    <w:rPr>
      <w:bCs w:val="0"/>
      <w:sz w:val="24"/>
    </w:rPr>
  </w:style>
  <w:style w:type="paragraph" w:customStyle="1" w:styleId="27">
    <w:name w:val="XBRLTitle3"/>
    <w:basedOn w:val="11"/>
    <w:next w:val="4"/>
    <w:qFormat/>
    <w:uiPriority w:val="0"/>
    <w:pPr>
      <w:keepNext/>
      <w:keepLines/>
      <w:numPr>
        <w:ilvl w:val="2"/>
        <w:numId w:val="1"/>
      </w:numPr>
      <w:ind w:left="0" w:firstLine="0"/>
      <w:jc w:val="left"/>
    </w:pPr>
    <w:rPr>
      <w:bCs w:val="0"/>
      <w:sz w:val="24"/>
    </w:rPr>
  </w:style>
  <w:style w:type="paragraph" w:customStyle="1" w:styleId="28">
    <w:name w:val="XBRLTitle5"/>
    <w:basedOn w:val="11"/>
    <w:next w:val="4"/>
    <w:qFormat/>
    <w:uiPriority w:val="0"/>
    <w:pPr>
      <w:keepNext/>
      <w:keepLines/>
      <w:numPr>
        <w:ilvl w:val="4"/>
        <w:numId w:val="1"/>
      </w:numPr>
      <w:ind w:left="0" w:firstLine="0"/>
      <w:jc w:val="left"/>
    </w:pPr>
    <w:rPr>
      <w:bCs w:val="0"/>
      <w:sz w:val="24"/>
    </w:rPr>
  </w:style>
  <w:style w:type="paragraph" w:customStyle="1" w:styleId="29">
    <w:name w:val="XBRLTitle4"/>
    <w:basedOn w:val="11"/>
    <w:next w:val="4"/>
    <w:qFormat/>
    <w:uiPriority w:val="0"/>
    <w:pPr>
      <w:keepNext/>
      <w:keepLines/>
      <w:numPr>
        <w:ilvl w:val="3"/>
        <w:numId w:val="1"/>
      </w:numPr>
      <w:ind w:left="0" w:firstLine="0"/>
      <w:jc w:val="left"/>
    </w:pPr>
    <w:rPr>
      <w:bCs w:val="0"/>
      <w:sz w:val="24"/>
    </w:rPr>
  </w:style>
  <w:style w:type="character" w:customStyle="1" w:styleId="30">
    <w:name w:val="副标题 Char1"/>
    <w:uiPriority w:val="0"/>
    <w:rPr>
      <w:rFonts w:ascii="Cambria" w:hAnsi="Cambria"/>
      <w:b/>
      <w:kern w:val="28"/>
      <w:sz w:val="24"/>
      <w:szCs w:val="32"/>
    </w:rPr>
  </w:style>
  <w:style w:type="character" w:customStyle="1" w:styleId="31">
    <w:name w:val="txtcontent11"/>
    <w:uiPriority w:val="0"/>
    <w:rPr>
      <w:rFonts w:hint="default" w:ascii="ˎ̥" w:hAnsi="ˎ̥"/>
      <w:color w:val="000000"/>
      <w:sz w:val="21"/>
      <w:szCs w:val="21"/>
    </w:rPr>
  </w:style>
  <w:style w:type="character" w:customStyle="1" w:styleId="32">
    <w:name w:val="批注文字 Char"/>
    <w:link w:val="6"/>
    <w:uiPriority w:val="0"/>
    <w:rPr>
      <w:kern w:val="2"/>
      <w:sz w:val="21"/>
      <w:szCs w:val="22"/>
    </w:rPr>
  </w:style>
  <w:style w:type="character" w:customStyle="1" w:styleId="33">
    <w:name w:val="批注主题 Char"/>
    <w:link w:val="13"/>
    <w:semiHidden/>
    <w:uiPriority w:val="99"/>
    <w:rPr>
      <w:b/>
      <w:bCs/>
      <w:kern w:val="2"/>
      <w:sz w:val="21"/>
      <w:szCs w:val="22"/>
    </w:rPr>
  </w:style>
  <w:style w:type="character" w:customStyle="1" w:styleId="34">
    <w:name w:val="页眉 Char"/>
    <w:link w:val="9"/>
    <w:uiPriority w:val="99"/>
    <w:rPr>
      <w:sz w:val="18"/>
      <w:szCs w:val="18"/>
    </w:rPr>
  </w:style>
  <w:style w:type="character" w:customStyle="1" w:styleId="35">
    <w:name w:val="副标题 Char"/>
    <w:link w:val="11"/>
    <w:uiPriority w:val="0"/>
    <w:rPr>
      <w:rFonts w:ascii="Cambria" w:hAnsi="Cambria" w:cs="Times New Roman"/>
      <w:b/>
      <w:bCs/>
      <w:kern w:val="28"/>
      <w:sz w:val="32"/>
      <w:szCs w:val="32"/>
    </w:rPr>
  </w:style>
  <w:style w:type="character" w:customStyle="1" w:styleId="36">
    <w:name w:val="文档结构图 Char"/>
    <w:link w:val="5"/>
    <w:semiHidden/>
    <w:uiPriority w:val="99"/>
    <w:rPr>
      <w:rFonts w:ascii="宋体"/>
      <w:kern w:val="2"/>
      <w:sz w:val="18"/>
      <w:szCs w:val="18"/>
    </w:rPr>
  </w:style>
  <w:style w:type="character" w:customStyle="1" w:styleId="37">
    <w:name w:val="页脚 Char"/>
    <w:link w:val="8"/>
    <w:uiPriority w:val="99"/>
    <w:rPr>
      <w:sz w:val="18"/>
      <w:szCs w:val="18"/>
    </w:rPr>
  </w:style>
  <w:style w:type="character" w:customStyle="1" w:styleId="38">
    <w:name w:val="标题 2 Char"/>
    <w:link w:val="3"/>
    <w:semiHidden/>
    <w:uiPriority w:val="9"/>
    <w:rPr>
      <w:rFonts w:ascii="Cambria" w:hAnsi="Cambria" w:eastAsia="宋体" w:cs="Times New Roman"/>
      <w:b/>
      <w:bCs/>
      <w:kern w:val="2"/>
      <w:sz w:val="32"/>
      <w:szCs w:val="32"/>
    </w:rPr>
  </w:style>
  <w:style w:type="character" w:customStyle="1" w:styleId="39">
    <w:name w:val="标题 4 Char"/>
    <w:link w:val="4"/>
    <w:semiHidden/>
    <w:uiPriority w:val="9"/>
    <w:rPr>
      <w:rFonts w:ascii="Cambria" w:hAnsi="Cambria" w:eastAsia="宋体" w:cs="Times New Roman"/>
      <w:b/>
      <w:bCs/>
      <w:kern w:val="2"/>
      <w:sz w:val="28"/>
      <w:szCs w:val="28"/>
    </w:rPr>
  </w:style>
  <w:style w:type="character" w:customStyle="1" w:styleId="40">
    <w:name w:val="标题 1 Char"/>
    <w:link w:val="2"/>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141</Pages>
  <Words>13948</Words>
  <Characters>79510</Characters>
  <Lines>662</Lines>
  <Paragraphs>186</Paragraphs>
  <TotalTime>3</TotalTime>
  <ScaleCrop>false</ScaleCrop>
  <LinksUpToDate>false</LinksUpToDate>
  <CharactersWithSpaces>93272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2017-10-27T08:43:00Z</dcterms:created>
  <dc:creator>系统用户</dc:creator>
  <cp:lastModifiedBy>haotingting</cp:lastModifiedBy>
  <cp:lastPrinted>2013-02-18T03:10:00Z</cp:lastPrinted>
  <dcterms:modified xsi:type="dcterms:W3CDTF">2026-09-30T05:47:56Z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AFDC049150F947F8963B093204621DCC</vt:lpwstr>
  </property>
</Properties>
</file>