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交银施罗德瑞元三年定期开放混合型证券投资基金招募说明书（更新）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基金托管人：中信银行股份有限公司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324920538"/>
      <w:bookmarkStart w:id="1" w:name="_Toc256000027"/>
      <w:bookmarkStart w:id="2" w:name="_Toc256000000"/>
      <w:bookmarkStart w:id="3" w:name="_Toc496884613"/>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瑞元三年定期开放混合型证券投资基金（以下简称“本基金”）经2023年8月25日中国证券监督管理委员会（以下简称“中国证监会”）证监许可【2023】1954号文准予募集注册。本基金基金合同于2023年10月27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基金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信用风险；本基金的特有风险；投资股指期货的特定风险；投资资产支持证券的特定风险；投资流通受限证券的特定风险；投资港股通标的股票的特定风险；投资科创板股票的特定风险；投资存托凭证的特定风险；本基金法律文件风险收益特征表述与销售机构基金风险评价可能不一致的风险；投资本基金的其他风险等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本基金是一只混合型基金，其预期风险和预期收益理论上高于债券型基金和货币市场基金，低于股票型基金。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面临特定运作方式的风险：本基金以封闭期和开放期滚动的方式运作，投资者需在开放期提出申购、赎回申请，每个开放期不少于5个工作日并且最长不超过20个工作日。在非开放期间将无法按照基金份额净值进行申购和赎回。基金份额持有人面临封闭期内无法赎回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但不限于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科创板股票，会面临科创板机制下因投资标的、市场制度以及交易规则等差异带来的特有风险，包括但不限于市场风险、流动性风险、退市风险、集中度风险、系统性风险、政策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基金可根据投资策略需要或市场环境的变化，选择将部分基金资产投资于科创板股票或选择不将基金资产投资于科创板股票，基金资产并非必然投资于科创板股票。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基金管理费由基础管理费和业绩报酬两部分组成，而基础管理费、业绩报酬取决于基金封闭期内净值增长情况及年化收益率情况，因此投资者在认/申购本基金时无法预先确定本基金的整体管理费水平。本基金公布的基金份额净值中，为按1.0%/年收取管理费的净值。本基金封闭期内（封闭期最后一天除外）披露的基金份额净值为已扣除或有管理费但未扣除基金管理人业绩报酬前的基金份额净值，可能因为封闭期最后一天或有管理费划归基金资产或计提业绩报酬导致基金份额净值发生波动。投资者投资者实际可得的份额净值可能与披露净值不同。投资者实际赎回金额，以登记机构确认数据为准。虽然本基金采用浮动管理费加提取业绩报酬的模式，但这并不代表基金的收益保证，即封闭期到期时，存在年化收益率低于8%甚至为负的可能性。有关浮动管理费机制的特定风险详见本招募说明书“风险揭示”章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22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_Toc256000033 \h </w:instrText>
      </w:r>
      <w:r>
        <w:fldChar w:fldCharType="separate"/>
      </w:r>
      <w:r>
        <w:rPr>
          <w:rStyle w:val="18"/>
        </w:rPr>
        <w:t>42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七、基金的暂停运作</w:t>
      </w:r>
      <w:r>
        <w:rPr>
          <w:rStyle w:val="18"/>
        </w:rPr>
        <w:tab/>
      </w:r>
      <w:r>
        <w:fldChar w:fldCharType="begin"/>
      </w:r>
      <w:r>
        <w:rPr>
          <w:rStyle w:val="18"/>
        </w:rPr>
        <w:instrText xml:space="preserve"> PAGEREF _Toc256000034 \h </w:instrText>
      </w:r>
      <w:r>
        <w:fldChar w:fldCharType="separate"/>
      </w:r>
      <w:r>
        <w:rPr>
          <w:rStyle w:val="18"/>
        </w:rPr>
        <w:t>43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八、基金合同的生效</w:t>
      </w:r>
      <w:r>
        <w:rPr>
          <w:rStyle w:val="18"/>
        </w:rPr>
        <w:tab/>
      </w:r>
      <w:r>
        <w:fldChar w:fldCharType="begin"/>
      </w:r>
      <w:r>
        <w:rPr>
          <w:rStyle w:val="18"/>
        </w:rPr>
        <w:instrText xml:space="preserve"> PAGEREF _Toc256000035 \h </w:instrText>
      </w:r>
      <w:r>
        <w:fldChar w:fldCharType="separate"/>
      </w:r>
      <w:r>
        <w:rPr>
          <w:rStyle w:val="18"/>
        </w:rPr>
        <w:t>45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九、基金份额的申购与赎回</w:t>
      </w:r>
      <w:r>
        <w:rPr>
          <w:rStyle w:val="18"/>
        </w:rPr>
        <w:tab/>
      </w:r>
      <w:r>
        <w:fldChar w:fldCharType="begin"/>
      </w:r>
      <w:r>
        <w:rPr>
          <w:rStyle w:val="18"/>
        </w:rPr>
        <w:instrText xml:space="preserve"> PAGEREF _Toc256000036 \h </w:instrText>
      </w:r>
      <w:r>
        <w:fldChar w:fldCharType="separate"/>
      </w:r>
      <w:r>
        <w:rPr>
          <w:rStyle w:val="18"/>
        </w:rPr>
        <w:t>46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_Toc256000037 \h </w:instrText>
      </w:r>
      <w:r>
        <w:fldChar w:fldCharType="separate"/>
      </w:r>
      <w:r>
        <w:rPr>
          <w:rStyle w:val="18"/>
        </w:rPr>
        <w:t>58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_Toc256000038 \h </w:instrText>
      </w:r>
      <w:r>
        <w:fldChar w:fldCharType="separate"/>
      </w:r>
      <w:r>
        <w:rPr>
          <w:rStyle w:val="18"/>
        </w:rPr>
        <w:t>71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_Toc256000039 \h </w:instrText>
      </w:r>
      <w:r>
        <w:fldChar w:fldCharType="separate"/>
      </w:r>
      <w:r>
        <w:rPr>
          <w:rStyle w:val="18"/>
        </w:rPr>
        <w:t>73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_Toc256000040 \h </w:instrText>
      </w:r>
      <w:r>
        <w:fldChar w:fldCharType="separate"/>
      </w:r>
      <w:r>
        <w:rPr>
          <w:rStyle w:val="18"/>
        </w:rPr>
        <w:t>74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十四、基金收益与分配</w:t>
      </w:r>
      <w:r>
        <w:rPr>
          <w:rStyle w:val="18"/>
        </w:rPr>
        <w:tab/>
      </w:r>
      <w:r>
        <w:fldChar w:fldCharType="begin"/>
      </w:r>
      <w:r>
        <w:rPr>
          <w:rStyle w:val="18"/>
        </w:rPr>
        <w:instrText xml:space="preserve"> PAGEREF _Toc256000041 \h </w:instrText>
      </w:r>
      <w:r>
        <w:fldChar w:fldCharType="separate"/>
      </w:r>
      <w:r>
        <w:rPr>
          <w:rStyle w:val="18"/>
        </w:rPr>
        <w:t>81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_Toc256000042 \h </w:instrText>
      </w:r>
      <w:r>
        <w:fldChar w:fldCharType="separate"/>
      </w:r>
      <w:r>
        <w:rPr>
          <w:rStyle w:val="18"/>
        </w:rPr>
        <w:t>83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_Toc256000043 \h </w:instrText>
      </w:r>
      <w:r>
        <w:fldChar w:fldCharType="separate"/>
      </w:r>
      <w:r>
        <w:rPr>
          <w:rStyle w:val="18"/>
        </w:rPr>
        <w:t>87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_Toc256000044 \h </w:instrText>
      </w:r>
      <w:r>
        <w:fldChar w:fldCharType="separate"/>
      </w:r>
      <w:r>
        <w:rPr>
          <w:rStyle w:val="18"/>
        </w:rPr>
        <w:t>88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十八、侧袋机制</w:t>
      </w:r>
      <w:r>
        <w:rPr>
          <w:rStyle w:val="18"/>
        </w:rPr>
        <w:tab/>
      </w:r>
      <w:r>
        <w:fldChar w:fldCharType="begin"/>
      </w:r>
      <w:r>
        <w:rPr>
          <w:rStyle w:val="18"/>
        </w:rPr>
        <w:instrText xml:space="preserve"> PAGEREF _Toc256000045 \h </w:instrText>
      </w:r>
      <w:r>
        <w:fldChar w:fldCharType="separate"/>
      </w:r>
      <w:r>
        <w:rPr>
          <w:rStyle w:val="18"/>
        </w:rPr>
        <w:t>95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98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二十、基金合同的变更、终止与基金财产的清算</w:t>
      </w:r>
      <w:r>
        <w:rPr>
          <w:rStyle w:val="18"/>
        </w:rPr>
        <w:tab/>
      </w:r>
      <w:r>
        <w:fldChar w:fldCharType="begin"/>
      </w:r>
      <w:r>
        <w:rPr>
          <w:rStyle w:val="18"/>
        </w:rPr>
        <w:instrText xml:space="preserve"> PAGEREF _Toc256000047 \h </w:instrText>
      </w:r>
      <w:r>
        <w:fldChar w:fldCharType="separate"/>
      </w:r>
      <w:r>
        <w:rPr>
          <w:rStyle w:val="18"/>
        </w:rPr>
        <w:t>109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128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148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150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151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152</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28"/>
      <w:bookmarkStart w:id="5" w:name="_Toc256000001"/>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瑞元三年定期开放混合型证券投资基金招募说明书》（以下简称“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和其他相关法律法规的规定以及《交银施罗德瑞元三年定期开放混合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1、基金或本基金：指交银施罗德瑞元三年定期开放混合型证券投资基金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3、基金托管人：指中信银行股份有限公司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4、基金合同：指《交银施罗德瑞元三年定期开放混合型证券投资基金基金合同》及对基金合同的任何有效修订和补充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5、托管协议：指基金管理人与基金托管人就本基金签订之《交银施罗德瑞元三年定期开放混合型证券投资基金托管协议》及对该托管协议的任何有效修订和补充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6、招募说明书或本招募说明书：指《交银施罗德瑞元三年定期开放混合型证券投资基金招募说明书》及其更新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7、基金产品资料概要：指《交银施罗德瑞元三年定期开放混合型证券投资基金基金产品资料概要》及其更新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8、基金份额发售公告：指《交银施罗德瑞元三年定期开放混合型证券投资基金基金份额发售公告》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11、《销售办法》：指《公开募集证券投资基金销售机构监督管理办法》及颁布机关对其不时做出的修订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16、银行业监督管理机构：指中国人民银行和/或国家金融监督管理总局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21、投资人、投资者：指个人投资者、机构投资者、合格境外投资者以及法律法规或中国证监会允许购买证券投资基金的其他投资人的合称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36、开放日：指为投资人办理基金份额申购、赎回或其他业务的工作日（若该工作日为非港股通交易日，则本基金可不开放）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封闭期：指本基金以三年为一个封闭期。本基金第一个封闭期的起始之日为基金合同生效日，结束之日为基金合同生效日三年后的年度对日（指自然年度，该日应存在对应日期且该日及该日的前一日应为工作日，若不满足该要求，需顺延至满足前述要求的日期）的前一日。第二个封闭期的起始之日为第一个开放期结束之日次日，结束之日为第二个封闭期起始之日三年后的年度对日（指自然年度，该日应存在对应日期且该日及该日的前一日应为工作日，若不满足该要求，需顺延至满足前述要求的日期）的前一日，依此类推。本基金在封闭期内不办理申购与赎回业务，也不上市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38、开放期：本基金自封闭期结束之日的下一个工作日起至下一个封闭期开始前进入开放期，开放期期间可以办理申购与赎回业务。每个开放期不少于5个工作日并且最长不超过20 个工作日，开放期的具体时间以基金管理人届时公告为准。如封闭期结束后或在开放期内发生不可抗力或其他情形致使基金无法按时开放申购与赎回业务的，开放期时间中止计算，在不可抗力或其他情形影响因素消除之日次一工作日起，继续计算该开放期时间，直至满足开放期的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40、《业务规则》：指《交银施罗德基金管理有限公司开放式基金业务规则》，是规范基金管理人所管理的开放式证券投资基金登记方面的业务规则，由基金管理人和投资人共同遵守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42、申购：指基金合同生效后的开放期内，投资人根据基金合同和招募说明书的规定申请购买基金份额的行为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43、赎回：指基金合同生效后的开放期内，基金份额持有人按基金合同和招募说明书规定的条件要求将基金份额兑换为现金的行为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巨额赎回：指本基金开放期内单个开放日，基金净赎回申请（赎回申请份额总数加上基金转换中转出申请份额总数后扣除申购申请份额总数及基金转换中转入申请份额总数后的余额）超过上一工作日基金总份额的20%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50、基金资产总值：指基金拥有的各类有价证券、股指期货合约、银行存款本息、基金应收款项及其他资产的价值总和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54、港股通：指内地投资者委托内地证券公司，经由内地证券交易所在香港设立的证券交易服务公司，向香港联合交易所进行申报，买卖规定范围内的香港联合交易所上市的股票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杨金金先生:基金经理。复旦大学金融学硕士、华东理工大学材料工程学士，12年证券投资行业从业经验。2014年至2015年任长江证券研究部高级分析师，2015年至2017年华泰柏瑞基金管理有限公司研究员。2017年加入交银施罗德基金管理有限公司，曾任研究部行业分析师，现任权益部基金经理。现任交银施罗德瑞元三年定期开放混合型证券投资基金（2023年10月27日至今）、交银施罗德启诚混合型证券投资基金（2021年12月08日至今）、交银施罗德趋势优先混合型证券投资基金（2020年05月06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名称：中信银行股份有限公司（简称“中信银行”）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住所：北京市朝阳区光华路10号院1号楼6-30层、32-42层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办公地址：北京市朝阳区光华路10号院1号楼6-30层、32-42层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法定代表人：方合英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成立时间：1987年4月20日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注册资本：556.4516亿元人民币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批准设立文号：中华人民共和国国务院办公厅国办函[1987]14号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基金托管业务批准文号：中国证监会证监基金字[2004]125号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联系人：中信银行资产托管部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联系电话：4006800000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网址：www.citicbank.com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保险兼业代理业务；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机构投资者托管业务；经国务院银行业监督管理机构批准的其他业务。（企业依法自主选择经营项目，开展经营活动；依法须经批准的项目，经相关部门批准后依批准的内容开展经营活动；不得从事本市产业政策禁止和限制类项目的经营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行成立于1987年，是中国改革开放中最早成立的新兴商业银行之一，是中国最早参与国内外金融市场融资的商业银行，并以屡创中国现代金融史上多个第一而蜚声海内外，为中国经济建设作出了积极贡献。2007年4月，本行实现在上海证券交易所和香港联合交易所A+H 股同步上市。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行依托中信集团“金融+实业”综合禀赋优势，以全面建设“四有”银行、跨入世界一流银行竞争前列为发展愿景，坚持“诚实守信、以义取利、稳健审慎、守正创新、依法合规”，以客户为中心，通过实施“五个领先”银行战略，打造有特色、差异化的中信金融服务模式，向政府与机构客户、企业客户和同业客户提供公司银行业务、投资银行业务、国际业务、交易银行业务、托管业务、金融市场业务等综合金融解决方案；向个人客户提供财富管理业务、个人信贷业务、信用卡业务、私人银行业务、养老金融业务、出国金融业务等多元化金融产品及服务，全方位满足政府与机构、企业、同业及个人客户的综合金融服务需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至2025年末，本行在国内153个大中城市设有1,484家营业网点，在境内外下设中信国际金融控股有限公司、信银（香港）投资有限公司、中信金融租赁有限公司、信银理财有限责任公司、信银金融资产投资有限公司、中信百信银行股份有限公司、阿尔金银行股份有限公司和浙江临安中信村镇银行股份有限公司 8 家附属机构。其中，中信国际金融控股有限公司子公司中信银行（国际）有限公司在香港、澳门、纽约、洛杉矶、新加坡和中国内地设有28家营业网点、2 家商务理财中心及1家私人银行中心。信银（香港）投资有限公司在香港和境内设有3家子公司。信银理财有限责任公司为本行全资理财子公司。中信百信银行股份有限公司为本行与百度联合发起设立的国内首家独立法人直销银行。阿尔金银行股份有限公司在哈萨克斯坦设有7家营业网点和1家私人银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行深刻把握金融工作的政治性、人民性，始终在党和国家战略大局中找准金融定位、履行金融职责，坚持做国家战略的忠实践行者、实体经济的有力服务者和金融强国的积极建设者。成立38年来，本行已成为一家总资产规模突破10万亿元、员工人数超6.7万名，具有强大综合实力和品牌竞争力的金融集团。2025年，本行在英国Brand Finance 发布的“全球银行品牌价值500 强”榜单中排名第19位，以27.2%的增幅居中国内地银行第一；一级资本在英国《银行家》杂志“世界1000 家银行排名”中位列第18位。荣膺英国《银行家》杂志“2025年中国年度银行”大奖。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吕天贵，本行党委副书记、行长、首席合规官。曾任本行信用卡中心党委委员、总裁助理、副总裁、党委书记、总裁，总行零售银行部总经理、私人银行部总经理，总行业务总监、党委委员、副行长，中信信托有限责任公司党委书记、董事长；中信百信银行股份有限公司董事、董事长，阿尔金银行董事，中国银联股份有限公司董事。此前，曾在中国银行吉林市分行工作。四川大学工商管理硕士，高级会计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胡罡先生，中信银行党委委员、执行董事、副行长，分管托管业务。胡先生现同时担任中信银行（国际）有限公司董事。胡先生曾任本行长沙分行筹备组副组长、长沙分行党委委员、副行长，重庆分行党委委员、副行长、党委书记、行长，上海分行党委书记、行长及本行首席风险官、批发业务总监、风险总监。此前，胡先生曾先后就职于湖南省检察院政治部，于湖南省委办公厅人事处任副主任科员，于湖南众立实业集团公司下属北海湘房地产开发公司任总经理助理、总经理，下属鸿都企业公司任副董事长，于湖南长沙湘财城市信用社任董事长。胡先生拥有近三十年中国银行业从业经验，毕业于湖南大学，获经济学博士学位，高级经济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坚先生，中信银行资产托管部总经理，工商管理硕士。王先生1993年在中信实业银行南京分行城北支行参加工作，2008年8月任中信银行南京分行零售银行部副总经理，2010年2月任中信银行南京分行金融同业部总经理，2016年6月调入总行授信审批部，先后任总经理助理、副总经理，2023年4月任中信银行大连分行行长，2026年6月任资产托管部总经理，待获得基金从业资格并履行备案程序后正式履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2004年8月18日，中信银行经中国证券监督管理委员会和中国银行业监督管理委员会批准，取得基金托管人资格。中信银行本着“诚实信用、勤勉尽责”的原则，切实履行托管人职责。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截至2026年二季度末，中信银行托管447只公开募集证券投资基金，以及基金公司、证券公司资产管理产品、信托产品、企业年金、股权基金、QDII等其他托管资产，托管总规模达到20.23万亿元人民币。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（四）基金托管人的内部控制制度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强化内部管理，确保有关法律法规及规章在基金托管业务中得到全面严格的贯彻执行；建立完善的规章制度和操作规程，保证基金托管业务持续、稳健发展；加强稽核监察，建立高效的风险监控体系，及时有效地发现、分析、控制和避免风险，确保基金财产安全，维护基金份额持有人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中信银行总行建立了风险管理委员会，负责全行的风险控制和风险防范工作；托管部内设内控合规岗，专门负责托管部内部风险控制，对基金托管业务的各个工作环节和业务流程进行独立、客观、公正的稽核监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中信银行严格按照《基金法》以及其他法律法规及规章的规定，以控制和防范基金托管业务风险为主线，制定了《中信银行基金托管业务管理办法》、《中信银行资产托管业务内部控制管理实施细则(3.0版，2026年)》、《中信银行公开募集证券投资基金信息披露操作规程（1.0版,2025年）》和《中信银行公开募集证券投资基金托管风险准备金管理办法（2.0版，2023年）》等一整套规章制度，涵盖证券投资基金托管业务的各个环节，保证证券投资基金托管业务合法、合规、持续、稳健发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内部控制措施。建立了各项规章制度、操作流程、岗位职责、行为规范等，从制度、流程、人员上保证基金托管业务稳健发展；建立了安全保管基金财产的物质条件，对业务运行场所实行封闭管理，在要害部门和岗位设立了安全保密区，安装了录像、录音监控系统，保证基金信息的安全；建立严密的内部控制防线和业务授权管理等制度，确保所托管的基金财产独立运行；营造良好的内部控制环境，开展多种形式的持续培训，加强职业道德教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基金法》、《运作办法》、《信息披露办法》、《商业银行托管业务监督管理办法（试行）》、基金合同、托管协议和有关法律法规及规章的规定，对基金的投资运作、基金资产净值计算、基金份额净值计算、应收资金到账、基金费用开支及收入确定、基金收益分配、相关信息披露、基金宣传推介材料中登载的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托管人发现基金管理人违反《基金法》、《运作办法》、《信息披露办法》、《商业银行托管业务监督管理办法（试行）》、基金合同、托管协议和有关法律法规及规章的行为，将及时以书面形式通知基金管理人限期纠正。在限期内，基金托管人有权随时对通知事项进行复查，督促基金管理人改正。基金托管人发现基金管理人有重大违规行为或违规事项未能在限期内纠正的，基金托管人将以书面形式报告中国证监会。</w:t>
      </w:r>
    </w:p>
    <w:p>
      <w:pPr>
        <w:pStyle w:val="2"/>
        <w:snapToGrid w:val="0"/>
        <w:spacing w:before="240" w:beforeLines="0" w:after="0"/>
        <w:rPr>
          <w:rFonts w:ascii="宋体" w:hAnsi="宋体"/>
          <w:szCs w:val="30"/>
        </w:rPr>
      </w:pPr>
      <w:r>
        <w:br w:type="page"/>
      </w:r>
      <w:bookmarkStart w:id="12" w:name="_Toc256000032"/>
      <w:bookmarkStart w:id="13" w:name="_Toc256000005"/>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w:t>
      </w:r>
      <w:bookmarkStart w:id="56" w:name="_GoBack"/>
      <w:bookmarkEnd w:id="56"/>
      <w:r>
        <w:rPr>
          <w:rFonts w:hint="eastAsia" w:ascii="宋体" w:hAnsi="宋体"/>
          <w:kern w:val="0"/>
          <w:sz w:val="24"/>
        </w:rPr>
        <w:t>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法定代表人：朱鹤新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电话：（010）89936330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联系人：丰靖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（6）名称：中国民生银行股份有限公司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法定代表人：洪崎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传真：（010）57092611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（8）名称：江苏银行股份有限公司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住所：南京市中华路26号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办公地址：南京市中华路26号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法定代表人：夏平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电话：（025）58587018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传真：（025）58587038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联系人：田春慧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网址：www.jsbchina.cn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（12）名称：招商证券股份有限公司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办公地址：深圳市福田区益田路江苏大厦A座38-45层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法定代表人：朱江涛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电话：（0755）82943666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传真：（0755）82943636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联系人：黄婵君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客户服务电话：400-8888-111，95565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网址：www.newone.com.cn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（18）名称：山西证券股份有限公司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法定代表人：侯巍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电话：0351—8686815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联系人：谢武兵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客户服务电话：400-666-1618、95573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网址：www.i618.com.cn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（22）名称：华安证券股份有限公司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住所：安徽省合肥市政务文化新区天鹅湖路198号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办公地址：安徽省合肥市政务文化新区天鹅湖路198号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法定代表人：章宏韬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电话：0551-65161963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传真：0551-65161825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联系人：范超、孙懿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网址：www.hazq.com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（28）名称：开源证券股份有限公司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电话：13709210036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联系人：赵东会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网址：www.kysec.cn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联系人：陈方强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办公地址：上海市银城中路68号时代金融中心18-20楼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经办律师：黎明、丁媛</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名称：容诚会计师事务所（特殊普通合伙）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执行事务合伙人：肖厚发、刘维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联系人：李隐煜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经办会计师：沈兆杰、李隐煜</w:t>
      </w:r>
    </w:p>
    <w:p>
      <w:pPr>
        <w:pStyle w:val="2"/>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本基金由基金管理人依照《基金法》、《运作办法》、《销售办法》、基金合同及其他有关规定，并经中国证监会2023年8月25日证监许可【2023】1954号文准予募集注册。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本基金为契约型开放式混合型基金。基金存续期间为不定期。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本基金2023年10月12日至2023年10月25日进行发售，本基金设立募集期共募集1,668,358,143.79份基金份额，有效认购户数为27,043户。</w:t>
      </w:r>
    </w:p>
    <w:p>
      <w:pPr>
        <w:pStyle w:val="2"/>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七、基金的暂停运作</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（一）基金合同生效后的存续期内，出现以下情况的，本基金可以暂停基金的运作，且无须召开基金份额持有人大会：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个封闭期到期前，基金管理人有权根据市场情况、基金的投资策略等决定是否进入开放期，具体安排以基金管理人公告为准。基金管理人决定暂停进入下一开放期的，基金将在封闭期结束之日的下一个工作日将全部基金份额自动赎回。若存在未变现的资产，登记机构将于该部分资产变现完成后，将对应款项按该封闭期最后一日基金份额持有人持有的基金份额比例分配给全体基金份额持有人，单位基金份额所分配的资产金额按照资产变现完成后的净额进行计算，单位基金份额对应的总到账款项可能与封闭期到期日基金份额净值不一致。封闭期结束后，基金暂不开放申购、转换转入等相关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同时，为避免基金份额持有人利益因基金份额净值的小数点保留精度受到不利影响，基金管理人可提高该封闭期结束之日的下一个工作日的基金份额净值的精度。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开放期最后一日日终，如果基金的基金资产净值加上基金开放期最后一日交易申请确认的申购确认金额及转换转入确认金额，扣除赎回确认金额及转换转出确认金额后的余额低于5000万元或基金份额持有人数量不满200人的，基金管理人有权决定是否进入下一封闭期，具体安排以基金管理人公告为准。基金管理人决定暂停进入下一封闭期的，投资人未确认的申购申请对应的已缴纳申购款项将全部退回；对于当日日终留存的基金份额，将全部自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同时，为避免基金份额持有人利益因基金份额净值的小数点保留精度受到不利影响，基金管理人可提高该开放期最后一日的基金份额净值的精度。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（二）暂停运作期间，基金可暂停披露基金份额净值信息。报告期内未开展任何投资运作的，基金可暂停披露定期报告。基金管理人决定暂停运作或重启基金运作的，应当依法进行信息披露。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（三）暂停运作期间，基金管理人与基金托管人协商一致，可以决定终止基金合同，报中国证监会备案并公告，无须召开基金份额持有人大会。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（四）暂停运作期间的所有费用，由基金管理人承担。暂停运作期间，基金不收取管理费 和托管费。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（五）法律法规另有规定的，从其规定。</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八、基金合同的生效</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根据有关规定，本基金满足基金合同生效条件，基金合同已于2023年10月27日正式生效。自基金合同生效之日起，本基金管理人正式开始管理本基金。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基金暂停运作时，上述连续期间中断，本基金恢复运作后重新开始起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基金暂停运作期间，基金管理人与基金托管人协商一致，可以决定终止基金合同，报中国证监会备案并公告，无须召开基金份额持有人大会。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法律法规或中国证监会另有规定时，从其规定。</w:t>
      </w:r>
    </w:p>
    <w:p>
      <w:pPr>
        <w:pStyle w:val="2"/>
        <w:snapToGrid w:val="0"/>
        <w:spacing w:before="240" w:beforeLines="0" w:after="0"/>
        <w:rPr>
          <w:rFonts w:ascii="宋体" w:hAnsi="宋体"/>
          <w:szCs w:val="30"/>
        </w:rPr>
      </w:pPr>
      <w:r>
        <w:br w:type="page"/>
      </w:r>
      <w:bookmarkStart w:id="20" w:name="_Toc256000036"/>
      <w:bookmarkStart w:id="21" w:name="_Toc256000009"/>
      <w:r>
        <w:rPr>
          <w:rFonts w:ascii="宋体" w:hAnsi="宋体"/>
          <w:sz w:val="30"/>
        </w:rPr>
        <w:t>九、基金份额的申购与赎回</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本基金除基金管理人之外的其他销售机构参见本招募说明书“五、相关服务机构”章节或拨打基金管理人客户服务电话进行咨询。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办理基金份额的申购及/或赎回的开放日为开放期内的每个工作日。投资人在开放日办理基金份额的申购及/或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封闭期内，本基金不办理申购和赎回业务，也不上市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本基金自封闭期结束之日的下一个工作日起至下一个封闭期开始前进入开放期，开放期期间可以办理申购与赎回业务。每个开放期不少于5个工作日并且最长不超过20 个工作日，开放期的具体时间以基金管理人届时公告为准。如封闭期结束后或在开放期内发生不可抗力或其他情形致使基金无法按时开放申购与赎回业务的，开放期时间中止计算，在不可抗力或其他情形影响因素消除之日次一工作日起，继续计算该开放期时间，直至满足开放期的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在确定申购开始与赎回开始时间后，基金管理人应在申购、赎回开放日前依照《信息披露办法》的有关规定在规定媒介上公告申购与赎回的开始时间。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在开放期内，投资人在基金合同约定之外的日期和时间提出申购、赎回或转换申请且登记机构确认接受的，其基金份额申购、赎回价格为该开放期内下一开放日基金份额申购、赎回的价格；在开放期最后一个开放日，投资人在基金合同约定之外的时间提出申购、赎回或者转换申请的，视为无效申请。开放期以及开放期办理申购、赎回业务的具体事宜见招募说明书及基金管理人届时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3、最低基金份额余额的限制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基金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4、基金管理人可以规定基金总规模上限、单个投资人累计持有的基金份额上限，具体规定请参见相关公告。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开放日规定的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（1）投资人T日申购基金成功后，正常情况下，登记机构在T＋1日为投资人增加权益并办理登记手续。投资人应及时查询有关申请的确认情况。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本基金的申购费用由基金申购人承担，不列入基金财产，主要用于本基金的市场推广、销售、登记等各项费用。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投资人可以多次申购本基金，申购费用按每笔申购申请单独计算。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本基金（非养老金客户）的申购费率如下：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本基金对通过基金管理人直销柜台申购本基金的养老金客户实施特定申购费率。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1）全国社会保障基金；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2）可以投资基金的地方社会保障基金；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3）企业年金单一计划以及集合计划；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4）企业年金理事会委托的特定客户资产管理计划；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5）企业年金养老金产品。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通过基金管理人直销柜台申购本基金的养老金客户特定申购费率如下表：</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特定申购费率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赎回费用由基金份额持有人承担，在基金份额持有人赎回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上述“月”指的是30个自然日。未归入基金财产的部分用于支付登记费和其他必要的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30日（含）—180日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180日以上（含）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3、经与基金托管人协商一致，基金管理人可以在基金合同约定的范围内调整费率或收费方式，并最迟应于新的费率或收费方式实施日前依照《信息披露办法》的有关规定在规定媒介上公告。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（1）申购的有效份额为净申购金额除以当日的基金份额净值，有效份额单位为份，申购份额计算结果按四舍五入方法，保留到小数点后2位，由此产生的收益或损失由基金财产承担。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为按实际确认的有效赎回份额乘以当日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申购份额=净申购金额/T日基金份额净值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例三：某投资者（非养老金客户）投资100,000.00元申购本基金，假设申购当日基金份额净值为1.0400元，申购费率为1.5%，则其可得到的申购份额为：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净申购金额=100,000.00/（1+1.5%）=98,522.17元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申购费用=100,000-98,522.17=1,477.83元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申购份额=98,522.17/1.0400=94,732.86份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即：该投资者（非养老金客户）投资100,000.00元申购本基金，假设申购当日基金份额净值为1.0400元，则其可得到94,732.86份基金份额。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例四：某养老金客户投资1,000,000.00元通过基金管理人的直销柜台申购本基金，假设申购当日基金份额净值为1.0400元，申购费率为0.6%，则其可得到的申购份额为：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净申购金额=1,000,000.00/（1+0.6%）=994,035.79元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申购费用=1,000,000-994,035.79=5,964.21元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申购份额=994,035.79/1.0400=955,803.64份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即：该养老金客户投资1,000,000.00元通过基金管理人的直销柜台申购本基金，假设申购当日基金份额净值为1.0400元，则其可得到955,803.64份基金份额。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如果投资者赎回基金份额，则赎回金额的计算方法如下：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例五：某投资者赎回持有的10,000.00份基金份额，持有期限为7日，对应的赎回费率为0.75%，假设赎回当日基金份额净值是1.0160元，则其可得到的赎回金额为：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赎回费用=10,000.00×1.0160×0.75%＝76.20元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赎回金额=10,000.00×1.0160-76.20＝10,083.80元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即：该投资者赎回本基金10,000.00份基金份额，持有期限为7日，对应的赎回费率为0.75%，假设赎回当日基金份额净值是1.0160元，则其可得到的赎回金额为10,083.80元。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基金份额净值＝基金份额的基金资产净值总额/发行在外的基金份额总数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按基金合同的约定公告。遇特殊情况，经履行适当程序，可以适当延迟计算或公告。本基金的基金份额净值的计算，均保留到小数点后4位，小数点后第5位四舍五入，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在开放期内发生下列情况时，基金管理人可拒绝或暂停接受投资人的申购申请：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7、港股通交易每日额度不足。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6、7、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且开放期按暂停申购的期间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在开放期内发生下列情形时，基金管理人可暂停接受投资人的赎回申请或延缓支付赎回款项：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缓支付。基金份额持有人在申请赎回时可事先选择将当日可能未获受理部分予以撤销。在暂停赎回的情况消除时，基金管理人应及时恢复赎回业务的办理并公告，且开放期按暂停赎回的期间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开放期内单个开放日内的基金份额净赎回申请（赎回申请份额总数加上基金转换中转出申请份额总数后扣除申购申请份额总数及基金转换中转入申请份额总数后的余额）超过前一工作日的基金总份额的20%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延缓支付赎回款项：当基金管理人认为支付投资人的赎回申请有困难或认为因支付投资人的赎回申请而进行的财产变现可能会对基金资产净值造成较大波动时，基金管理人应对当日全部赎回申请进行确认，但可以延缓支付赎回款项，当日按比例办理的赎回份额不得低于前一工作日基金总份额的20%，其余赎回申请可以延缓支付赎回款项，但延缓支付的期限不得超过20个工作日，并在规定媒介上予以公告。延缓支付的赎回申请以赎回申请确认当日的基金份额净值为基础计算赎回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（3）延期办理赎回申请：本基金如发生巨额赎回且单个开放日内单个基金份额持有人申请赎回的基金份额超过前一工作日的基金总份额的20%时，本基金管理人有权采取如下措施：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对于基金份额持有人未超过上述比例的部分，基金管理人可以根据前述“（1）全额赎回”或“（2）延缓支付赎回款项”的约定方式与其他基金份额持有人的赎回申请一并办理。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延期办理期限超过开放期的，开放期相应延长，延长的开放期内不办理申购，亦不接受新的赎回申请，即基金管理人仅为原开放期内因提交赎回申请超过基金总份额20%以上而被延期办理赎回的单个基金份额持有人办理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缓支付赎回款项时，基金管理人应当通过邮寄、传真、刊登公告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2、如发生暂停的时间为1日，基金管理人应于重新开放日，在规定媒介上刊登基金重新开放申购或赎回公告，并公布最近1个开放日的基金份额净值。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以上暂停及恢复基金申购与赎回的公告规定，不适用于基金合同约定的封闭期与开放期运作方式转换或者暂停运作引起的暂停或恢复申购与赎回的情形。封闭期与开放期运作方式转换或者暂停运作的有关信息披露按照基金合同的相关约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（十七）基金份额的转让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（十八）实施侧袋机制期间本基金的申购与赎回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（十九）其他业务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在合理控制风险的前提下，充分发挥专业的研究与管理能力，力争实现基金资产的长期稳健增值。</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投资（含存托凭证）占基金资产的比例不低于60%，其中投资于港股通标的股票的比例占股票资产的0%-50%；但应开放期流动性需要，为保护基金份额持有人利益，在每个封闭期结束前三个月、开放期及开放期结束后三个月的期间内，基金投资不受上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放期内，每个交易日日终在扣除股指期货合约需缴纳的交易保证金后，本基金持有的现金或者到期日在一年以内的政府债券的比例合计不低于基金资产净值的5%；在封闭期内，本基金不受上述5%的限制，每个交易日日终在扣除股指期货合约需缴纳的交易保证金后，应当保持不低于交易保证金一倍的现金。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1、封闭期投资策略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（1）大类资产配置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1）品质筛选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筛选出在公司治理、财务及管理品质上符合基本品质要求的公司，构建备选股票池。主要筛选指标包括：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■盈利能力指标：如市盈率（P/E）、市现率（P/Cash Flow）、股价与每股自由现金流比率（P/FCF）、市销率（P/S）、股价与每股息税前利润比率（P/EBIT）等；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■经营效率指标：如净资产收益率（ROE）、资产收益率（ROA）、经营资产回报率（Return on operating assets）等；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■财务状况指标：如资产负债率（D/A）、流动比率等；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■研发投入指标：如研发投入与营业收入比率、科研人员数量及占比、专利数量及在同行业的占比等。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2）价值评估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3）港股通标的股票投资策略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本基金可通过内地与香港股票市场交易互联互通机制投资于香港股票市场。本基金优先将基本面健康、业绩向上弹性较大、具有估值优势的港股纳入本基金的股票投资组合。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4）存托凭证的投资策略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类属配置策略、期限结构配置策略、回购策略、信用债券投资策略、可转换债券投资策略等多种策略，以期获取债券市场的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（5）股指期货投资策略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2、开放期投资策略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开放期内，基金规模将随着投资人对本基金份额的申购与赎回而不断变化。本基金将保持资产适当的流动性，以应对当时市场条件下的赎回要求。</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投资（含存托凭证）占基金资产的比例不低于60%，其中投资于港股通标的股票的比例占股票资产的0%-50%；但在每个封闭期结束前三个月、开放期及开放期结束后三个月的期间内，基金投资不受上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开放期内，每个交易日日终在扣除股指期货合约需缴纳的交易保证金后，本基金持有的现金或者到期日在一年以内的政府债券的投资比例合计不低于基金资产净值的5%；在封闭期内，本基金不受上述5%的限制，每个交易日日终在扣除股指期货合约需缴纳的交易保证金后，应当保持不低于交易保证金一倍的现金。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（3）本基金持有一家公司发行的证券（同一家公司在内地和香港同时上市的A+H股合计计算），其市值不超过基金资产净值的10％；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在开放期内，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开放期内，在任何交易日日终，持有的买入股指期货合约价值与有价证券市值之和，不得超过基金资产净值的95%；封闭期内，在任何交易日日终，持有的买入股指期货合约价值与有价证券市值之和，不得超过基金资产净值的100%。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（15）在开放期内，本基金资产总值不超过基金资产净值的140%；在封闭期内，本基金的资产总值不超过基金资产净值的200%；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沪深300指数收益率×70%+恒生指数收益率×5%+中证综合债券指数收益率×25%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沪深300指数是沪深证券交易所第一次联合发布的反映A股市场整体走势的指数，由中证指数有限公司编制和维护，是在上海和深圳证券市场中选取300只A股作为样本编制而成。该指数样本对沪深市场的覆盖度高，具有良好的市场代表性，投资者可以方便地从报纸、互联网等财经媒体中获取。沪深300指数引进国际指数编制和管理的经验，编制方法清晰透明，具有独立性和良好的市场流动性；与市场整体表现具有较高的相关度，且指数历史表现强于市场平均收益水平，适合作为本基金A股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恒生指数是由恒生指数服务有限公司编制，以香港股票市场中的50家上市股票为成份股样本，以其发行量为权数的加权平均股价指数，是反映香港股市价幅趋势最有影响的一种股价指数。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综合债券指数是综合反映银行间债券市场和沪深交易所债券市场国债、金融债、企业债、央行票据及短期融资券整体走势的跨市场债券指数，该指数旨在更全面地反映我国债券市场的整体价格变动趋势，具有较强的市场代表性，适合作为本基金债券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根据本基金的投资范围和投资比例，选用上述业绩比较基准能够客观、合理地反映本基金的风险收益特征。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上述基准指数停止计算编制或更改名称，或者今后法律法规发生变化，又或者市场推出更具权威、且更能够表征本基金风险收益特征的指数，则本基金管理人可与本基金托管人协商一致并按照监管部门要求履行适当程序后，调整或变更本基金的业绩比较基准并及时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本基金是一只混合型基金，其预期风险和预期收益理论上高于债券型基金和货币市场基金，低于股票型基金。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基金托管人中信银行股份有限公司根据本基金合同约定，于2026年07月17日复核了本报告中的财务指标、净值表现和投资组合报告等内容，保证复核内容不存在虚假记载、误导性陈述或者重大遗漏。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1,691,775,216.80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1,691,775,216.80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6,154.35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6,154.35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349,609,835.55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16.95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21,553,161.00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2,062,944,367.70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注：本基金本报告期末通过港股通机制投资香港股票的公允价值为530,297,432.39元，占基金资产净值比例为26.37%。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25,755,116.00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22,276,623.74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952,827,168.23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47.38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232.80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3,404,720.00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10,829,814.68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60,224,629.97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333,556.13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42,230,296.20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3,251,280.00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40,344,346.66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1,161,477,784.41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57.75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公允价值（人民币）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原材料</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205,270,473.23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工业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148,611,069.12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7.39</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43,941,928.63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2.18</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主要消费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41,642,953.47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能源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36,124,382.67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14,075,001.45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0.70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公用事业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13,240,904.83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可选消费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11,758,151.97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信息技术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7,835,764.95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通信服务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7,796,802.07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530,297,432.39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26.37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注：本报告采用中证CICS一级分类标准编制。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301035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润丰股份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3,873,275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179,719,960.00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8.94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02648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安井食品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391,800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22,170,407.53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603345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安井食品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1,003,300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80,454,627.00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300677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英科医疗</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2,011,777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78,801,305.09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02689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玖龙纸业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10,751,709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63,781,250.50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002271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东方雨虹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4,802,800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57,009,236.00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00038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第一拖拉机股份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4,964,000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28,843,815.92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601038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一拖股份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2,049,849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21,707,900.91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688087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英科再生</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1,329,557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44,433,794.94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002078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太阳纸业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2,977,095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37,183,916.55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002043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兔 宝 宝</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3,165,436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35,073,030.88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600166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福田汽车</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11,901,900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34,634,529.00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6,154.35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6,154.35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123267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珂玛转债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6,154.35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08月12日,北京证监局给予北京东方雨虹防水技术股份有限公司责令改正的行政监管措施。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916,796.93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15,147,347.36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5,489,016.71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21,553,161.00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38"/>
      <w:bookmarkStart w:id="25" w:name="_Toc256000011"/>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-23.60%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5.33%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-17.39%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26.67%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13.98%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12.69%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8.59%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13.66%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2023年度（自基金合同生效起至2023年12月31日）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-0.41%</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注：本基金的业绩比较基准为沪深300指数收益率×70%+恒生指数收益率×5%+中证综合债券指数收益率×25%，每日进行再平衡过程。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交银施罗德瑞元三年定期开放混合型证券投资基金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(2023年10月27日至2026年06月30日)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6" w:name="_Toc256000039"/>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基金资产总值是指基金拥有的各类有价证券、股指期货合约、银行存款本息、基金应收款项及其他资产的价值总和。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期货结算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基金所拥有的股票、债券、资产支持证券、衍生工具和其他投资等持续以公允价值计量的金融资产及负债。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（2）交易所上市交易或挂牌转让的固定收益品种（另有规定的除外），选取估值日第三方估值机构提供的相应品种当日的估值净价进行估值；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（2）首次公开发行未上市的股票和债券，采用估值技术确定公允价值，在估值技术难以可靠计量公允价值的情况下，按成本估值；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4、同一证券同时在两个或两个以上市场交易的，按证券所处的市场分别估值。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6、估值计算中涉及港币对人民币汇率的，将依据下列信息提供机构所提供的汇率为基准：当日中国人民银行或其授权机构公布的人民币与港币的中间价。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7、对于因税收规定调整或其他原因导致产品实际交纳税金与估算的应交税金有差异的，产品将在相关税金调整日或实际支付日进行相应的会计处理。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④由于基金管理人提供的信息错误（包括但不限于基金申购或赎回金额等），进而导致基金份额净值计算错误而引起的基金份额持有人和基金财产的损失，由基金管理人负责赔付。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和基金份额净值由基金管理人负责计算，基金托管人负责进行复核。基金管理人应于每个工作日交易结束后计算当日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1、基金管理人或基金托管人按估值方法的第9项进行估值时，所造成的误差不作为基金资产估值错误处理。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30" w:name="_Toc256000014"/>
      <w:bookmarkStart w:id="31" w:name="_Toc256000041"/>
      <w:r>
        <w:rPr>
          <w:rFonts w:ascii="宋体" w:hAnsi="宋体"/>
          <w:sz w:val="30"/>
        </w:rPr>
        <w:t>十四、基金收益与分配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1、在符合有关基金分红条件的前提下，基金管理人可以根据实际情况进行收益分配，具体分配方案详见届时基金管理人发布的公告，若《基金合同》生效不满3个月可不进行收益分配；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2、本基金收益分配方式为现金分红；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3、基金收益分配后基金份额净值不能低于面值；即基金收益分配基准日的基金份额净值减去每单位基金份额收益分配金额后不能低于面值；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基金合同的约定以及对基金份额持有人利益无实质性不利影响的前提下，基金管理人可在与基金托管人协商一致，并按照监管部门要求履行适当程序后对基金收益分配原则进行调整，不需召开基金份额持有人大会，但应于变更实施日前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6、基金的证券、期货交易费用；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9、因投资港股通标的股票而产生的各项合理费用；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1）基金管理人的基础管理费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开放期内，本基金不收取基础管理费。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封闭期内，本基金的基础管理费按前一日基金资产净值的1.0%年费率计提。基础管理费的计算方法如下：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H1＝E×年基础管理费率÷当年天数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H1为每日应计提的基金基础管理费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封闭期基金基础管理费中50%的部分为基金管理人的固定管理费，固定管理费每日计提，逐日累计至每月月末，按月支付，由基金托管人根据与基金管理人核对一致的财务数据，在月初5个工作日内、基金托管人按照与基金管理人协商一致的方式进行资金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封闭期基金基础管理费另外50%的部分为基金管理人的或有管理费，或有管理费每日计提，逐日累计至每个封闭期的最后一日。经基金管理人与基金托管人双方核对无误后，在每个封闭期的最后一日，若基金份额的期末净值小于或等于期初净值，则该封闭期内的或有管理费全额返还至基金资产；否则由基金托管人根据与基金管理人核对一致的财务数据，在该封闭期结束后次月月初的5个工作日内、按照与基金管理人协商一致的方式进行资金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若遇法定节假日、公休日等，支付日期顺延。费用扣划后，基金管理人应进行核对，如发现数据不符，及时联系基金托管人协商解决。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期末净值=该封闭期最后一日的扣除基础管理费后、未扣除业绩报酬（如有）前的基金份额累计净值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期初净值=该封闭期的前一开放期最后一日的基金份额累计净值（第一个封闭期时，期初净值为1.00元）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2）业绩报酬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封闭期内基金年化收益率超过8%且超过同期业绩比较基准的年化收益率Rm时，基金管理人对基金年化收益率（R）超过业绩报酬计提基准（8%和同期业绩比较基准年化收益率的孰高者）的部分，按20%的计提比例计算业绩报酬。业绩报酬计提比例年化不超过1.0%，即基金管理人对基金年化收益率（R）超过计提基准部分的20%计提业绩报酬，按此计提的业绩报酬计提比例超过1.0%时，则按1.0%的比例计提。具体计算公式如下：</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31.5pt;width:396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每个封闭期内基金的年化收益率（R）计算公式如下：</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7" o:spt="75" type="#_x0000_t75" style="height:39.75pt;width:184.5pt;" filled="f" o:preferrelative="t" stroked="f" coordsize="21600,21600">
            <v:path/>
            <v:fill on="f" focussize="0,0"/>
            <v:stroke on="f" joinstyle="miter"/>
            <v:imagedata r:id="rId17"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R的计算采用四舍五入的方法保留到小数点后8位；</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pict>
          <v:shape id="_x0000_i1028" o:spt="75" type="#_x0000_t75" style="height:15.75pt;width:27pt;" filled="f" o:preferrelative="t" stroked="f" coordsize="21600,21600">
            <v:path/>
            <v:fill on="f" focussize="0,0"/>
            <v:stroke on="f" joinstyle="miter"/>
            <v:imagedata r:id="rId18" o:title=""/>
            <o:lock v:ext="edit" aspectratio="t"/>
            <w10:wrap type="none"/>
            <w10:anchorlock/>
          </v:shape>
        </w:pict>
      </w:r>
      <w:r>
        <w:rPr>
          <w:rFonts w:hint="eastAsia" w:ascii="宋体" w:hAnsi="宋体"/>
          <w:kern w:val="0"/>
          <w:sz w:val="24"/>
        </w:rPr>
        <w:t>为该封闭期最后一日的基金份额累计净值（提取业绩报酬前）；</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pict>
          <v:shape id="_x0000_i1029" o:spt="75" type="#_x0000_t75" style="height:15.75pt;width:27pt;" filled="f" o:preferrelative="t" stroked="f" coordsize="21600,21600">
            <v:path/>
            <v:fill on="f" focussize="0,0"/>
            <v:stroke on="f" joinstyle="miter"/>
            <v:imagedata r:id="rId19" o:title=""/>
            <o:lock v:ext="edit" aspectratio="t"/>
            <w10:wrap type="none"/>
            <w10:anchorlock/>
          </v:shape>
        </w:pict>
      </w:r>
      <w:r>
        <w:rPr>
          <w:rFonts w:hint="eastAsia" w:ascii="宋体" w:hAnsi="宋体"/>
          <w:kern w:val="0"/>
          <w:sz w:val="24"/>
        </w:rPr>
        <w:t>为该封闭期的前一开放期最后一日的基金份额累计净值（第一个封闭期时，</w:t>
      </w:r>
      <w:r>
        <w:rPr>
          <w:rFonts w:hint="eastAsia" w:ascii="宋体" w:hAnsi="宋体"/>
          <w:kern w:val="0"/>
          <w:sz w:val="24"/>
        </w:rPr>
        <w:pict>
          <v:shape id="_x0000_i1030" o:spt="75" type="#_x0000_t75" style="height:15.75pt;width:27pt;" filled="f" o:preferrelative="t" stroked="f" coordsize="21600,21600">
            <v:path/>
            <v:fill on="f" focussize="0,0"/>
            <v:stroke on="f" joinstyle="miter"/>
            <v:imagedata r:id="rId19" o:title=""/>
            <o:lock v:ext="edit" aspectratio="t"/>
            <w10:wrap type="none"/>
            <w10:anchorlock/>
          </v:shape>
        </w:pict>
      </w:r>
      <w:r>
        <w:rPr>
          <w:rFonts w:hint="eastAsia" w:ascii="宋体" w:hAnsi="宋体"/>
          <w:kern w:val="0"/>
          <w:sz w:val="24"/>
        </w:rPr>
        <w:t>为1.00元）；</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pict>
          <v:shape id="_x0000_i1031" o:spt="75" type="#_x0000_t75" style="height:19.5pt;width:30.75pt;" filled="f" o:preferrelative="t" stroked="f" coordsize="21600,21600">
            <v:path/>
            <v:fill on="f" focussize="0,0"/>
            <v:stroke on="f" joinstyle="miter"/>
            <v:imagedata r:id="rId20" o:title=""/>
            <o:lock v:ext="edit" aspectratio="t"/>
            <w10:wrap type="none"/>
            <w10:anchorlock/>
          </v:shape>
        </w:pict>
      </w:r>
      <w:r>
        <w:rPr>
          <w:rFonts w:hint="eastAsia" w:ascii="宋体" w:hAnsi="宋体"/>
          <w:kern w:val="0"/>
          <w:sz w:val="24"/>
        </w:rPr>
        <w:t>为该封闭期的前一开放期最后一日的基金份额单位净值（第一个封闭期时，</w:t>
      </w:r>
      <w:r>
        <w:rPr>
          <w:rFonts w:hint="eastAsia" w:ascii="宋体" w:hAnsi="宋体"/>
          <w:kern w:val="0"/>
          <w:sz w:val="24"/>
        </w:rPr>
        <w:pict>
          <v:shape id="_x0000_i1032" o:spt="75" type="#_x0000_t75" style="height:19.5pt;width:30.75pt;" filled="f" o:preferrelative="t" stroked="f" coordsize="21600,21600">
            <v:path/>
            <v:fill on="f" focussize="0,0"/>
            <v:stroke on="f" joinstyle="miter"/>
            <v:imagedata r:id="rId20" o:title=""/>
            <o:lock v:ext="edit" aspectratio="t"/>
            <w10:wrap type="none"/>
            <w10:anchorlock/>
          </v:shape>
        </w:pict>
      </w:r>
      <w:r>
        <w:rPr>
          <w:rFonts w:hint="eastAsia" w:ascii="宋体" w:hAnsi="宋体"/>
          <w:kern w:val="0"/>
          <w:sz w:val="24"/>
        </w:rPr>
        <w:t>为1.00元）；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T为该封闭期实际天数。</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pict>
          <v:shape id="_x0000_i1033" o:spt="75" type="#_x0000_t75" style="height:15.75pt;width:12pt;" filled="f" o:preferrelative="t" stroked="f" coordsize="21600,21600">
            <v:path/>
            <v:fill on="f" focussize="0,0"/>
            <v:stroke on="f" joinstyle="miter"/>
            <v:imagedata r:id="rId21" o:title=""/>
            <o:lock v:ext="edit" aspectratio="t"/>
            <w10:wrap type="none"/>
            <w10:anchorlock/>
          </v:shape>
        </w:pict>
      </w:r>
      <w:r>
        <w:rPr>
          <w:rFonts w:hint="eastAsia" w:ascii="宋体" w:hAnsi="宋体"/>
          <w:kern w:val="0"/>
          <w:sz w:val="24"/>
        </w:rPr>
        <w:t>为该封闭期的前一开放期最后一日的基金资产净值（第一个封闭期时，</w:t>
      </w:r>
      <w:r>
        <w:rPr>
          <w:rFonts w:hint="eastAsia" w:ascii="宋体" w:hAnsi="宋体"/>
          <w:kern w:val="0"/>
          <w:sz w:val="24"/>
        </w:rPr>
        <w:pict>
          <v:shape id="_x0000_i1034" o:spt="75" type="#_x0000_t75" style="height:15.75pt;width:12pt;" filled="f" o:preferrelative="t" stroked="f" coordsize="21600,21600">
            <v:path/>
            <v:fill on="f" focussize="0,0"/>
            <v:stroke on="f" joinstyle="miter"/>
            <v:imagedata r:id="rId21" o:title=""/>
            <o:lock v:ext="edit" aspectratio="t"/>
            <w10:wrap type="none"/>
            <w10:anchorlock/>
          </v:shape>
        </w:pict>
      </w:r>
      <w:r>
        <w:rPr>
          <w:rFonts w:hint="eastAsia" w:ascii="宋体" w:hAnsi="宋体"/>
          <w:kern w:val="0"/>
          <w:sz w:val="24"/>
        </w:rPr>
        <w:t>指基金的募集规模）；</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35" o:spt="75" type="#_x0000_t75" style="height:14.25pt;width:252pt;" filled="f" o:preferrelative="t" stroked="f" coordsize="21600,21600">
            <v:path/>
            <v:fill on="f" focussize="0,0"/>
            <v:stroke on="f" joinstyle="miter"/>
            <v:imagedata r:id="rId22"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指取三者的孰低者；业绩报酬的计算采用四舍五入的方法保留到小数点后2位。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同期业绩比较基准的年化收益率计算公式如下：</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36" o:spt="75" type="#_x0000_t75" style="height:36.75pt;width:160.5pt;" filled="f" o:preferrelative="t" stroked="f" coordsize="21600,21600">
            <v:path/>
            <v:fill on="f" focussize="0,0"/>
            <v:stroke on="f" joinstyle="miter"/>
            <v:imagedata r:id="rId23"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Rm的计算采用四舍五入的方法保留到小数点后8位；</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pict>
          <v:shape id="_x0000_i1037" o:spt="75" type="#_x0000_t75" style="height:15.75pt;width:12pt;" filled="f" o:preferrelative="t" stroked="f" coordsize="21600,21600">
            <v:path/>
            <v:fill on="f" focussize="0,0"/>
            <v:stroke on="f" joinstyle="miter"/>
            <v:imagedata r:id="rId24" o:title=""/>
            <o:lock v:ext="edit" aspectratio="t"/>
            <w10:wrap type="none"/>
            <w10:anchorlock/>
          </v:shape>
        </w:pict>
      </w:r>
      <w:r>
        <w:rPr>
          <w:rFonts w:hint="eastAsia" w:ascii="宋体" w:hAnsi="宋体"/>
          <w:kern w:val="0"/>
          <w:sz w:val="24"/>
        </w:rPr>
        <w:t>为封闭期最后一日业绩比较基准的点位；</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pict>
          <v:shape id="_x0000_i1038" o:spt="75" type="#_x0000_t75" style="height:15.75pt;width:12pt;" filled="f" o:preferrelative="t" stroked="f" coordsize="21600,21600">
            <v:path/>
            <v:fill on="f" focussize="0,0"/>
            <v:stroke on="f" joinstyle="miter"/>
            <v:imagedata r:id="rId25" o:title=""/>
            <o:lock v:ext="edit" aspectratio="t"/>
            <w10:wrap type="none"/>
            <w10:anchorlock/>
          </v:shape>
        </w:pict>
      </w:r>
      <w:r>
        <w:rPr>
          <w:rFonts w:hint="eastAsia" w:ascii="宋体" w:hAnsi="宋体"/>
          <w:kern w:val="0"/>
          <w:sz w:val="24"/>
        </w:rPr>
        <w:t>为封闭期的前一开放期最后一日业绩比较基准的点位；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T为该封闭期实际天数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业绩比较基准点位的计算方法如下：本基金业绩比较基准以基金合同生效日为基日，基点为1000基点，T日业绩比较基准的涨跌幅计算公式为：rm=T日（沪深300指数收益率×70%+恒生指数收益率×5%+中证综合债券指数收益率×25%，即本基金业绩比较基准计算公式）。则本基金T日的点位为：T日业绩比较基准点位=T-1日业绩比较基准点位×（1+r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业绩报酬在每一封闭期的最后一个工作日计算并计提。经基金管理人与基金托管人双方核对无误后，由基金管理人向基金托管人发送业绩报酬划付指令，基金托管人于该封闭期结束后5个工作日内从基金财产中一次性支付给基金管理人。若遇法定节假日、公休日等，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本基金基础管理费与浮动管理费支付前，均需经基金管理人与基金托管人双方核对无误后划付。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因法规政策调整而需要修订业绩报酬相关基准比例的，无需召开基金份额持有人大会。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本基金的托管费按前一日基金资产净值的0.2%年费率计提。托管费的计算方法如下：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按月支付。由基金管理人向基金托管人发送基金托管费划付指令，经基金托管人复核无误后于次月首日起5个工作日内从基金财产中一次性支付给基金托管人。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（3）上述“（一）基金费用的种类”中第3－10项费用，根据有关法规及相应协议规定，按费用实际支出金额列入当期费用，由基金托管人从基金财产中支付。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2"/>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3、基金管理人认为有充足理由更换会计师事务所，须通报基金托管人。更换会计师事务所需依照《信息披露办法》的规定在规定媒介公告。</w:t>
      </w:r>
    </w:p>
    <w:p>
      <w:pPr>
        <w:pStyle w:val="2"/>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（一）本基金的信息披露应符合《基金法》、《运作办法》、《信息披露办法》、《流动性风险管理规定》、《基金合同》及其他有关规定。相关法律法规关于信息披露的规定发生变化时，本基金从其最新规定。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本基金暂停运作期间或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本基金暂停运作期间或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《基金合同》生效后，在封闭期内，基金管理人应当至少每周在规定网站披露一次基金份额净值和基金份额累计净值。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在开放期内，基金管理人应当在不晚于每个开放日的次日，通过规定网站、基金销售机构网站或者营业网点披露开放日的基金份额净值和基金份额累计净值。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基金管理人应当在不晚于半年度和年度最后一日的次日，在规定网站披露半年度和年度最后一日的基金份额净值和基金份额累计净值。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如本基金暂停运作，基金管理人可以根据实际情况调整或暂停净值公告。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本基金暂停运作的期间，不再编制定期报告。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基金管理人应当在中期报告和年度报告中披露基础管理费和业绩报酬收取情况。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（3）转换基金运作方式（不包括本基金开放期与封闭期运作方式的转换及暂停运作）、基金合并；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（16）基金份额净值计价错误达基金份额净值百分之零点五；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（17）本基金进入开放期及开放期的具体时间；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（18）本基金在开放期内发生巨额赎回并延缓支付赎回款项；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（21）基金管理人采用摆动定价机制进行估值；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（23）本基金推出新业务或服务；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（24）本基金暂停运作；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（25）本基金暂停运作后重新开始运作；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12、基金投资资产支持证券情况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13、基金投资股指期货情况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14、基金投资港股通标的股票情况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本基金可投资港股通标的股票，基金应当在季度报告、中期报告、年度报告等定期报告和招募说明书（更新）等文件中披露港股通标的股票的投资情况。法律法规或中国证监会另有规定的，从其规定。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基金管理人、基金托管人应当在规定报刊中选择一家披露信息的报刊。基金管理人、基金托管人应当向中国证监会基金电子披露网站报送拟披露的基金信息，并保证相关报送信息的真实、准确、完整、及时。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依法必须披露的信息发布后，基金管理人、基金托管人应当按照相关法律法规规定将信息置备于各自办公场所，供社会公众查阅、复制。</w:t>
      </w:r>
    </w:p>
    <w:p>
      <w:pPr>
        <w:pStyle w:val="2"/>
        <w:snapToGrid w:val="0"/>
        <w:spacing w:before="240" w:beforeLines="0" w:after="0"/>
        <w:rPr>
          <w:rFonts w:ascii="宋体" w:hAnsi="宋体"/>
          <w:szCs w:val="30"/>
        </w:rPr>
      </w:pPr>
      <w:r>
        <w:br w:type="page"/>
      </w:r>
      <w:bookmarkStart w:id="38" w:name="_Toc256000045"/>
      <w:bookmarkStart w:id="39" w:name="_Toc256000018"/>
      <w:r>
        <w:rPr>
          <w:rFonts w:ascii="宋体" w:hAnsi="宋体"/>
          <w:sz w:val="30"/>
        </w:rPr>
        <w:t>十八、侧袋机制</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工作日主袋账户总份额的20%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1、本基金实施侧袋机制的，管理费和托管费等按主袋账户基金资产净值作为基数计提。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40" w:name="_Toc256000046"/>
      <w:bookmarkStart w:id="41" w:name="_Toc256000019"/>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工作日基金总份额的20%时，投资人将可能无法及时赎回持有的全部基金份额。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定期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定期开放方式运作，基金管理人在开放日办理基金份额的申购及/或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封闭期内，本基金不办理申购和赎回业务，也不上市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本基金自封闭期结束之日的下一个工作日起至下一个封闭期开始前进入开放期，开放期期间可以办理申购与赎回业务。每个开放期不少于5个工作日并且最长不超过20 个工作日，开放期的具体时间以基金管理人届时公告为准。如封闭期结束后或在开放期内发生不可抗力或其他情形致使基金无法按时开放申购与赎回业务的，开放期时间中止计算，在不可抗力或其他情形影响因素消除之日次一工作日起，继续计算该开放期时间，直至满足开放期的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开放期内单个开放日内的基金份额净赎回申请（赎回申请份额总数加上基金转换中转出申请份额总数后扣除申购申请份额总数及基金转换中转入申请份额总数后的余额）超过前一工作日的基金总份额的20%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延缓支付赎回款项：当基金管理人认为支付投资人的赎回申请有困难或认为因支付投资人的赎回申请而进行的财产变现可能会对基金资产净值造成较大波动时，基金管理人应对当日全部赎回申请进行确认，但可以延缓支付赎回款项，当日按比例办理的赎回份额不得低于前一工作日基金总份额的20%，其余赎回申请可以延缓支付赎回款项，但延缓支付的期限不得超过20个工作日，并在规定媒介上予以公告。延缓支付的赎回申请以赎回申请确认当日的基金份额净值为基础计算赎回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（3）延期办理赎回申请：本基金如发生巨额赎回且单个开放日内单个基金份额持有人申请赎回的基金份额超过前一工作日的基金总份额的20%时，本基金管理人有权采取如下措施：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对于基金份额持有人未超过上述比例的部分，基金管理人可以根据前述“（1）全额赎回”或“（2）延缓支付赎回款项”的约定方式与其他基金份额持有人的赎回申请一并办理。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延期办理期限超过开放期的，开放期相应延长，延长的开放期内不办理申购，亦不接受新的赎回申请，即基金管理人仅为原开放期内因提交赎回申请超过基金总份额20%以上而被延期办理赎回的单个基金份额持有人办理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面临特定运作方式的风险：本基金以封闭期和开放期滚动的方式运作，投资者需在开放期提出申购、赎回申请，每个开放期不少于5个工作日并且最长不超过20个工作日。在非开放期间将无法按照基金份额净值进行申购和赎回。基金份额持有人面临封闭期内无法赎回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4、本基金暂停运作的风险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基金合同生效后的存续期内，出现以下情况的，本基金可以暂停基金的运作，且无须召开基金份额持有人大会：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个封闭期到期前，基金管理人有权根据市场情况、基金的投资策略等决定是否进入开放期，具体安排以基金管理人公告为准。基金管理人决定暂停进入下一开放期的，基金将在封闭期结束之日的下一个工作日将全部基金份额自动赎回。若存在未变现的资产，登记机构将于该部分资产变现完成后，将对应款项按该封闭期最后一日基金份额持有人持有的基金份额比例分配给全体基金份额持有人，单位基金份额所分配的资产金额按照资产变现完成后的净额进行计算，单位基金份额对应的总到账款项可能与封闭期到期日基金份额净值不一致。封闭期结束后，基金暂不开放申购、转换转入等相关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同时，为避免基金份额持有人利益因基金份额净值的小数点保留精度受到不利影响，基金管理人可提高该封闭期结束之日的下一个工作日的基金份额净值的精度。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开放期最后一日日终，如果基金的基金资产净值加上基金开放期最后一日交易申请确认的申购确认金额及转换转入确认金额，扣除赎回确认金额及转换转出确认金额后的余额低于5000万元或基金份额持有人数量不满200人的，基金管理人有权决定是否进入下一封闭期，具体安排以基金管理人公告为准。基金管理人决定暂停进入下一封闭期的，投资人未确认的申购申请对应的已缴纳申购款项将全部退回；对于当日日终留存的基金份额，将全部自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同时，为避免基金份额持有人利益因基金份额净值的小数点保留精度受到不利影响，基金管理人可提高该开放期最后一日的基金份额净值的精度。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（3）暂停运作期间，基金管理人与基金托管人协商一致，可以决定终止基金合同，报中国证监会备案并公告，无须召开基金份额持有人大会。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5、浮动管理费模式相关风险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基金管理费由基础管理费和业绩报酬两部分组成，而基础管理费、业绩报酬取决于基金封闭期内净值增长情况及年化收益率情况，因此投资者在认/申购本基金时无法预先确定本基金的整体管理费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公布的基金份额净值中，为按1.0%/年收取管理费的净值。本基金封闭期内（封闭期最后一天除外）披露的基金份额净值为已扣除或有管理费但未扣除基金管理人业绩报酬前的基金份额净值，可能因为封闭期最后一天或有管理费划归基金资产或计提业绩报酬导致基金份额净值发生波动。投资者投资者实际可得的份额净值可能与披露净值不同。投资者实际赎回金额，以登记机构确认数据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（3）虽然本基金采用浮动管理费加提取业绩报酬的模式，但这并不代表基金的收益保证，即封闭期到期时，存在年化收益率低于8%甚至为负的可能性。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（六）投资股指期货的特定风险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（2）流动性风险是指由于股指期货合约无法及时变现所带来的风险。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（5）信用风险是指期货经纪公司违约而产生损失的风险。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（七）投资资产支持证券的特定风险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（八）投资流通受限证券的特定风险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（九）投资港股通标的股票的特定风险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本基金可投资港股通标的股票，会面临港股通机制下因投资环境、投资标的、市场制度以及交易规则等差异带来的特有风险，具体如下：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（1）港股交易失败风险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（2）汇率风险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（3）境外市场的风险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2）香港市场交易规则有别于内地A股市场规则，此外，在“内地与香港股票市场交易互联互通机制”下参与香港股票投资还将面临包括但不限于如下特殊风险：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a）香港市场实行T+0回转交易机制（即当日买入的股票，在交收前可以于当日卖出），且证券交易价格并无涨跌幅上下限的规定，因此每日涨跌幅空间相对较大，可能表现出比A股更为剧烈的股价波动；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以上所述因素可能会给本基金投资带来特殊交易风险。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pStyle w:val="2"/>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（4）根据相关市场规则，为基金开设资金账户、证券账户、期货结算账户等投资所需账户，为基金办理证券、期货交易资金清算；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（6）按规定开设基金财产的资金账户、证券账户和期货结算账户等投资所需账户，按照《基金合同》的约定，根据基金管理人的投资指令，及时办理清算、交割事宜；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监管机构、司法机关等有权机关要求，或审计、法律等外部专业顾问提供服务需要的情况外，在基金信息公开披露前予以保密，不得向他人泄露。如向审计、法律等外部专业顾问提供上述信息，基金托管人保证审计、法律等外部专业顾问遵守与基金托管人同等的保密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（3）依法并按照基金合同和招募说明书的规定在开放期内转让或者申请赎回其持有的基金份额；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4）转换基金运作方式（本基金封闭期与开放期的转换及暂停运作除外）；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2）在法律法规和《基金合同》规定的范围内调整本基金的申购费率、在对现有基金份额持有人利益无实质性不利影响的前提下变更收费方式；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3）因法规政策调整而需要修订业绩报酬相关基准比例的；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《基金合同》受中国法律（不含港澳台地区法律）管辖。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（五）基金合同存放地和投资者取得基金合同的方式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《基金合同》正本一式三份，除上报有关监管机构一份外，基金管理人、基金托管人各持有一份，每份具有同等的法律效力。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住所：北京市朝阳区光华路10号院1号楼6-30层、32-42层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法定代表人：方合英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成立时间：1987年4月20日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批准设立文号：中华人民共和国国务院办公厅国办函[1987]14号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基金托管业务批准文号：中国证监会证监基金字[2004]125号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注册资本：489.35亿元人民币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保险兼业代理业务；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投资者托管业务；经国务院银行业监督管理机构批准的其他业务。（企业依法自主选择经营项目，开展经营活动；依法须经批准的项目，经相关部门批准后依批准的内容开展经营活动；不得从事本市产业政策禁止和限制类项目的经营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1、基金托管人对基金管理人的投资行为行使监督权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（1）基金托管人根据有关法律法规的规定和基金合同的约定，对下述基金投资范围、投资对象进行监督。本基金将投资于以下金融工具：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投资（含存托凭证）占基金资产的比例不低于60%，其中投资于港股通标的股票的比例占股票资产的0%-50%；但应开放期流动性需要，为保护基金份额持有人利益，在每个封闭期结束前三个月、开放期及开放期结束后三个月的期间内，基金投资不受上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放期内，每个交易日日终在扣除股指期货合约需缴纳的交易保证金后，本基金持有的现金或者到期日在一年以内的政府债券的比例合计不低于基金资产净值的5%；在封闭期内，本基金不受上述5%的限制，每个交易日日终在扣除股指期货合约需缴纳的交易保证金后，应当保持不低于交易保证金一倍的现金。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（2）基金托管人根据有关法律法规的规定及基金合同的约定对下述基金投融资比例进行监督：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投资（含存托凭证）占基金资产的比例不低于60%，其中投资于港股通标的股票的比例占股票资产的0%-50%；但在每个封闭期结束前三个月、开放期及开放期结束后三个月的期间内，基金投资不受上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开放期内，每个交易日日终在扣除股指期货合约需缴纳的交易保证金后，本基金持有的现金或者到期日在一年以内的政府债券的投资比例合计不低于基金资产净值的5%；在封闭期内，本基金不受上述5%的限制，每个交易日日终在扣除股指期货合约需缴纳的交易保证金后，应当保持不低于交易保证金一倍的现金。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3）本基金持有一家公司发行的证券（同一家公司在内地和香港同时上市的A+H股合计计算），其市值不超过基金资产净值的10％；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在开放期内，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本基金开放期内，在任何交易日日终，持有的买入股指期货合约价值与有价证券市值之和，不得超过基金资产净值的95%；封闭期内，在任何交易日日终，持有的买入股指期货合约价值与有价证券市值之和，不得超过基金资产净值的100%。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⑤本基金在任何交易日内交易（不包括平仓）的股指期货合约的成交金额不得超过上一交易日基金资产净值的20%；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15）在开放期内，本基金资产总值不超过基金资产净值的140%；在封闭期内，本基金的资产总值不超过基金资产净值的200%；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（3）基金托管人根据有关法律法规的规定及基金合同的约定对下述基金投资禁止行为进行监督：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（4）基金托管人依据有关法律法规的规定和基金合同的约定对于基金关联投资进行监督。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有关基金从事的关联交易的规定，基金管理人和基金托管人应事先相互提供与本机构有控股关系的股东或与本机构有其他重大利害关系的公司名单及有关关联方发行的证券名单及其更新，加盖公章并书面提交，并确保所提供名单的真实性、完整性、全面性。基金管理人或基金托管人在名单变更后应及时发送对方，收到方于2个工作日内进行回函确认已知名单的变更。名单变更时间以收到方回函确认的时间为准。如果基金托管人在运作中严格遵循了监督流程，基金管理人仍违规进行交易，并造成基金资产损失的，由基金管理人承担责任，基金托管人不承担相应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相关交易必须事先得到基金托管人的同意，若基金托管人发现基金管理人与关联方进行违反法律法规规定的关联交易时，基金托管人应及时提醒并协助基金管理人采取必要措施阻止该交易的发生，若基金托管人采取必要措施后仍无法阻止该交易发生时，基金托管人有权向中国证监会报告，由此造成的损失和责任由基金管理人承担。对于交易所场内已成交的违规交易，基金托管人应按相关法律法规和交易所规则的规定进行结算，同时向中国证监会报告，基金托管人不承担由此造成的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（5）基金托管人依据有关法律法规的规定和基金合同的约定对基金管理人参与银行间债券市场进行监督。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1）基金托管人依据有关法律法规的规定和基金合同的约定对于基金管理人参与银行间债券市场交易时面临的交易对手资信风险进行监督。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基金投资运作之前向基金托管人提供符合法律法规及行业标准的银行间债券市场交易对手的名单。基金托管人在收到名单后2个工作日内回函确认收到该名单。基金管理人应定期或不定期对银行间债券市场现券及回购交易对手的名单进行更新，名单中增加或减少银行间债券市场交易对手时须及时通知基金托管人，基金托管人于2个工作日内回函确认收到后，对名单进行更新。基金管理人收到基金托管人书面确认后，被确认调整的名单开始生效，新名单生效前已与本次剔除的交易对手所进行但尚未结算的交易，仍应按照双方原定协议进行结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如果基金托管人发现基金管理人与不在名单内的银行间债券市场交易对手进行交易，应及时提醒基金管理人撤销交易，经提醒后基金管理人仍执行交易并造成基金资产损失的，基金托管人不承担相应责任。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有责任控制交易对手的资信风险，按银行间债券市场的交易规则进行交易。基金托管人则根据银行间债券市场成交单对合同履行情况进行监督。如基金托管人事后发现基金管理人没有按照事先约定的交易对手进行交易时，基金托管人应及时提醒基金管理人，基金托管人不承担由此造成的相应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（6）基金托管人对基金投资流通受限证券的监督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流通受限证券，应遵守有关法律法规规定。流通受限证券包括由《上市公司证券发行注册管理办法》规范的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在基金首次投资流通受限证券前，向基金托管人提供经基金管理人董事会批准的有关基金投资流通受限证券的投资决策流程、风险控制制度。上述资料应包括但不限于基金投资流通受限证券的投资额度和投资比例控制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3）基金投资流通受限证券前，基金管理人应向基金托管人提供符合法律法规要求的有关必要书面信息。基金管理人应保证上述信息的真实、完整，并应至少于拟执行投资指令前将上述信息书面发至基金托管人。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应对基金管理人是否遵守法律法规、投资决策流程、风险控制制度情况进行监督，并审核基金管理人提供的有关书面信息。基金托管人认为上述资料可能导致基金出现风险的，有权要求基金管理人在投资流通受限证券前就该风险的消除或防范措施进行补充书面说明，否则，基金托管人有权拒绝执行有关指令并报告中国证监会。因拒绝执行该指令造成基金财产损失的，基金托管人不承担相应责任，但基金托管人未经提前告知基金管理人于合理时间内提供说明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如基金管理人和基金托管人无法达成一致，应及时上报中国证监会请求解决。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（7）基金托管人根据有关法律法规的规定及基金合同的约定，对基金管理人选择存款银行进行监督。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本基金投资银行存款应符合如下规定：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对基金管理人选择存款银行的监督应依据基金管理人向基金托管人提供的符合条件的存款银行的名单执行，如基金托管人发现基金管理人将基金资产投资于该名单之外的存款银行，有权拒绝执行。该名单如有变更，基金管理人应在启用新名单前提前及时将新名单发送给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发现基金管理人的投资运作及其他运作违反《基金法》、基金合同、本托管协议及其他有关规定时，应及时以书面形式通知基金管理人限期纠正，基金管理人收到通知后应在下一个工作日及时核对，并以书面形式向基金托管人发出回函，进行解释或举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在限期内，基金托管人有权随时对通知事项进行复查，督促基金管理人改正。基金管理人对基金托管人通知的违规事项未能在限期内纠正的，基金托管人应报告中国证监会。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基金托管人发现基金管理人的投资指令违反有关法律法规规定或者违反基金合同约定的，应当拒绝执行，立即通知基金管理人。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依据交易程序已经生效的投资指令违反法律、行政法规和其他有关规定，或者违反基金合同约定的，应当立即通知基金管理人，并及时向中国证监会报告，基金管理人应依法承担相应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积极配合和协助基金托管人的监督和核查，必须在规定时间内答复基金托管人并改正，就基金托管人的合理疑义进行解释或举证，对基金托管人按照法规要求需向中国证监会报送基金监督报告的，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基金托管人发现基金管理人有重大违规行为，应立即报告中国证监会，同时通知基金管理人限期纠正。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遵守中华人民共和国反洗钱法律法规，不参与涉嫌洗钱、恐怖融资、扩散融资等违法犯罪活动；主动配合基金托管人客户身份识别与尽职调查，提供真实、准确、完整客户资料，遵守反洗钱与反恐怖融资相关管理规定。对具备合理理由怀疑涉嫌洗钱、恐怖融资的客户，基金托管人将按照中国人民银行反洗钱监管规定采取必要管控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对基金托管人履行托管职责情况进行核查，核查事项包括但不限于基金托管人安全保管基金财产、开设基金财产的资金账户和证券账户等投资所需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擅自挪用基金财产、未对基金财产实行分账管理、未执行或无故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或未在合理期限内确认的，基金管理人应报告中国证监会。基金管理人有义务要求基金托管人赔偿本基金、基金管理人因此所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基金管理人发现基金托管人有重大违规行为，应立即报告中国证监会和银行业监督管理机构，同时通知基金托管人限期纠正。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（1）基金财产应独立于基金管理人、基金托管人和证券经纪机构的固有财产。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（2）基金托管人应安全保管基金财产。除依据法律法规规定、基金合同和本托管协议约定及基金管理人的正当指令外，不得自行运用、处分、分配基金的任何财产。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（3）基金托管人按照规定开设基金财产的资金账户和证券账户等投资所需账户。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（6）除依据法律法规和基金合同的规定外，基金托管人不得委托第三人托管基金资产。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基金募集期间募集认购款项应存于基金认购专用账户，该账户由基金管理人或基金管理人委托的登记机构开立并管理。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期满或基金提前结束募集时，募集的基金份额总额、基金募集金额、基金份额持有人人数符合《基金法》、《运作办法》等有关规定后，基金管理人应将募集的属于本基金财产的全部资金划入基金托管人为本基金开立的资产托管专户中，基金托管人在收到资金当日出具确认文件。同时，基金管理人应聘请符合《中华人民共和国证券法》规定的会计师事务所进行验资，出具验资报告，出具的验资报告应由参加验资的2名以上（含2名）中国注册会计师签字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若基金募集期限届满，未能达到基金备案条件，由基金管理人按规定办理退款事宜，基金托管人应提供充分协助。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3、基金的银行账户的开立和管理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（1）基金托管人以本基金的名义在其营业机构开立基金的银行账户，并根据基金管理人合法合规的指令办理资金收付。本基金的银行预留印鉴由基金托管人刻制、保管和使用。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（2）基金银行账户的开立和使用，限于满足开展本基金业务的需要。基金托管人和基金管理人不得假借本基金的名义开立任何其他银行账户；亦不得使用本基金的任何账户进行本基金业务以外的活动。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（3）基金银行账户的开立和管理应符合有关法律法规以及银行业监督管理机构的有关规定。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4、基金证券账户与证券交易资金账户的开设和管理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基金托管人以基金托管人和本基金联名的方式在中国证券登记结算有限责任公司（以下简称“中登公司”）上海分公司/深圳分公司开设证券账户。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基金托管人以基金托管人的名义在中国证券登记结算有限责任公司上海分公司/深圳分公司开立基金证券交易资金账户，用于证券清算。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基金证券账户的开立和使用，限于满足开展本基金业务的需要。基金托管人和基金管理人不得出借和未经对方同意擅自转让基金的任何证券账户；亦不得使用基金的任何账户进行本基金业务以外的活动。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基金管理人负责以本基金的名义申请并取得进入全国银行间同业拆借市场的交易资格，并代表本基金进行交易；基金托管人负责以本基金的名义在中央国债登记结算有限责任公司开设银行间债券市场债券托管账户，并由基金托管人负责本基金的债券的后台匹配及资金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（2）基金管理人和基金托管人应一起负责为本基金对外签订全国银行间国债市场回购主协议，正本由基金托管人保管，基金管理人保存副本。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托管协议生效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7、基金财产投资的有关实物证券、银行定期存款存单等有价凭证的保管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由基金托管人存放于基金托管人的保管库；其中实物证券也可存入中央国债登记结算有限责任公司或银行间市场清算所股份有限公司或中登公司上海分公司/深圳分公司或票据营业中心的代保管库。实物证券的购买和转让，由基金托管人根据基金管理人的指令办理。属于基金托管人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基金财产有关的重大合同的签署，由基金管理人负责。由基金管理人代表本基金签署的与本基金有关的重大合同的原件分别应由基金托管人、基金管理人保管。基金管理人在代表本基金签署与本基金有关的重大合同时应保证基金一方持有两份以上的正本原件，以便基金管理人和基金托管人至少各持有一份正本的原件。基金管理人在合同签署后30个工作日内通过专人送达、挂号邮寄等安全方式将合同送达基金托管人处。合同应存放于基金管理人和基金托管人各自文件保管部门不低于法律法规规定的最低期限。对于无法取得二份以上的正本的，基金管理人应向基金托管人提供加盖授权业务章的合同传真件，未经双方协商或未在合同约定范围内，合同原件不得转移，由基金管理人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（1）基金资产净值的计算、复核的时间和程序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每个估值日对基金资产估值，但基金管理人根据法律法规或基金合同的规定暂停估值时除外。估值原则应符合基金合同及相关法律、法规的规定。基金资产净值和基金份额净值由基金管理人负责计算，基金托管人复核。基金管理人应于每个估值日交易结束后计算当日的基金份额净值并以双方认可的方式发送给基金托管人。基金托管人对净值计算结果复核后以双方认可的方式发送给基金管理人，由基金管理人依据基金合同和相关法律法规的规定对基金净值予以公布。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基金管理人计算并公告基金资产净值，基金托管人复核、审查基金管理人计算的基金资产净值。因此，本基金的会计责任方是基金管理人，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基金所拥有的股票、债券、资产支持证券、衍生工具和其他投资等持续以公允价值计量的金融资产及负债。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②交易所上市交易或挂牌转让的固定收益品种（另有规定的除外），选取估值日第三方估值机构提供的相应品种当日的估值净价进行估值；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⑤交易所上市不存在活跃市场的有价证券，采用估值技术确定公允价值。交易所市场挂牌转让的资产支持证券，采用估值技术确定公允价值；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⑥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②首次公开发行未上市的股票和债券，采用估值技术确定公允价值，在估值技术难以可靠计量公允价值的情况下，按成本估值；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4）同一证券同时在两个或两个以上市场交易的，按证券所处的市场分别估值。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6）估值计算中涉及港币对人民币汇率的，将依据下列信息提供机构所提供的汇率为基准：当日中国人民银行或其授权机构公布的人民币与港币的中间价。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7）对于因税收规定调整或其他原因导致产品实际交纳税金与估算的应交税金有差异的，产品将在相关税金调整日或实际支付日进行相应的会计处理。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管理人计算的基金资产净值、基金份额净值已由基金托管人复核确认后公告的，由此造成的投资人或基金的损失，应根据法律法规的规定对投资人或基金支付赔偿金，就实际向投资人或基金支付的赔偿金额，基金管理人与基金托管人按照过错程度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一方当事人提供的信息错误，另一方当事人在采取了必要合理的措施后仍不能发现该错误，进而导致基金资产净值、基金份额净值计算错误造成投资人或基金的损失，以及由此造成以后交易日基金资产净值、基金份额净值计算顺延错误而引起的投资人或基金的损失，由提供错误信息的当事人一方负责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管理人计算的基金资产净值与基金托管人的计算结果不一致时，相关各方应本着勤勉尽责的态度重新计算核对，如果最后仍无法达成一致，应以基金管理人的计算结果为准对外公布，由此造成的损失由基金管理人承担赔偿责任，基金托管人不负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基金管理人或基金托管人按估值方法的第9）项进行估值的，所造成的误差不作为基金资产估值错误处理。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责任方拒绝进行赔偿时，如果因基金管理人过错造成基金资产损失时，基金托管人应为基金的利益向基金管理人追偿，如果因基金托管人过错造成基金资产损失时，基金管理人应为基金的利益向基金托管人追偿。除基金管理人和基金托管人之外的第三方造成基金资产的损失，并拒绝进行赔偿时，由基金管理人负责向估值错误责任方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5、基金定期报告、招募说明书、基金产品资料概要的编制和复核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基金财务报表由基金管理人和基金托管人每月分别独立编制。月度报表的编制，应于每月终了后5个工作日内完成。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生效后，基金招募说明书的信息发生重大变更的，基金管理人应当在三个工作日内，更新基金招募说明书并登载在规定网站上；基金招募说明书其他信息发生变更的，基金管理人至少每年更新一次。本基金暂停运作期间或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本基金暂停运作期间或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季度结束之日起15个工作日内完成季度报告编制并公告；在上半年结束之日起两个月内完成中期报告编制并公告；在每年结束之日起三个月内完成年度报告编制并公告。基金合同生效不足2个月的，基金管理人可以不编制当期季度报告、中期报告或者年度报告。本基金暂停运作的期间，不再编制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完成报表编制，将有关报表提供基金托管人复核；基金托管人应当在收到报告之日起2个工作日内完成月度报表的复核；在收到报告之日起7个工作日内完成基金季度报告的复核；在收到报告之日起20日内完成基金中期报告的复核；在收到报告之日起30日内完成基金年度报告的复核。基金托管人在复核过程中，发现双方的报表存在不符时，基金管理人和基金托管人应共同查明原因，进行调整，调整以国家有关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核对无误后，基金托管人在基金管理人提供的报告上加盖业务印鉴或者出具加盖托管业务部门公章的复核意见书，相关各方各自留存一份。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基金托管人在对月度报表、季度、中期报告或年度报告复核完毕后，需盖章确认或出具相应的复核确认书，以备有权机构对相关文件审核时提示。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本基金实施侧袋机制的，应根据基金合同的约定对主袋账户资产进行估值并披露主袋账户的基金净值信息，暂停披露侧袋账户份额净值。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（六）基金份额持有人名册的保管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基金管理人和基金托管人须分别妥善保管的基金份额持有人名册，基金份额持有人名册的内容必须包括基金份额持有人的名称和持有的基金份额。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基金的登记机构根据基金管理人的指令编制和保管，基金管理人和基金托管人应按照目前相关规则分别保管基金份额持有人名册。保管方式可以采用电子或文档的形式。保管期限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及时向基金托管人定期或不定期提交约定日期的基金份额持有人名册。基金份额持有人名册的内容必须包括基金份额持有人的名称和持有的基金份额。基金托管人可以采用电子或文档的形式妥善保管基金份额持有人名册，保存期限不低于法律法规规定的最低期限。基金托管人不得将所保管的基金份额持有人名册用于基金托管业务以外的其他用途，并应遵守保密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双方当事人同意，因本协议而产生的或与本协议有关的一切争议，如经友好协商未能解决的，任何一方均有权将争议提交中国国际经济贸易仲裁委员会，按照中国国际经济贸易仲裁委员会届时有效的仲裁规则进行仲裁。仲裁地点为北京市。仲裁裁决是终局的，对双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争议处理期间，双方当事人应恪守基金管理人和基金托管人职责，继续忠实、勤勉、尽责地履行基金合同和托管协议规定的义务，维护基金份额持有人的合法权益。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本协议受中国法律（不含港澳台地区法律）管辖。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（八）基金托管协议的变更、终止与基金财产的清算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本协议双方当事人经协商一致，可以对协议的内容进行变更。变更后的托管协议，其内容不得与基金合同的规定有任何冲突。本托管协议的变更报中国证监会备案。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发生以下情况，本托管协议终止：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2）基金托管人解散、依法被撤销、破产或由其他基金托管人接管基金资产；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3）基金管理人解散、依法被撤销、破产或由其他基金管理人接管基金管理权；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4）发生法律法规或基金合同规定的终止事项。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⑤聘请会计师事务所对清算报告进行外部审计，聘请律师事务所对清算报告出具法律意见书；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⑥将清算报告报中国证监会备案并公告；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⑦对基金剩余财产进行分配。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pStyle w:val="2"/>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1、基金合同生效后的每次交易结束后，投资人可在T+2个工作日后通过销售机构的网点查询和打印确认单；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服务，个人投资者可以直接通过本基金管理人的网上直销交易平台办理开户等业务。通过网上直销交易平台办理本基金申购和定期定额投资业务的个人投资者将享受申购费率的优惠，其他费率标准不变。具体优惠费率请参见公司网站列示的网上直销交易平台申购、定期定额投资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基金网上直销交易平台已开通的银行卡及各银行卡交易金额限额请参阅本基金管理人网站。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本基金未开通转换业务，具体实施方法请参见相关公告。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本基金未开通定期定额投资计划，具体实施方法请参见相关公告。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51"/>
      <w:bookmarkStart w:id="51" w:name="_Toc256000024"/>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交银施罗德瑞元三年定期开放混合型证券投资基金2025年年度报告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交银施罗德瑞元三年定期开放混合型证券投资基金2026年第1季度报告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交银施罗德瑞元三年定期开放混合型证券投资基金2026年中期报告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53"/>
      <w:bookmarkStart w:id="55" w:name="_Toc256000026"/>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（一）中国证监会准予交银施罗德瑞元三年定期开放混合型证券投资基金募集注册的文件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（二）《交银施罗德瑞元三年定期开放混合型证券投资基金基金合同》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（三）《交银施罗德瑞元三年定期开放混合型证券投资基金托管协议》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（六）关于申请募集注册交银施罗德瑞元三年定期开放混合型证券投资基金的法律意见书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152</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交银施罗德瑞元三年定期开放混合型证券投资基金招募说明书（更新）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交银施罗德瑞元三年定期开放混合型证券投资基金招募说明书（更新）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006DE5"/>
    <w:rsid w:val="20E17C2E"/>
    <w:rsid w:val="26A440C8"/>
    <w:rsid w:val="2B4B56EC"/>
    <w:rsid w:val="54ED44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qFormat/>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153</Pages>
  <Words>13948</Words>
  <Characters>79510</Characters>
  <Lines>662</Lines>
  <Paragraphs>186</Paragraphs>
  <TotalTime>12</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2026-09-28T08:42:10Z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D3E9111C1FCA4BCD89C3A683EDB374A8</vt:lpwstr>
  </property>
</Properties>
</file>