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深证300价值交易型开放式指数证券投资基金招募说明书（更新）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6"/>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深证300价值交易型开放式指数证券投资基金（以下简称“本基金”）经2011年6月20日中国证券监督管理委员会（以下简称“中国证监会”）证监许可【2011】967号文核准募集。本基金基金合同于2011年9月22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核准，但中国证监会对本基金募集的核准，并不表明其对本基金的价值和收益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者在投资本基金前，需全面认识本基金产品的风险收益特征和产品特性，充分考虑自身的风险承受能力，理性判断市场，对投资本基金的意愿、时机、数量等投资行为作出独立决策。投资者根据所持有份额享受基金的收益，但同时也需承担相应的投资风险。投资本基金可能遇到的风险包括：市场风险、标的指数回报与股票市场平均回报偏离的风险、标的指数波动的风险以及基金投资组合回报与标的指数回报偏离的风险、标的指数变更的风险、跟踪误差控制未达约定目标的风险、指数编制机构停止服务的风险、成份股停牌的风险，基金份额二级市场交易价格折溢价的风险，基金的退市风险，投资者申购、赎回失败的风险以及基金份额赎回对价的变现风险、流动性风险等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本基金属于股票基金，风险与收益高于混合基金、债券基金与货币市场基金。同时本基金为指数型基金，具有与标的指数、以及标的指数所代表的股票市场相似的风险收益特征。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本基金为指数基金，投资者投资于本基金面临跟踪误差控制未达约定目标、指数编制机构停止服务、成份券停牌等潜在风险。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本基金标的指数为深证300价值价格指数。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1、选样空间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深证300指数样本股。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2、选样方法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1）计算价值因子的变量数值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价值因子有四个变量：每股收益与价格比率、每股经营现金流与价格比率、股息收益率、每股净资产与价格比率。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2）计算风格Z值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计算出每只股票的变量值之后，在样本空间内对所有变量值进行标准化z分处理。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确保用于标准化处理的市场均值不会因为极值而受到太大影响，计算增长率变量时，先对样本空间内所有股票的数值按照升序排列。对于处在下端10%或者上端90%等级的数值，分别设定为第10%等级与90%等级的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一个公司股票的价值Z值是四个价值因子变量Z值的均值。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3）指数选样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在深证300中选取价值Z值最高的100只股票作为深证300价值指数初始样本股。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3、指数计算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指数采用派氏加权法，依据下列公式逐日连锁实时计算：</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3.5pt;width:372.75pt">
            <v:imagedata r:id="rId11"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有关标的指数具体编制方案及成份股信息详见深圳证券信息有限公司国证指数网网站，网址：www.cnindex.com.cn。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投资有风险，投资者在投资本基金前应认真阅读本基金的招募说明书、基金合同、基金产品资料概要。基金的过往业绩并不代表其未来表现。基金管理人管理的其他基金的业绩并不构成对本基金业绩表现的保证。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2"/>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"_Toc256000026"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_Toc256000026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_Toc256000027 \h </w:instrText>
      </w:r>
      <w:r>
        <w:fldChar w:fldCharType="separate"/>
      </w:r>
      <w:r>
        <w:rPr>
          <w:rStyle w:val="Hyperlink"/>
        </w:rPr>
        <w:t>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_Toc256000028 \h </w:instrText>
      </w:r>
      <w:r>
        <w:fldChar w:fldCharType="separate"/>
      </w:r>
      <w:r>
        <w:rPr>
          <w:rStyle w:val="Hyperlink"/>
        </w:rPr>
        <w:t>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_Toc256000029 \h </w:instrText>
      </w:r>
      <w:r>
        <w:fldChar w:fldCharType="separate"/>
      </w:r>
      <w:r>
        <w:rPr>
          <w:rStyle w:val="Hyperlink"/>
        </w:rPr>
        <w:t>10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_Toc256000030 \h </w:instrText>
      </w:r>
      <w:r>
        <w:fldChar w:fldCharType="separate"/>
      </w:r>
      <w:r>
        <w:rPr>
          <w:rStyle w:val="Hyperlink"/>
        </w:rPr>
        <w:t>18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_Toc256000031 \h </w:instrText>
      </w:r>
      <w:r>
        <w:fldChar w:fldCharType="separate"/>
      </w:r>
      <w:r>
        <w:rPr>
          <w:rStyle w:val="Hyperlink"/>
        </w:rPr>
        <w:t>21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_Toc256000032 \h </w:instrText>
      </w:r>
      <w:r>
        <w:fldChar w:fldCharType="separate"/>
      </w:r>
      <w:r>
        <w:rPr>
          <w:rStyle w:val="Hyperlink"/>
        </w:rPr>
        <w:t>30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_Toc256000033 \h </w:instrText>
      </w:r>
      <w:r>
        <w:fldChar w:fldCharType="separate"/>
      </w:r>
      <w:r>
        <w:rPr>
          <w:rStyle w:val="Hyperlink"/>
        </w:rPr>
        <w:t>31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八、基金份额的上市交易</w:t>
      </w:r>
      <w:r>
        <w:rPr>
          <w:rStyle w:val="Hyperlink"/>
        </w:rPr>
        <w:tab/>
      </w:r>
      <w:r>
        <w:fldChar w:fldCharType="begin"/>
      </w:r>
      <w:r>
        <w:rPr>
          <w:rStyle w:val="Hyperlink"/>
        </w:rPr>
        <w:instrText xml:space="preserve"> PAGEREF _Toc256000034 \h </w:instrText>
      </w:r>
      <w:r>
        <w:fldChar w:fldCharType="separate"/>
      </w:r>
      <w:r>
        <w:rPr>
          <w:rStyle w:val="Hyperlink"/>
        </w:rPr>
        <w:t>32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九、基金份额的申购与赎回</w:t>
      </w:r>
      <w:r>
        <w:rPr>
          <w:rStyle w:val="Hyperlink"/>
        </w:rPr>
        <w:tab/>
      </w:r>
      <w:r>
        <w:fldChar w:fldCharType="begin"/>
      </w:r>
      <w:r>
        <w:rPr>
          <w:rStyle w:val="Hyperlink"/>
        </w:rPr>
        <w:instrText xml:space="preserve"> PAGEREF _Toc256000035 \h </w:instrText>
      </w:r>
      <w:r>
        <w:fldChar w:fldCharType="separate"/>
      </w:r>
      <w:r>
        <w:rPr>
          <w:rStyle w:val="Hyperlink"/>
        </w:rPr>
        <w:t>34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_Toc256000036 \h </w:instrText>
      </w:r>
      <w:r>
        <w:fldChar w:fldCharType="separate"/>
      </w:r>
      <w:r>
        <w:rPr>
          <w:rStyle w:val="Hyperlink"/>
        </w:rPr>
        <w:t>43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_Toc256000037 \h </w:instrText>
      </w:r>
      <w:r>
        <w:fldChar w:fldCharType="separate"/>
      </w:r>
      <w:r>
        <w:rPr>
          <w:rStyle w:val="Hyperlink"/>
        </w:rPr>
        <w:t>55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_Toc256000038 \h </w:instrText>
      </w:r>
      <w:r>
        <w:fldChar w:fldCharType="separate"/>
      </w:r>
      <w:r>
        <w:rPr>
          <w:rStyle w:val="Hyperlink"/>
        </w:rPr>
        <w:t>57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_Toc256000039 \h </w:instrText>
      </w:r>
      <w:r>
        <w:fldChar w:fldCharType="separate"/>
      </w:r>
      <w:r>
        <w:rPr>
          <w:rStyle w:val="Hyperlink"/>
        </w:rPr>
        <w:t>58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十四、基金的收益与分配</w:t>
      </w:r>
      <w:r>
        <w:rPr>
          <w:rStyle w:val="Hyperlink"/>
        </w:rPr>
        <w:tab/>
      </w:r>
      <w:r>
        <w:fldChar w:fldCharType="begin"/>
      </w:r>
      <w:r>
        <w:rPr>
          <w:rStyle w:val="Hyperlink"/>
        </w:rPr>
        <w:instrText xml:space="preserve"> PAGEREF _Toc256000040 \h </w:instrText>
      </w:r>
      <w:r>
        <w:fldChar w:fldCharType="separate"/>
      </w:r>
      <w:r>
        <w:rPr>
          <w:rStyle w:val="Hyperlink"/>
        </w:rPr>
        <w:t>65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_Toc256000041 \h </w:instrText>
      </w:r>
      <w:r>
        <w:fldChar w:fldCharType="separate"/>
      </w:r>
      <w:r>
        <w:rPr>
          <w:rStyle w:val="Hyperlink"/>
        </w:rPr>
        <w:t>67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_Toc256000042 \h </w:instrText>
      </w:r>
      <w:r>
        <w:fldChar w:fldCharType="separate"/>
      </w:r>
      <w:r>
        <w:rPr>
          <w:rStyle w:val="Hyperlink"/>
        </w:rPr>
        <w:t>69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_Toc256000043 \h </w:instrText>
      </w:r>
      <w:r>
        <w:fldChar w:fldCharType="separate"/>
      </w:r>
      <w:r>
        <w:rPr>
          <w:rStyle w:val="Hyperlink"/>
        </w:rPr>
        <w:t>70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十八、风险揭示</w:t>
      </w:r>
      <w:r>
        <w:rPr>
          <w:rStyle w:val="Hyperlink"/>
        </w:rPr>
        <w:tab/>
      </w:r>
      <w:r>
        <w:fldChar w:fldCharType="begin"/>
      </w:r>
      <w:r>
        <w:rPr>
          <w:rStyle w:val="Hyperlink"/>
        </w:rPr>
        <w:instrText xml:space="preserve"> PAGEREF _Toc256000044 \h </w:instrText>
      </w:r>
      <w:r>
        <w:fldChar w:fldCharType="separate"/>
      </w:r>
      <w:r>
        <w:rPr>
          <w:rStyle w:val="Hyperlink"/>
        </w:rPr>
        <w:t>75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十九、基金合同的终止与基金财产的清算</w:t>
      </w:r>
      <w:r>
        <w:rPr>
          <w:rStyle w:val="Hyperlink"/>
        </w:rPr>
        <w:tab/>
      </w:r>
      <w:r>
        <w:fldChar w:fldCharType="begin"/>
      </w:r>
      <w:r>
        <w:rPr>
          <w:rStyle w:val="Hyperlink"/>
        </w:rPr>
        <w:instrText xml:space="preserve"> PAGEREF _Toc256000045 \h </w:instrText>
      </w:r>
      <w:r>
        <w:fldChar w:fldCharType="separate"/>
      </w:r>
      <w:r>
        <w:rPr>
          <w:rStyle w:val="Hyperlink"/>
        </w:rPr>
        <w:t>82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二十、基金合同内容摘要</w:t>
      </w:r>
      <w:r>
        <w:rPr>
          <w:rStyle w:val="Hyperlink"/>
        </w:rPr>
        <w:tab/>
      </w:r>
      <w:r>
        <w:fldChar w:fldCharType="begin"/>
      </w:r>
      <w:r>
        <w:rPr>
          <w:rStyle w:val="Hyperlink"/>
        </w:rPr>
        <w:instrText xml:space="preserve"> PAGEREF _Toc256000046 \h </w:instrText>
      </w:r>
      <w:r>
        <w:fldChar w:fldCharType="separate"/>
      </w:r>
      <w:r>
        <w:rPr>
          <w:rStyle w:val="Hyperlink"/>
        </w:rPr>
        <w:t>84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二十一、托管协议的内容摘要</w:t>
      </w:r>
      <w:r>
        <w:rPr>
          <w:rStyle w:val="Hyperlink"/>
        </w:rPr>
        <w:tab/>
      </w:r>
      <w:r>
        <w:fldChar w:fldCharType="begin"/>
      </w:r>
      <w:r>
        <w:rPr>
          <w:rStyle w:val="Hyperlink"/>
        </w:rPr>
        <w:instrText xml:space="preserve"> PAGEREF _Toc256000047 \h </w:instrText>
      </w:r>
      <w:r>
        <w:fldChar w:fldCharType="separate"/>
      </w:r>
      <w:r>
        <w:rPr>
          <w:rStyle w:val="Hyperlink"/>
        </w:rPr>
        <w:t>100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二十二、对基金份额持有人的服务</w:t>
      </w:r>
      <w:r>
        <w:rPr>
          <w:rStyle w:val="Hyperlink"/>
        </w:rPr>
        <w:tab/>
      </w:r>
      <w:r>
        <w:fldChar w:fldCharType="begin"/>
      </w:r>
      <w:r>
        <w:rPr>
          <w:rStyle w:val="Hyperlink"/>
        </w:rPr>
        <w:instrText xml:space="preserve"> PAGEREF _Toc256000048 \h </w:instrText>
      </w:r>
      <w:r>
        <w:fldChar w:fldCharType="separate"/>
      </w:r>
      <w:r>
        <w:rPr>
          <w:rStyle w:val="Hyperlink"/>
        </w:rPr>
        <w:t>117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二十三、其他应披露事项</w:t>
      </w:r>
      <w:r>
        <w:rPr>
          <w:rStyle w:val="Hyperlink"/>
        </w:rPr>
        <w:tab/>
      </w:r>
      <w:r>
        <w:fldChar w:fldCharType="begin"/>
      </w:r>
      <w:r>
        <w:rPr>
          <w:rStyle w:val="Hyperlink"/>
        </w:rPr>
        <w:instrText xml:space="preserve"> PAGEREF _Toc256000049 \h </w:instrText>
      </w:r>
      <w:r>
        <w:fldChar w:fldCharType="separate"/>
      </w:r>
      <w:r>
        <w:rPr>
          <w:rStyle w:val="Hyperlink"/>
        </w:rPr>
        <w:t>118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二十四、招募说明书的存放及查阅方式</w:t>
      </w:r>
      <w:r>
        <w:rPr>
          <w:rStyle w:val="Hyperlink"/>
        </w:rPr>
        <w:tab/>
      </w:r>
      <w:r>
        <w:fldChar w:fldCharType="begin"/>
      </w:r>
      <w:r>
        <w:rPr>
          <w:rStyle w:val="Hyperlink"/>
        </w:rPr>
        <w:instrText xml:space="preserve"> PAGEREF _Toc256000050 \h </w:instrText>
      </w:r>
      <w:r>
        <w:fldChar w:fldCharType="separate"/>
      </w:r>
      <w:r>
        <w:rPr>
          <w:rStyle w:val="Hyperlink"/>
        </w:rPr>
        <w:t>120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二十五、备查文件</w:t>
      </w:r>
      <w:r>
        <w:rPr>
          <w:rStyle w:val="Hyperlink"/>
        </w:rPr>
        <w:tab/>
      </w:r>
      <w:r>
        <w:fldChar w:fldCharType="begin"/>
      </w:r>
      <w:r>
        <w:rPr>
          <w:rStyle w:val="Hyperlink"/>
        </w:rPr>
        <w:instrText xml:space="preserve"> PAGEREF _Toc256000051 \h </w:instrText>
      </w:r>
      <w:r>
        <w:fldChar w:fldCharType="separate"/>
      </w:r>
      <w:r>
        <w:rPr>
          <w:rStyle w:val="Hyperlink"/>
        </w:rPr>
        <w:t>121</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3"/>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深证300价值交易型开放式指数证券投资基金招募说明书》（以下简称“本招募说明书”或“招募说明书”）依据《中华人民共和国证券投资基金法》、《证券投资基金运作管理办法》、《证券投资基金销售管理办法》、《公开募集证券投资基金信息披露管理办法》、《公开募集开放式证券投资基金流动性风险管理规定》（以下简称“《流动性规定》”）、《公开募集证券投资基金运作指引第3号——指数基金指引》（以下简称“《指数基金指引》”）和其他相关法律法规的规定以及《深证300价值交易型开放式指数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核准。基金合同是约定基金当事人之间权利、义务的法律文件。基金投资者自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基金或本基金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基金管理人或本基金管理人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指交银施罗德基金管理有限公司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基金托管人或本基金托管人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指中国农业银行股份有限公司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基金合同或本基金合同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指《深证300价值交易型开放式指数证券投资基金基金合同》及对基金合同的任何有效修订和补充</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托管协议或本托管协议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指《深证300价值交易型开放式指数证券投资基金托管协议》及对该托管协议的任何有效修订和补充</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招募说明书或本招募书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指《深证300价值交易型开放式指数证券投资基金招募说明书》，及其更新</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基金份额发售公告</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指《深证300价值交易型开放式指数证券投资基金份额发售公告》</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基金产品资料概要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指《深证300价值交易型开放式指数证券投资基金基金产品资料概要》及其更新</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法律法规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指中国现行有效并公布实施的法律、行政法规、部门规章、规范性文件及对该等法律法规不时作出的修订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《证券法》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指2005年10月27日经第十届全国人民代表大会常务委员会第十八次会议通过，自2006年1月1日实施的《中华人民共和国证券法》及颁布机关对其不时做出的修订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指2003年10月28日经第十届全国人民代表大会常务委员会第五次会议通过，自2004年6月1日起实施的《中华人民共和国证券投资基金法》及颁布机关对其不时作出的修订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《销售办法》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指中国证监会2011年6月9日颁布、同年10月1日实施的《证券投资基金销售管理办法》及对其不时作出的修订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《信息披露办法》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指中国证监会2019年7月26日颁布、同年9月1日实施的《公开募集证券投资基金信息披露管理办法》及对其不时作出的修订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《运作办法》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指中国证监会2004年6月29日颁布、同年7月1日实施的《证券投资基金运作管理办法》及对其不时作出的修订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《流动性规定》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指中国证监会2017年8月31日颁布、同年10月1日实施的《公开募集开放式证券投资基金流动性</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《指数基金指引》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指中国证监会2021年1月22日颁布、同年2月1日实施的《公开募集证券投资基金运作指引第3号——指数基金指引》及颁布机关对其不时做出的修订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中国证监会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指中国证券监督管理委员会</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中国银监会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指中国银行业监督管理委员会</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基金合同当事人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指受基金合同约束，根据基金合同享有权利并承担义务的法律主体，包括基金管理人、基金托管人和基金份额持有人</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个人投资者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指符合法律法规规定的条件可以投资证券投资基金的自然人</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机构投资者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指符合法律法规规定可以投资证券投资基金的在中国境内注册登记或经政府有关部门批准设立的机构</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合格境外机构投资者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指符合《合格境外机构投资者境内证券投资管理办法》及其他相关法律法规规定的条件，经中国证监会批准可投资于中国证券市场，并取得国家外汇管理局额度批准的中国境外的机构投资者</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基金投资者或投资者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指个人投资者、机构投资者和合格境外机构投资者，以及法律法规或中国证监会允许购买证券投资基金的其他投资者</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基金份额持有人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指依据基金合同和招募说明书合法取得基金份额的基金投资者</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深交所《业务细则》</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指《深圳证券交易所交易型开放式指数基金业务实施细则》及对其不时作出的修订</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交易型开放式指数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指深交所《业务细则》定义的“交易型开放式指数基金”</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证券投资基金联接基金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指将绝大部分基金财产投资于本基金，与本基金的投资目标类似，紧密跟踪标的指数表现，追求跟踪偏离度和跟踪误差最小化，采用开放式运作的基金</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发售代理机构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指符合《销售办法》和中国证监会规定的其他条件，由基金管理人指定的代理本基金发售业务的机构</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申购赎回代理券商</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指符合《销售办法》和中国证监会规定的其他条件，由基金管理人指定的办理本基金申购、赎回业务的证券公司，又称为代办证券公司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代销机构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指符合《销售办法》和中国证监会规定的其他条件，取得基金代销业务资格并接受基金管理人委托，代为办理基金销售业务的机构，包括发售代理机构及申购赎回代理券商</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直销机构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指交银施罗德基金管理有限公司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销售机构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指直销机构和/或代销机构</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基金销售网点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指直销机构的直销中心和/或代销机构的代销网点</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注册登记业务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指基金登记、存管、过户、清算和结算业务，具体内容包括投资人基金账户的建立和管理、基金份额登记、基金销售业务的确认、清算和结算、代理发放红利、建立并保管基金份额持有人名册和办理非交易过户等</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注册登记机构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指中国证券登记结算有限责任公司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基金账户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指注册登记机构为基金投资者开立的、记录其持有的、基金管理人所管理的基金份额余额及其变动情况的账户</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基金合同生效日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指基金募集期结束后达到法律法规规定及基金合同约定的备案条件，基金管理人聘请法定机构验资并向中国证监会办理基金备案手续完毕，并收到其书面确认的日期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基金募集期</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指自基金份额发售之日起至发售结束之日止的期间，最长不得超过3个月</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存续期</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指基金合同生效至终止之间的不定期期限</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工作日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指深圳证券交易所的正常交易日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指公历日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指公历月</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T日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指销售机构在规定时间受理基金投资者有效申请工作日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T+n日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指自T日起第n个工作日(不包含T日)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开放日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指为基金投资者办理基金份额申购、赎回或其他业务的工作日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认购</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指在基金募集期内，基金投资者申请购买基金份额的行为</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申购</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指在基金存续期内，投资者按本基金合同规定的条件，以申购赎回清单规定的申购对价向基金管理人购买基金份额的行为，申购将导致本基金份额总数的增加</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赎回</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指在基金存续期内，基金份额持有人按基金合同规定的条件，向基金管理人申请将本基金基金份额兑换为申购赎回清单所规定的赎回对价的行为，赎回将导致本基金份额总数的减少</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申购赎回清单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指由基金管理人编制的用以公告申购对价、赎回对价等信息的文件</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申购对价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指投资者申购基金份额时，按基金合同和招募说明书规定应交付的组合证券、现金替代、现金差额及其他对价</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赎回对价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指投资者赎回基金份额时，基金管理人按基金合同和招募说明书规定应交付给赎回人的组合证券、现金替代、现金差额及其他对价</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标的指数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指深证300价值价格指数及其未来可能发生的变更</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完全复制法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指一种构建跟踪指数的投资组合的方法。通过购买标的指数中的所有成份证券，并且按照每种成份证券在标的指数中的权重确定购买的比例，以达到复制指数的目的</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最小申购赎回单位</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指本基金申购份额、赎回份额的最低数量，投资者申购或赎回的基金份额应为最小申购赎回单位的整数倍</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现金替代</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指申购或赎回过程中，投资者按基金合同和招募说明书的规定，用于替代组合证券中部分证券的一定数量的现金</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现金差额</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最小申购赎回单位的资产净值与按当日收盘价计算的最小申购赎回单位中的组合证券市值和现金替代之差；投资者申购或赎回时应支付或应获得的现金差额根据最小申购赎回单位对应的现金差额、申购或赎回的基金份额数计算</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预估现金差额</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指由基金管理人计算并在T日申购赎回清单中公布的当日现金差额的预估值，预估现金差额由申购赎回代理券商预先冻结</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基金份额参考净值</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指深圳证券交易在交易时间内根据基金管理人提供的计算依据及计算方法计算并发布的基金份额参考净值，简称IOPV</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指人民币元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基金利润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指基金利息收入、投资收益、公允价值变动收益和其他收入扣除相关费用后的余额</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收益评价日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指基金管理人计算本基金净值增长率与标的指数同期增长率差额之日</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基金净值增长率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指收益评价日基金份额净值与基金上市前一日基金份额净值之比减去1乘以100%（期间如发生基金份额折算，则以基金份额折算日为初始日重新计算）</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标的指数同期增长率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指收益评价日标的指数收盘值与基金上市前一日标的指数收盘值之比减去1乘以100%（期间如发生基金份额折算，则以基金份额折算日为初始日重新计算）</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基金资产总值</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指基金拥有的各类有价证券、银行存款本息、基金应收款项及其他资产的价值总和</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基金资产净值</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指基金资产总值减去基金负债后的净资产值</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基金份额净值</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指计算日基金资产净值除以计算日基金份额总数的数值</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基金资产估值</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指计算评估基金资产和负债的价值，以确定基金资产净值和基金份额净值的过程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流动性受限资产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指定媒介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指中国证监会指定的用以进行信息披露的全国性报刊及指定互联网网站（包括基金管理人网站、基金托管人网站、中国证监会基金电子披露网站）等媒介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不可抗力</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指基金合同当事人不能预见、不能避免且不能克服，且在基金合同签署之日后发生的，使基金合同当事人无法全部或部分履行基金合同的任何事件，包括但不限于洪水、地震及其他自然灾害、战争、骚乱、火灾、政府征用、没收、法律法规变化、突发停电或其他突发事件、证券交易所非正常暂停或停止交易</w:t>
            </w:r>
          </w:p>
        </w:tc>
      </w:tr>
    </w:tbl>
    <w:p>
      <w:pPr>
        <w:pStyle w:val="Heading1"/>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邵文婷女士:多资产研究部副总监、基金经理。英国诺丁汉大学金融与投资硕士、西南财经大学数学与经济学双学士。10年证券投资行业从业经验。2016年加入交银施罗德基金管理有限公司，曾任量化投资部研究员、投资经理，现任多资产研究部副总监、基金经理。曾任交银施罗德定期支付月月丰债券型证券投资基金（2022年11月30日至2024年12月27日）的基金经理。现任交银施罗德中证A500指数增强型发起式证券投资基金（2026年02月10日至今）、交银施罗德中证智选沪深港科技50交易型开放式指数证券投资基金（2025年12月10日至今）、交银施罗德中证港股通央企红利指数型证券投资基金（2025年10月28日至今）、交银施罗德恒生港股通创新药精选指数型证券投资基金（2025年08月20日至今）、交银施罗德中证A50指数型证券投资基金（2025年04月02日至今）、交银施罗德上证科创板100指数型证券投资基金（2025年02月26日至今）、交银施罗德中证A500指数型证券投资基金（2025年01月22日至今）、交银施罗德中证红利低波动100指数型证券投资基金（2024年03月15日至今）、上证180公司治理交易型开放式指数证券投资基金（2021年04月30日至今）、交银施罗德上证180公司治理交易型开放式指数证券投资基金联接基金（2021年04月30日至今）、深证300价值交易型开放式指数证券投资基金（2021年04月30日至今）、交银施罗德深证300价值交易型开放式指数证券投资基金联接基金（2021年04月30日至今）、交银施罗德国证新能源指数证券投资基金（LOF）（2021年04月30日至今）、交银施罗德创业板50指数型证券投资基金（2021年04月30日至今）、交银施罗德中证海外中国互联网指数型证券投资基金(LOF)（2021年04月30日至今）、交银施罗德中证环境治理指数型证券投资基金(LOF)（2021年04月30日至今）的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本基金历任基金经理：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屈乐伟先生（2011年09月22日至2013年03月29日）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蔡铮先生（2012年12月27日至2021年04月30日）</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（5）依照法律法规有关规定，由中国证监会规定禁止的其他行为。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0"/>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（二）基金托管人的内部风险控制制度说明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3、内部控制制度及措施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1、电话提示。对媒体和舆论反映集中的问题，电话提示基金管理人；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3、书面报告。对投资比例超标、清算资金透支以及其他涉嫌违规交易等行为，书面提示有关基金管理人并报中国证监会。</w:t>
      </w:r>
    </w:p>
    <w:p>
      <w:pPr>
        <w:pStyle w:val="Heading1"/>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1、申购赎回代理券商（简称“一级交易商”）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（1）名称：光大证券股份有限公司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住所：上海市静安区新闸路1508号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办公地址：上海市静安区新闸路1508号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电话：（021）22169999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传真：（021）22169134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10108998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网址：www.ebscn.com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（2）名称：国泰海通证券股份有限公司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（3）名称：中信建投证券股份有限公司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（4）名称：招商证券股份有限公司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办公地址：深圳市福田区益田路江苏大厦A座38-45层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法定代表人：朱江涛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电话：（0755）82943666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传真：（0755）82943636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联系人：黄婵君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客户服务电话：400-8888-111，95565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网址：www.newone.com.cn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（5）名称：中国银河证券股份有限公司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法定代表人：陈共炎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电话：010-83574507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联系人：辛国政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网址：www.chinastock.com.cn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（6）名称：申万宏源证券有限公司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办公地址：上海市徐汇区长乐路989号世纪商贸广场45层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法定代表人：杨玉成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电话：（021）33389888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联系人：李清怡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客户服务电话：95523或4008895523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网址：www.sywg.com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（7）名称：兴业证券股份有限公司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住所：福州市湖东路268号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办公地址：上海市浦东新区长柳路36号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法定代表人：杨华辉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021-38565547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联系人：乔琳雪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www.xyzq.com.cn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（8）名称：华泰证券股份有限公司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（9）名称：中信证券（山东）有限责任公司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（10）名称：国都证券股份有限公司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办公地址：北京市东城区东直门南大街3号国华投资大厦9层10层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法定代表人：王少华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客户服务电话：400-818-8118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网址：www.guodu.com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（11）名称：申万宏源西部证券有限公司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住所：新疆乌鲁木齐市建设路2号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办公地址：北京市西城区太平桥大街19号宏源证券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法定代表人：冯戎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电话：（010）88085858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传真：（010）88085195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客户服务电话：4008-000-562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网址：www.hysec.com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（12）名称：中银国际证券股份有限公司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住所：上海市银城中路200号39层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办公地址：中国上海浦东银城中路200号中银大厦39-40层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法定代表人：许刚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客户服务电话：400-620-8888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网址：www.bocichina.com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（13）名称：国信证券股份有限公司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办公地址：深圳市罗湖区红岭中路1012号国信证券大厦16-26楼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法定代表人：张纳沙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电话：（0755）82130833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传真：（0755）82133952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联系人：于智勇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网址：www.guosen.com.cn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（14）名称：国投证券股份有限公司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（15）名称：中泰证券股份有限公司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办公地址：济南市高新区经十路7000号汉峪金融商务中心五区3号楼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电话：（0531）68889155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传真：（0531）68889752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联系人：许曼华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网址：www.zts.com.cn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（16）名称：方正证券股份有限公司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办公地址：湖南长沙芙蓉中路二段华侨国际大厦22-24层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法定代表人：施华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电话：（010）68546765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传真：（010）68546792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网址：www.foundersc.com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（17）名称：平安证券股份有限公司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（18）名称：国金证券股份有限公司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法定代表人：冉云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（19）名称：华宝证券股份有限公司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住所：中国上海市陆家嘴环路166号未来资产大厦27楼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办公地址：中国上海市浦东新区世纪大道100号上海环球金融中心57楼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陈林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电话：（021）68777222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传真：（021）68777822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客户服务电话：400-820-9898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网址：www.cnhbstock.com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（20）名称：渤海证券股份有限公司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住所：天津经济技术开发区第二大街42号写字楼101室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办公地址：天津市南开区宾水西道8号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法定代表人：安志勇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电话：（022）28451991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传真：（022）28451892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联系人：蔡霆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956066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网址：www.ewww.com.cn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（21）名称：信达证券股份有限公司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办公地址：北京市西城区闹市口大街9号院1号楼信达金融中心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法定代表人：张志刚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电话：（010）63081000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传真：（010）63081344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联系人：尹旭航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网址：www.cindasc.com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（22）名称：东方证券股份有限公司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住所：上海市中山南路318号2号楼22层-29层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法定代表人：王益民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电话：（021）63325888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传真：（021）63326173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网址：www.dfzq.com.cn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（23）名称：东兴证券股份有限公司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住所：北京市西城区金融大街5号新盛大厦B座12-15层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法定代表人：徐勇力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电话：（010）66555316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传真：（010）66555246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联系人：汤漫川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400-8888-993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网址：www.dxzq.net</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（24）名称：华福证券股份有限公司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住所：福建省福州市鼓楼区鼓屏路27号1#楼3层、4层、5层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办公地址：福建省福州市鼓楼区鼓屏路27号1#楼3层、4层、5层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法定代表人：黄德良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电话：（0591）87383623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传真：（0591）87383610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客户服务电话：（0591）95547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网址：www.hfzq.com.cn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（25）名称：中原证券股份有限公司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办公地址：郑州市郑东新区商务外环路10号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法定代表人：菅明军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联系人：程月艳 李盼盼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电话：0371-69099881/2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网址：https://www.ccnew.com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（26）名称：中国中金财富证券有限公司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网址：www.ciccwm.com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2、二级市场交易代理券商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包括具有经纪业务资格及上海证券交易所会员资格的所有证券公司。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3、基金管理人可根据有关法律法规的要求，选择其它符合要求的机构代理销售本基金，并在管理人网站公示。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联系人：黎明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经办律师：吕红、黎明</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名称：安永华明会计师事务所（特殊普通合伙）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执行事务合伙人：毛鞍宁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电话：（010）58153000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传真：（010）85188298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联系人：蒋燕华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经办注册会计师：蒋燕华、费泽旭</w:t>
      </w:r>
    </w:p>
    <w:p>
      <w:pPr>
        <w:pStyle w:val="Heading1"/>
        <w:snapToGrid w:val="0"/>
        <w:spacing w:before="240" w:beforeLines="0" w:after="0"/>
        <w:rPr>
          <w:rFonts w:ascii="宋体" w:hAnsi="宋体"/>
          <w:szCs w:val="30"/>
        </w:rPr>
      </w:pPr>
      <w:r>
        <w:br w:type="page"/>
      </w:r>
      <w:bookmarkStart w:id="14" w:name="_Toc256000006"/>
      <w:bookmarkStart w:id="15" w:name="_Toc256000032"/>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本基金由基金管理人依照《基金法》、《运作办法》、基金合同及其他有关规定，并经中国证监会证监许可[2011] 967号文核准募集发售。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本基金为交易型开放式基金。基金存续期间为不定期。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本基金的募集期限不超过3个月，自基金份额开始发售之日起计算。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本基金自2011年8月29日至2011年9月16日止进行发售。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本基金设立募集期共募集332,329,693.00份基金份额，有效认购户数为4,556户。</w:t>
      </w:r>
    </w:p>
    <w:p>
      <w:pPr>
        <w:pStyle w:val="Heading1"/>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根据有关规定，本基金满足基金合同生效条件，基金合同已于2011年9月22日正式生效。自基金合同生效之日起，本基金管理人正式开始管理本基金。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的存续期内，基金份额持有人数量不满200人或者基金资产净值低于5000万元，基金管理人应当及时报告中国证监会；基金份额持有人数量连续20个工作日达不到200人，或连续20个工作日基金资产净值低于5000万元，基金管理人应当及时向中国证监会报告，说明出现上述情况的原因并提出解决方案。法律法规或监管机构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八、基金份额的上市交易</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（一）基金份额的上市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根据有关规定，本基金合同生效后，具备上市条件，于2011年10月25日起在深圳证券交易所上市交易。（二级市场交易代码：159913）。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（二）基金份额的上市交易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本基金基金份额在深圳证券交易所的上市交易需遵照《深圳证券交易所交易规则》、《深圳证券交易所证券投资基金上市规则》、《深圳证券交易所交易型开放式指数基金业务实施细则》等有关规定。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（三）暂停上市交易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基金份额上市交易期间出现下列情形之一的，深圳证券交易所可暂停基金的上市交易，并报中国证监会备案：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1、不再具备本章第(一)款规定的上市条件；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2、违反法律、行政法规，中国证监会决定暂停其上市；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3、严重违反深圳证券交易所有关规则的；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4、深圳证券交易所认为应当暂停上市的其他情形。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当暂停上市情形消除后，基金管理人应向深圳证券交易所提出恢复上市申请，经深圳证券交易所核准后可恢复本基金上市，并在至少一种指定媒介发布基金恢复上市公告。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（四）终止上市交易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基金份额上市交易后，有下列情形之一的，深圳证券交易所可终止基金的上市交易，并报中国证监会备案：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1、自暂停上市之日起半年内未能消除暂停上市原因的；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3、基金份额持有人大会决定终止上市；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4、深圳证券交易所认为应当终止上市的其他情形。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基金管理人应当在收到深圳证券交易所终止基金上市的决定之日起2日内发布基金终止上市公告。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若因上述1、4 项等原因使本基金不再具备上市条件而被深圳证券交易所终止上市的，本基金将在履行适当程序后由交易型开放式基金变更为同一标的指数的非上市的开放式指数基金。若届时本基金管理人已有以该指数作为标的指数的指数基金，则本基金将本着维护投资者合法权益的原则，履行适当的程序后选取其他合适的指数作为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（五）基金份额参考净值（IOPV）的计算与公告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每一交易日开市前向深圳证券交易所提供当日的申购赎回清单，深圳证券交易所在开市后根据申购赎回清单和组合证券内各只证券的实时成交数据，计算并发布基金份额参考净值（IOPV），供投资者交易、申购、赎回基金份额时参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1、基金份额参考净值计算公式为：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参考净值＝（申购赎回清单中必须用现金替代的替代金额＋申购赎回清单中可以用现金替代成份证券的数量与最新成交价相乘之和+申购赎回清单中禁止用现金替代成份证券的数量与最新成交价相乘之和＋申购赎回清单中的预估现金差额）/最小申购赎回单位对应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2、基金份额参考净值的计算以四舍五入的方法保留小数点后3 位。若深圳证券交易所调整有关基金份额参考净值保留位数，本基金将相应调整。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3、基金管理人可以调整基金份额参考净值计算公式，并在管理人网站公示。</w:t>
      </w:r>
    </w:p>
    <w:p>
      <w:pPr>
        <w:pStyle w:val="Heading1"/>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九、基金份额的申购与赎回</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投资者应当在申购赎回代理券商办理基金申购、赎回业务的营业场所或按申购赎回代理券商提供的其他方式办理本基金的申购和赎回。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本基金申购赎回代理券商的名称、住所等信息请详见本招募说明书“五、相关服务机构”中“（一）基金份额销售机构”的相关描述。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基金管理人可依据实际情况增加或减少申购赎回代理券商，并在管理人网站公示。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可办理申购、赎回等业务的开放日为深圳证券交易所的交易日，具体业务办理时间为深圳证券交易所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出现新的证券交易市场、证券交易所交易时间变更或其他特殊情况或实际情况需要，基金管理人将视情况对前述开放日及具体业务办理时间进行相应的调整，但应在实施日前依照《信息披露办法》的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2、申购、赎回的开始日及业务办理时间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本基金可在基金上市交易之前开始办理申购。但在基金申请上市期间，基金可暂停办理申购。具体业务办理时间在申购开始公告中规定。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本基金已于2011年10月25日开放申购、赎回业务，投资者可在开放日的开放时间办理本基金的申购、赎回业务。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（三）申购和赎回的原则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1、本基金采用份额申购和份额赎回的方式，即申购和赎回均以份额申请。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2、本基金的申购对价、赎回对价包括组合证券、现金替代、现金差额及其他对价。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3、申购、赎回申请提交后不得撤销。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4、申购、赎回应遵守深交所《业务细则》的规定。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5、基金管理人可在不损害基金份额持有人实质利益、不违背交易所相关规则的情况下更改上述原则，但最迟应在新的原则实施前依照有关规定在指定媒介上予以公告。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1、申购和赎回的申请的提出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投资者必须按申购赎回代理券商规定的手续，在开放日的具体业务办理时间提出申购或赎回的申请。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在提交申购申请时须根据申购赎回清单备足申购对价要求的组合证券和现金，投资者在提交赎回申请时须持有足够的基金份额余额和赎回对价要求的现金。否则，投资者所提交的申购、赎回的申请无效而不予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申购、赎回申请在受理当日进行确认。如投资者未能提供符合要求的申购对价，则申购申请失败。如投资者持有的符合要求的基金份额不足或未能根据要求准备足额的现金，或本基金投资组合内不具备足额的符合要求的赎回对价，则赎回申请失败。投资者可在申请当日通过其办理申购、赎回的销售网点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3、申购和赎回的清算交收与登记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赎回过程中涉及的基金份额、组合证券、现金替代、现金差额及其他对价的交收适用深圳证券交易所、中国证券登记结算有限责任公司的相关规定和参与各方相关协议的有关规定。投资者T日申购、赎回成功后，注册登记机构在T日收市后为投资者办理组合证券、基金份额的清算交收以及现金替代的清算，在T+1日办理现金替代的交收以及现金差额的清算，在T+2日办理现金差额的交收，并将结果发送给申购赎回代理券商、基金管理人和基金托管人。如深圳证券交易所、中国证券登记结算有限责任公司修改或更新相关规则并适用于本基金的，则按照新的规则执行，并在招募说明书中进行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如果深圳证券交易所、登记结算机构和基金管理人在清算交收时发现不能正常履约的情形，则依据深圳证券交易所、登记结算机构相关业务规则和参与各方相关协议的有关规定进行处理。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投资者申购、赎回的基金份额需为最小申购赎回单位的整数倍。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本基金最小申购赎回单位为30万份。基金管理人可以根据市场情况，调整上述规定的数量或比例限制。基金管理人必须在调整前依照有关规定在指定媒介上公告。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（六）申购、赎回的对价及费用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对价是指投资者申购基金份额时应交付的组合证券、现金替代、现金差额及其他对价。赎回对价是指投资者赎回基金份额时，基金管理人应交付给赎回人的组合证券、现金替代、现金差额及其他对价。申购对价和赎回对价根据申购赎回清单和投资者申购、赎回的基金份额数额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清单由基金管理人编制。T日的申购赎回清单在当日深圳证券交易所开市前公告。T日的基金份额净值在当天收市后计算，并在T+1日公告，计算公式为计算日基金资产净值除以计算日发售在外的基金份额总数。如遇特殊情况，可以适当延迟计算或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3、投资者在申购或赎回基金份额时，申购赎回代理券商可按照不超过申购或赎回份额0.5%的标准收取佣金，其中包含证券交易所、注册登记机构等收取的相关费用。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（七）申购赎回清单的内容与格式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1、申购赎回清单的内容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申购赎回清单公告内容包括最小申购赎回单位所对应的组合证券内各成份证券数据、现金替代、T日现金替代的保证金率、T日允许现金替代的最高比例、T日预估现金差额、T-1日现金差额、基金份额净值及其它相关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2、申购赎回清单组合证券相关内容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组合证券是指本基金标的指数所包含的全部或部分证券。申购赎回清单将公告最小申购赎回单位所对应的各成份证券名称、证券代码及数量。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3、最小申购赎回单位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最小申购赎回单位是基金申购赎回的最基本单位。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4、申购赎回清单现金替代相关内容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现金替代是指申购、赎回过程中，投资者按基金合同和招募说明书的规定，用于替代组合证券中部分证券的一定数量的现金。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（1）现金替代分为3种类型：禁止现金替代（标志为“禁止”）、可以现金替代（标志为“允许”）和必须现金替代（标志为“必须”）。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禁止现金替代是指在申购、赎回基金份额时，该成份证券不允许使用现金作为替代。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可以现金替代是指在申购基金份额时，允许使用现金作为全部或部分该成份证券的替代，但在赎回基金份额时，该成份证券不允许使用现金作为替代。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必须现金替代是指在申购、赎回基金份额时，该成份证券必须使用现金作为替代。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（2）可以现金替代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①适用情形：可以现金替代的证券一般是由于停牌等原因导致投资者无法在申购时买入的证券，或基金管理人认为可以采用现金替代的其他情形。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②替代金额：对于可以现金替代的证券，替代金额的计算公式为：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替代金额＝替代证券数量×该证券经除权调整的T-1日收盘价×（1＋现金替代保证金率）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收取现金替代保证金的原因是,对于使用现金替代的证券，基金管理人需在证券恢复交易后买入，而实际买入价格加上相关交易费用后与申购时的最新价格可能有所差异。为便于操作，基金管理人在申购赎回清单中预先确定现金替代保证金率，并据此收取替代金额。如果预先收取的金额高于基金购入该部分证券的实际成本，则基金管理人将退还多收取的差额；如果预先收取的金额低于基金购入该部分证券的实际成本，则基金管理人将向投资者收取欠缺的差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③替代金额的处理程序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T日，基金管理人在申购赎回清单中公布现金替代保证金率，并据此收取替代金额。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在T日后被替代的成份证券有正常交易的2个交易日（简称为T+2日）内，基金管理人将以收到的替代金额买入被替代的部分证券。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+2日日终，若已购入全部被替代的证券，则以替代金额与被替代证券的实际购入成本（包括买入价格与交易费用）的差额，确定基金应退还投资者或投资者应补交的款项；若未能购入全部被替代的证券，则以替代金额与所购入的部分被替代证券实际购入成本加上按照T+2日收盘价计算的未购入的部分被替代证券价值的差额，确定基金应退还投资者或投资者应补交的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例情况：若自T日起（不含T日），深圳证券交易所正常交易日已达到20日而该证券正常交易日低于2日，则以替代金额与所购入的部分被替代证券实际购入成本加上按照最近一次收盘价计算的未购入的部分被替代证券价值的差额，确定基金应退还投资者或投资者应补交的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若现金替代日（T日）后至T+2日（若在特例情况下，则为T日起第20个交易日）期间发生除息、送股（转增）、配股等权益变动，则进行相应调整。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2日后第1个工作日(若在特例情况下,则为T日起第21个交易日),基金管理人将应退款和补款的明细及汇总数据发送给注册登记机构，注册登记机构办理现金替代多退少补资金的清算；T＋2日后第2个工作日（若在特例情况下，则为T日起第22个交易日），注册登记机构办理现金替代多退少补资金的交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④替代限制：为更有效控制基金的跟踪偏离度和跟踪误差，基金管理人可规定投资者使用可以现金替代的比例合计不得超过申购基金份额资产净值的一定比例。现金替代比例的计算公式为：</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type="#_x0000_t75" style="height:54pt;width:428.25pt">
            <v:imagedata r:id="rId14"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说明：假设当天可以现金替代的股票只数为n。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（3）必须现金替代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①适用情形：必须现金替代的证券一般是由于标的指数调整，即将被剔除的成份证券，或基金管理人出于保护持有人利益等原因认为有必要实行必须现金替代的成份证券。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替代金额：对于必须现金替代的证券，基金管理人将在申购赎回清单中公告替代的一定数量的现金，即“固定替代金额”。固定替代金额的计算方法为申购赎回清单中该证券的数量乘以其经除权调整的T-1日收盘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5、预估现金差额相关内容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预估现金差额是指由基金管理人计算并在T日申购赎回清单中公布的当日现金差额的预估值，预估现金差额由申购赎回代理券商预先冻结。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预估现金差额的计算公式为：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预估现金差额＝T-1日最小申购赎回单位的基金资产净值－（申购赎回清单中必须用现金替代的固定替代金额＋申购赎回清单中可以用现金替代成份证券的数量与T日经除权调整的前收盘价乘积之和＋申购赎回清单中禁止用现金替代成份证券的数量与T日经除权调整的前收盘价乘积之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T日经除权调整的前收盘价由深圳证券交易所提供。另外，若T日为基金分红除息日，则计算公式中的“T-1日最小申购赎回单位的基金资产净值”需扣减相应的收益分配数额。预估现金差额的数值可能为正、为负或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6、申购赎回清单现金差额相关内容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T日现金差额在T+1日的申购赎回清单中公告，其计算公式为：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现金差额＝T日最小申购赎回单位对应的基金份额×T日基金份额净值－（申购赎回清单中必须用现金替代的固定替代金额＋申购赎回清单中可以用现金替代成份证券的数量与T日收盘价相乘之和+申购赎回清单中禁止用现金替代成份证券的数量与T日收盘价相乘之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投资者申购赎回基金份额时，需按T+1日公告的T日现金差额进行资金的清算交收。现金差额的数值可能为正、为负或为零。在投资者申购时，如现金差额为正数，则投资者应根据其申购的基金份额支付相应的现金，如现金差额为负数，则投资者将根据其申购的基金份额获得相应的现金；在投资者赎回时，如现金差额为正数，则投资者将根据其赎回的基金份额获得相应的现金，如现金差额为负数，则投资者应根据其赎回的基金份额支付相应的现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7、申购赎回清单的格式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申购赎回清单的格式举例如下：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基本信息</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最新公告日期</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基金名称</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基金管理公司名称</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交银施罗德基金管理有限公司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基金代码</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标的指数代码</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T-1日信息内容</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现金差额（单位:元）</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最小申购赎回单位资产净值（单位:元）</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基金份额净值（单位:元）</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T日信息内容</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预估现金差额(单位:元)</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最小申购赎回单位(单位:份)</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T日最小申购赎回单位分红金额(单位:元)</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是否需要公布IOPV</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是</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是否允许申购</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允许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是否允许赎回</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允许</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可以现金替代比例上限</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X</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成分股信息内容</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证券代码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证券简称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股票数量</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现金替代标志</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可以现金替代保证金率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固定替代金额</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以上申购赎回清单仅为示例，具体以实际公布的为准。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（八）拒绝或暂停申购的情形及处理方式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发生下列情况时，基金管理人可拒绝或暂停接受投资者的申购申请：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1、因不可抗力导致基金无法正常运作或无法接受申购；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2、因特殊原因（如深圳证券交易所决定临时停市），导致基金管理人无法计算当日基金资产净值；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赎回代理券商、深圳证券交易所、注册登记机构等因异常情况无法办理申购、赎回，或者指数编制单位、深圳证券交易所等因异常情况使申购赎回清单无法编制或编制不当（上述异常情况指基金管理人无法预见并不可控制的情形，包括但不限于系统故障、网络故障、通讯故障、电力故障、数据错误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5、发生本基金合同规定的暂停基金资产估值的情形；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7、法律法规、深圳证券交易所规定或中国证监会认定的其他情形。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发生上述情形之一时，基金管理人应按照有关规定在指定媒介上及时公告。在暂停申购的情况消除时，基金管理人应及时恢复申购业务的办理，并按照有关规定在指定媒介上予以公告。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（九）暂停赎回的情形及处理方式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发生下列情况时，基金管理人可暂停接受投资者的赎回申请：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1、因不可抗力导致基金无法正常运作或无法接受赎回；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2、因特殊原因（如深圳证券交易所决定临时停市），导致基金管理人无法计算当日基金资产净值；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赎回代理券商、深圳证券交易所、注册登记机构等因异常情况无法办理申购、赎回，或者指数编制单位、深圳证券交易所等因异常情况使申购赎回清单无法编制或编制不当（上述异常情况指基金管理人无法预见并不可控制的情形，包括但不限于系统故障、网络故障、通讯故障、电力故障、数据错误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5、发生本基金合同规定的暂停基金资产估值的情形；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6、法律法规、深圳证券交易所规定或中国证监会认定的其他情形。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发生上述情形之一时，基金管理人应按照有关规定在指定媒介上及时公告。在暂停赎回的情况消除时，基金管理人应及时恢复赎回业务的办理，并按照有关规定在指定媒介上予以公告。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（十）基金的非交易过户等其他业务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注册登记机构可依据其业务规则，受理基金份额的非交易过户、冻结与解冻等业务，并收取一定的手续费用。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（十一）集合申购与其他服务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允许时，基金管理人可开放集合申购，即允许多个投资者集合其持有的组合证券，共同构成最小申购赎回单位或其整数倍，进行申购。在不损害基金份额持有人利益的前提下，基金管理人有权制定集合申购业务的相关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在条件允许时，基金管理人也可采取其他合理的申购、赎回方式，并于新的申购、赎回方式开始执行前的至少3个工作日予以公告。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基金管理人指定的代理机构可依据本基金合同开展其他服务，双方需签订书面委托代理协议，并报中国证监会备案。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（十二）基金的份额折算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基金合同生效后，为提高交易便利，本基金可以进行份额折算。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1、基金份额折算的时间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基金管理人应事先确定基金份额折算日，并依照《信息披露办法》的有关规定提前公告。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2、基金份额折算的原则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基金份额折算由基金管理人向注册登记机构申请办理，并由注册登记机构进行基金份额的变更登记。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折算后，本基金的基金份额总额与基金份额持有人持有的基金份额数额将发生调整，但调整后的基金份额持有人持有的基金份额占基金份额总额的比例不发生变化。基金份额折算对基金份额持有人的权益无实质性影响。基金份额折算后，基金份额持有人将按照折算后的基金份额享有权利并承担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如果基金份额折算过程中发生不可抗力，基金管理人可延迟办理基金份额折算。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3、基金份额折算的方法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基金份额折算的具体方法在基金份额折算公告中列示。</w:t>
      </w:r>
    </w:p>
    <w:p>
      <w:pPr>
        <w:pStyle w:val="Heading1"/>
        <w:snapToGrid w:val="0"/>
        <w:spacing w:before="240" w:beforeLines="0" w:after="0"/>
        <w:rPr>
          <w:rFonts w:ascii="宋体" w:hAnsi="宋体"/>
          <w:szCs w:val="30"/>
        </w:rPr>
      </w:pPr>
      <w:r>
        <w:br w:type="page"/>
      </w:r>
      <w:bookmarkStart w:id="22" w:name="_Toc256000010"/>
      <w:bookmarkStart w:id="23" w:name="_Toc256000036"/>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紧密跟踪标的指数，追求跟踪偏离度和跟踪误差最小化。</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（二）投资理念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指数化投资理念，以反映深圳证券市场中规模较大、流动性好、具有明显价值特征的股票整体收益状况的深证300价值价格指数作为标的指数，采用被动式指数化投资实现跟踪偏离度与跟踪误差的最小化，力求帮助投资人以较低的成本获取与标的指数相似的收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标的指数成份股、备选成份股为主要投资对象（含中小板股票和创业板股票及其他经中国证监会核准的上市股票、存托凭证），把全部或接近全部的基金资产用于跟踪标的指数的表现，正常情况下指数化投资比例，即投资于标的指数成份股（含存托凭证）和备选成份股（含存托凭证）的资产比例不低于基金资产净值的95%。此外，为更好地实现投资目标，本基金也可少量投资于新股（含存托凭证）、债券、回购、权证及中国证监会允许基金投资的其它金融工具（但须符合中国证监会的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因标的指数成份股调整、基金份额申购赎回清单内现金替代、现金差额等因素导致基金投资比例不符合上述标准的，基金管理人将在10个交易日内进行调整。法律法规或监管机构日后允许本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本基金绝大部分资产采用完全复制法，跟踪深证300价值价格指数，以完全按照标的指数成份股组成及其权重构建基金股票投资组合为原则，进行被动式指数化投资。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股票在投资组合中的权重原则上根据标的指数成份股及其权重的变动而进行相应调整。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本基金的业绩比较基准为标的指数。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为深证300价值价格指数。深证300价值价格指数是由深圳证券信息公司编制，并以深证300指数为基础开发的风格指数，它以深证300指数的成份股为样本空间，选取采用价值因子评分最高的100只股票为指数的成份股，并于每年1月和7月对指数成份股进行调整。该指数的基期为2004年12月31日，基点为1000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来若出现标的指数不符合要求（不包括因成份股价格波动等指数编制方法变动之外的因素致使标的指数不符合要求的情形）、指数编制机构退出等情形，基金管理人应当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若基金标的指数发生变更，基金业绩比较基准随之变更，由基金管理人根据标的指数变更情形履行对应适当程序，并在调整实施前依照《信息披露办法》的有关规定在中国证监会指定媒介上刊登公告。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本基金属于股票基金，风险与预期收益高于混合基金、债券基金与货币市场基金。同时本基金为指数型基金，具有与标的指数、以及标的指数所代表的股票市场相似的风险收益特征。</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（七）投资决策依据与流程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有关法律法规、基金合同和标的指数的相关规定是基金管理人运用基金财产的决策依据。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2、决策和交易机制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本基金实行投资决策委员会领导下的基金经理负责制。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投资决策委员会的主要职责是决定有关指数重大调整的应对决策、其他重大组合调整决策以及重大的单项投资决策。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基金经理的主要职责是决定日常指数跟踪维护过程中的组合构建、调整决策以及每日申购赎回清单的编制决策。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中央交易室负责交易执行和一线监控。通过严格的交易制度和实时的一线监控功能，保证基金经理的投资指令在合法、合规的前提下得到高效的执行。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3、投资流程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研究、决策、组合构建、交易、评估及组合维护的有机配合共同构成了本基金的投资管理程序。严格的投资管理程序可以保证投资理念的正确执行，避免重大风险的发生。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研究支持：量化投资部依托公司整体研究平台，整合外部信息以及券商等外部研究力量的研究成果开展指数跟踪、成份股公司行为等相关信息的搜集与分析、流动性分析、误差及其归因分析等工作，以作为基金投资决策的重要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(2)投资决策：投资决策委员会定期召开或遇重大事项时召开投资决策会议，决策相关事项。基金经理根据投资决策委员会的决议，每日进行基金投资管理的日常决策。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(3)组合构建：根据标的指数情况，结合研究支持，基金经理以完全复制指数成份股权重的方法构建组合。在追求跟踪误差和偏离度最小化的前提下，基金经理将采取适当的方法，以降低买入成本、控制投资风险。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(4)交易执行：中央交易室负责具体的交易执行，同时履行一线监控的职责。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绩效评估：量化投资部定期和不定期对基金进行投资绩效评估，并提供相关报告。绩效评估能够确认组合是否实现了投资预期、组合误差的来源及投资策略成功与否，基金经理可以据此检讨投资策略，进而调整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组合监控与调整：基金经理将跟踪标的指数变动，结合成份股基本面情况、成份股公司行为、流动性状况、基金申购和赎回的现金、现券流量情况以及组合投资绩效评估的结果等，采取适当的跟踪技术对投资组合进行监控和调整，密切跟踪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基金管理人在确保基金份额持有人利益的前提下有权根据环境变化和实际需要对上述投资管理程序做出调整，并在基金招募说明书更新中公告。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1、投资组合的建立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基金管理人构建投资组合的过程主要分为三步：确定目标组合、确定建仓策略和逐步调整。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(1)确定目标组合：基金管理人根据完全复制成份股权重的方法确定目标组合。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(2)确定建仓策略：基金经理根据对成份股流动性、公司行为、基本面等因素的分析，确定合理的建仓策略。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(3)逐步调整：通过完全复制法最终确定目标组合之后，基金经理在规定时间内采用适当的手段构建和调整实际组合直至达到跟踪指数要求。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2、日常投资组合管理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成份股公司行为信息的跟踪与分析：跟踪标的指数成份股公司行为（如：股本变化、分红、停牌、复牌等）信息，以及成份股公司其它重大信息，分析这些信息对指数的影响，进而进行组合调整分析，为投资决策提供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(2)标的指数的跟踪与分析：由于各种原因，跟踪标的指数的编制方法可能会发生调整，分析这种调整对跟踪标的指数的影响，并制定相应的应对方案。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(3)每日申购赎回情况的跟踪与分析：跟踪本基金申购和赎回信息，分析其对组合的影响。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(4)组合持有证券、现金头寸及流动性分析：基金经理分析实际组合与目标组合的差异及其原因，并进行成份股调整的流动性分析。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(5)组合调整：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1）利用数量化分析方法，找出将实际组合调整到目标组合的最优方案，确定组合调整及交易策略。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2）如发生成份股变动、成份股公司合并及其它重大事项，可提请投资决策委员会召开会议，决定基金的操作策略。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3）调整组合，达到目标组合的持仓结构。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(6)复制标的指数并核对，同时根据最新的公司行为信息预测下一交易日指数结构。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比指数与组合的每日及累计的绩效数据，检测跟踪误差及其趋势。分析由于组合每只股票构成与指数构成的差异导致的跟踪误差的程度与趋势以找出跟踪误差的来源，进而决定需要对组合调整的部分及调整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(8)根据指数跟踪研究结果及当日最新组合情况进行指数分析及组合分析并进行组合调整计算，进而制定下一个交易日的交易内容与策略。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(9)以T-1日指数成份股构成及其权重为基础，考虑T日将会发生的上市公司变动等情况，设计T日申购赎回清单并公告。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3、定期投资组合管理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每月末，根据基金合同中基金管理费、基金托管费等的支付要求，及时检查组合中现金的比例，进行支付现金的准备。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每月末，在基金经理会议上对投资操作、组合、跟踪误差等进行分析。分析最近基金组合与标的指数间的跟踪偏离度情况，找出未能有效控制较大偏离的原因。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每月，投资决策委员会可对基金的操作进行指导与决策。基金经理根据公司投资决策委员会的决策开展下一阶段的工作。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根据标的指数的编制规则及调整公告，基金经理依据投资决策委员会的决策，在指数成份股调整生效前，分析并确定组合调整策略，尽量减少变更成份股带来的跟踪偏离度和跟踪误差。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4、投资绩效评估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(1)定期对基金的绩效评估进行，主要是对跟踪偏离度进行评估；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(2)量化投资部对本基金的运行情况进行量化评估；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(3)基金经理根据量化评估报告，重点分析本基金的偏离度和跟踪误差产生原因、现金的控制情况、标的指数调整成份股前后的操作、未来成份股的变化等。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正常市场情况下，力争控制本基金日均跟踪偏离度的绝对值不超过0.1%，年跟踪误差不超过2%。如因指数编制规则调整或其他因素导致跟踪偏离度和跟踪误差超过上述范围，基金管理人应采取合理措施避免跟踪偏离度、跟踪误差进一步扩大。</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本基金的投资组合将遵循以下限制：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1、进入全国银行间同业市场的债券回购融入的资金余额不得超过基金资产净值的40%。债券回购最长期限为1年，债券回购到期后不得展期；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3、本基金投资权证，在任何交易日买入的总金额，不超过上一交易日基金资产净值的0.5%，基金持有的全部权证的市值不超过基金资产净值的 3%，本基金管理人管理的全部基金持有同一权证的比例不超过该权证的10%。法律法规或监管部门另有规定的，遵从其规定；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5、本基金与私募类证券资管产品及中国证监会认定的其他主体为交易对手开展逆回购交易的，可接受质押品的资质要求应当与本基金合同约定的投资范围保持一致；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三个月内使基金的投资组合比例符合基金合同的约定。在符合相关法律法规规定的前提下，除上述第4、5项以外,因证券市场波动、上市公司合并、基金规模变动、标的指数成分股调整、基金申购或赎回带来现金等非本基金管理人的因素致使基金的投资组合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若法律法规或监管部门对上述约定的投资组合比例限制规定进行变更的，以变更后的规定为准；若法律法规或监管部门取消上述限制，在履行适当程序后，本基金投资可不受上述规定限制。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为维护基金份额持有人的合法权益，本基金禁止从事下列行为：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4、买卖其他基金份额，但是法律法规或国务院另有规定的除外；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5、向基金管理人、基金托管人出资或者买卖基金管理人、基金托管人发行的股票或者债券；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6、买卖与基金管理人、基金托管人有控股关系的股东或者与基金管理人、基金托管人有其他重大利害关系的公司发行的证券或者承销期内承销的证券；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8、依照法律法规有关规定，由中国证监会规定禁止的其他活动。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对于因上述5、6 项情形导致无法投资的标的指数成份股或备选成份股，基金管理人将在严格控制跟踪误差的前提下，结合使用其他合理方法进行适当替代。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若法律法规或监管部门取消上述禁止性规定，履行适当程序后，本基金投资可不受上述规定限制。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（十一）基金管理人代表基金行使股东权利的处理原则及方法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2、不谋求对上市公司的控股，不参与所投资上市公司的经营管理；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（十二）基金的融资、融券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本基金可以根据有关法律法规和政策的规定进行融资、融券。</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（十三）基金投资组合报告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1421"/>
        <w:gridCol w:w="3079"/>
        <w:gridCol w:w="2085"/>
        <w:gridCol w:w="2085"/>
      </w:tblGrid>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65"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4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4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权益投资</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52,626,511.73</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96.20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其中：股票</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52,626,511.73</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96.20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基金投资</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固定收益投资</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其中：债券</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   资产支持证券</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贵金属投资</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金融衍生品投资</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买入返售金融资产</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其中：买断式回购的买入返售金融资产</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银行存款和结算备付金合计</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2,066,288.92</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其他资产</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14,384.79</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6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合计</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54,707,185.44</w:t>
            </w:r>
          </w:p>
        </w:tc>
        <w:tc>
          <w:tcPr>
            <w:tcW w:w="4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注：上述股票投资包括可退替代款估值增值，而5.2的合计项中不含可退替代款估值增值。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报告期末指数投资按行业分类的境内股票投资组合</w:t>
      </w:r>
    </w:p>
    <w:tbl>
      <w:tblPr>
        <w:tblW w:w="5000" w:type="pct"/>
        <w:tblInd w:w="0" w:type="dxa"/>
        <w:tblLayout w:type="fixed"/>
        <w:tblCellMar>
          <w:top w:w="0" w:type="dxa"/>
          <w:left w:w="0" w:type="dxa"/>
          <w:bottom w:w="0" w:type="dxa"/>
          <w:right w:w="0" w:type="dxa"/>
        </w:tblCellMar>
        <w:tblLook w:val="0000"/>
      </w:tblPr>
      <w:tblGrid>
        <w:gridCol w:w="1327"/>
        <w:gridCol w:w="2211"/>
        <w:gridCol w:w="2566"/>
        <w:gridCol w:w="2566"/>
      </w:tblGrid>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50"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58"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43"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农、林、牧、渔业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2,036,535.00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采矿业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491,530.80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0.91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制造业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40,422,838.52</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74.73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电力、热力、燃气及水生产和供应业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1,018,765.88</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建筑业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批发和零售业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交通运输、仓储和邮政业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1,259,205.00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住宿和餐饮业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信息传输、软件和信息技术服务业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356,643.00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0.66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金融业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5,801,007.51</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10.72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房地产业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407,878.98</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0.75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租赁和商务服务业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640,816.00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科学研究和技术服务业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水利、环境和公共设施管理业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180,136.00</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居民服务、修理和其他服务业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教育</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卫生和社会工作</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文化、体育和娱乐业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综合</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43"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合计</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52,615,356.69</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97.27</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报告期末积极投资按行业分类的境内股票投资组合</w:t>
      </w:r>
    </w:p>
    <w:tbl>
      <w:tblPr>
        <w:tblW w:w="5000" w:type="pct"/>
        <w:tblInd w:w="0" w:type="dxa"/>
        <w:tblLayout w:type="fixed"/>
        <w:tblCellMar>
          <w:top w:w="0" w:type="dxa"/>
          <w:left w:w="0" w:type="dxa"/>
          <w:bottom w:w="0" w:type="dxa"/>
          <w:right w:w="0" w:type="dxa"/>
        </w:tblCellMar>
        <w:tblLook w:val="0000"/>
      </w:tblPr>
      <w:tblGrid>
        <w:gridCol w:w="1327"/>
        <w:gridCol w:w="2211"/>
        <w:gridCol w:w="2566"/>
        <w:gridCol w:w="2566"/>
      </w:tblGrid>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50"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58"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43"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农、林、牧、渔业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采矿业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制造业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11,155.04</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电力、热力、燃气及水生产和供应业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建筑业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批发和零售业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交通运输、仓储和邮政业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住宿和餐饮业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信息传输、软件和信息技术服务业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金融业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房地产业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租赁和商务服务业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科学研究和技术服务业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水利、环境和公共设施管理业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居民服务、修理和其他服务业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教育</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卫生和社会工作</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文化、体育和娱乐业</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综合</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35"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合计</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11,155.04</w:t>
            </w:r>
          </w:p>
        </w:tc>
        <w:tc>
          <w:tcPr>
            <w:tcW w:w="5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报告期末指数投资按公允价值占基金资产净值比例大小排序的前十名股票投资明细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294"/>
        <w:gridCol w:w="1294"/>
        <w:gridCol w:w="1294"/>
        <w:gridCol w:w="1294"/>
        <w:gridCol w:w="1467"/>
        <w:gridCol w:w="2027"/>
      </w:tblGrid>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19"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28"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22"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3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47"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000333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美的集团</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63,613</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4,804,689.89</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000725</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京东方A</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429,285</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3,726,193.80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6.89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002594</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比亚迪</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33,400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2,661,980.00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4.92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000651</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格力电器</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56,274</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2,110,275.00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000338</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潍柴动力</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66,256</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1,805,476.00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002415</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海康威视</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48,500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1,658,700.00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000063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中兴通讯</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41,700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1,509,123.00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000100</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TCL科技</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244,500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1,422,990.00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300433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蓝思科技</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25,500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1,368,330.00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002142</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宁波银行</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44,724</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1,327,855.56</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 报告期末积极投资按公允价值占基金资产净值比例大小排序的前五名股票投资明细</w:t>
      </w:r>
    </w:p>
    <w:tbl>
      <w:tblPr>
        <w:tblW w:w="5000" w:type="pct"/>
        <w:tblInd w:w="0" w:type="dxa"/>
        <w:tblLayout w:type="fixed"/>
        <w:tblCellMar>
          <w:top w:w="0" w:type="dxa"/>
          <w:left w:w="0" w:type="dxa"/>
          <w:bottom w:w="0" w:type="dxa"/>
          <w:right w:w="0" w:type="dxa"/>
        </w:tblCellMar>
        <w:tblLook w:val="0000"/>
      </w:tblPr>
      <w:tblGrid>
        <w:gridCol w:w="1294"/>
        <w:gridCol w:w="1294"/>
        <w:gridCol w:w="1294"/>
        <w:gridCol w:w="1294"/>
        <w:gridCol w:w="1467"/>
        <w:gridCol w:w="2027"/>
      </w:tblGrid>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19"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28"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22"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34"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47"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301531</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春光集团</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3,712.32</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301696</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三瑞智能</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3,472.00</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301513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尚水智能</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42</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2,140.32</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301683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慧谷新材</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1,461.24</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19"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001312</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福恩股份</w:t>
            </w:r>
          </w:p>
        </w:tc>
        <w:tc>
          <w:tcPr>
            <w:tcW w:w="2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369.16</w:t>
            </w:r>
          </w:p>
        </w:tc>
        <w:tc>
          <w:tcPr>
            <w:tcW w:w="4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2025年11月25日,央行宁波市分行公示甬银罚决字[2025]18号行政处罚决定书,给予宁波银行股份有限公司98.8万元人民币的行政处罚。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遵循指数化投资理念，绝大部分资产采用完全复制法跟踪指数，以完全按照标的指数成份股组成及其权重构建基金股票投资组合为原则，进行被动式指数化投资。本基金对上述主体发行证券的投资遵守本基金管理人基金投资管理相关制度及被动式指数化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1461"/>
        <w:gridCol w:w="2046"/>
        <w:gridCol w:w="5163"/>
      </w:tblGrid>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42"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106" w:type="dxa"/>
            <w:tcBorders>
              <w:top w:val="single" w:sz="4" w:space="0" w:color="auto"/>
              <w:left w:val="single" w:sz="4" w:space="0" w:color="auto"/>
              <w:bottom w:val="single" w:sz="4" w:space="0" w:color="auto"/>
              <w:right w:val="single" w:sz="4" w:space="0" w:color="auto"/>
            </w:tcBorders>
            <w:shd w:val="clear" w:color="auto" w:fill="D9D9D9"/>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存出保证金</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14,384.79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应收证券清算款</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应收股利</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应收利息</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应收申购款</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其他应收款</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其他</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42"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合计</w:t>
            </w:r>
          </w:p>
        </w:tc>
        <w:tc>
          <w:tcPr>
            <w:tcW w:w="10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14,384.79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报告期末指数投资前十名股票中存在流通受限情况的说明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报告期末积极投资前五名股票中存在流通受限情况的说明</w:t>
      </w:r>
    </w:p>
    <w:tbl>
      <w:tblPr>
        <w:tblW w:w="5000" w:type="pct"/>
        <w:tblInd w:w="0" w:type="dxa"/>
        <w:tblLayout w:type="fixed"/>
        <w:tblCellMar>
          <w:top w:w="0" w:type="dxa"/>
          <w:left w:w="0" w:type="dxa"/>
          <w:bottom w:w="0" w:type="dxa"/>
          <w:right w:w="0" w:type="dxa"/>
        </w:tblCellMar>
        <w:tblLook w:val="0000"/>
      </w:tblPr>
      <w:tblGrid>
        <w:gridCol w:w="1369"/>
        <w:gridCol w:w="1369"/>
        <w:gridCol w:w="1369"/>
        <w:gridCol w:w="1643"/>
        <w:gridCol w:w="1369"/>
        <w:gridCol w:w="1551"/>
      </w:tblGrid>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流通受限部分的公允价值（元）</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流通受限情况</w:t>
            </w:r>
            <w:r>
              <w:rPr>
                <w:rFonts w:ascii="宋体" w:hAnsi="宋体"/>
                <w:color w:val="000000"/>
                <w:kern w:val="0"/>
                <w:sz w:val="24"/>
                <w:szCs w:val="24"/>
              </w:rPr>
              <w:br/>
              <w:t>说明</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301531</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春光集团</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3,712.32</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301696</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三瑞智能</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3,472.00</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301513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尚水智能</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2,140.32</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301683</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慧谷新材</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1,461.24</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1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21"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001312</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福恩股份</w:t>
            </w:r>
          </w:p>
        </w:tc>
        <w:tc>
          <w:tcPr>
            <w:tcW w:w="36"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369.16</w:t>
            </w:r>
          </w:p>
        </w:tc>
        <w:tc>
          <w:tcPr>
            <w:tcW w:w="28"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c>
          <w:tcPr>
            <w:tcW w:w="34"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阶段</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净值增长率①</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净值增长率标准差②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业绩比较基准收益率③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业绩比较基准收益率标准差④</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①-③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过去三个月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2025年度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12.45%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9.28%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3.17%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2024年度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14.93%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2023年度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2022年度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-19.79%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-22.15%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2.36%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2021年度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2020年度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20.32%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17.05%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3.27%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2019年度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53.97%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52.38%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2018年度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-28.74%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-29.72%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2017年度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32.47%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32.11%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0.91%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2016年度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-9.28%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2015年度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15.34%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2014年度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45.96%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44.92%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2013年度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-2.82%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-3.33%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2012年度</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4.91%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2011年度（自基金合同生效起至2011年12月31日）</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-19.19%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-0.36%</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注：本基金的业绩比较基准为深证300价值价格指数。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深证300价值交易型开放式指数证券投资基金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(2011年09月22日至2026年06月30日)</w:t>
      </w:r>
    </w:p>
    <w:p>
      <w:pPr>
        <w:autoSpaceDE w:val="0"/>
        <w:autoSpaceDN w:val="0"/>
        <w:adjustRightInd w:val="0"/>
        <w:snapToGrid w:val="0"/>
        <w:spacing w:after="0" w:line="360" w:lineRule="auto"/>
        <w:jc w:val="center"/>
        <w:rPr>
          <w:rFonts w:ascii="宋体" w:hAnsi="宋体"/>
          <w:szCs w:val="24"/>
        </w:rPr>
      </w:pPr>
      <w:r>
        <w:rPr>
          <w:rFonts w:ascii="宋体" w:hAnsi="宋体"/>
          <w:kern w:val="0"/>
          <w:sz w:val="24"/>
        </w:rPr>
        <w:pict>
          <v:shape id="_x0000_i1027" type="#_x0000_t75" style="height:268.27pt;width:439.5pt">
            <v:imagedata r:id="rId15"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注：本基金建仓期为自基金合同生效日起的3个月。截至建仓期结束，本基金各项资产配置比例符合基金合同及招募说明书有关投资比例的约定。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8"/>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基金资产总值是指基金拥有的各类有价证券、银行存款本息、基金应收款项以及其他资产的价值总和。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基金资产净值是指基金资产总值减去基金负债后的净资产值。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以基金名义开立银行存款账户，以基金托管人的名义开立证券交易清算资金的结算备付金账户，以基金托管人和本基金联名的方式开立基金证券账户，以本基金的名义开立银行间债券托管账户。开立的基金专用账户与基金管理人、基金托管人、基金销售机构和注册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(四)基金财产的处分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独立于基金管理人、基金托管人和代销机构的固有财产，并由基金托管人保管。基金管理人、基金托管人因基金财产的管理、运用或者其他情形而取得的财产和收益归入基金财产。基金管理人、基金托管人可以按基金合同的约定收取管理费、托管费以及基金合同约定的其他费用。基金管理人、基金托管人以其自有财产承担法律责任，其债权人不得对基金财产行使请求冻结、扣押和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基金财产的债权，不得与基金管理人、基金托管人固有财产的债务相抵销；不同基金财产的债权债务，不得相互抵销。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除依据《基金法》、基金合同及其他有关规定处分外，基金财产不得被处分。非因基金财产本身承担的债务，不得对基金财产强制执行。</w:t>
      </w:r>
    </w:p>
    <w:p>
      <w:pPr>
        <w:pStyle w:val="Heading1"/>
        <w:snapToGrid w:val="0"/>
        <w:spacing w:before="240" w:beforeLines="0" w:after="0"/>
        <w:rPr>
          <w:rFonts w:ascii="宋体" w:hAnsi="宋体"/>
          <w:szCs w:val="30"/>
        </w:rPr>
      </w:pPr>
      <w:r>
        <w:br w:type="page"/>
      </w:r>
      <w:bookmarkStart w:id="28" w:name="_Toc256000013"/>
      <w:bookmarkStart w:id="29" w:name="_Toc256000039"/>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（一）估值目的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基金资产的估值目的是客观、准确地反映基金资产是否保值、增值，并为基金份额提供计价依据。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本基金的估值日为相关的证券交易场所的正常交易日，以及国家法律法规规定需要对外披露基金净值的非交易日。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基金依法拥有的股票、债券、权证及其他基金资产和负债。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上市流通股票按估值日其所在证券交易所的收盘价估值；估值日无交易的，以最近交易日的收盘价估值。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小项规定的方法对基金资产进行估值，均应被认为采用了适当的估值方法。但是，如果基金管理人认为按本项第（1）－（3）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2、债券估值方法：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证券交易所市场挂牌交易且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任何情况下，基金管理人如采用本项第（1）－（6）小项规定的方法对基金资产进行估值，均应被认为采用了适当的估值方法。但是，如果基金管理人认为按本项第（1）－（6）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3、权证估值方法：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任何情况下，基金管理人如采用本项第（1）－（3）项规定的方法对基金资产进行估值，均应被认为采用了适当的估值方法。但是，如果基金管理人认为按本项第（1）－（3）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4、衍生品及其他有价证券等资产按国家有关规定进行估值。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本基金的基金会计责任方由基金管理人担任。因此，就与本基金有关的会计问题，如经相关各方在平等基础上充分讨论后，仍无法达成一致的意见，基金管理人有权按照其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日常估值由基金管理人进行。基金份额净值由基金管理人完成估值后，将估值结果以书面形式报给基金托管人，基金托管人按基金合同规定的估值方法、时间、程序进行复核，基金托管人复核无误后签章返回给基金管理人，由基金管理人依据本基金合同和有关法律法规的规定予以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注册登记机构或代销机构或投资者自身的过错造成差错，导致其他当事人遭受损失的，差错的责任人应当对由于该差错遭受损失的当事人（“受损方”）按下述“差错处理原则”给予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差错的主要类型包括但不限于：资料申报差错、数据传输差错、数据计算差错、系统故障差错、下达指令差错等；对于因技术原因引起的差错，若系同行业现有技术水平不能预见、不能避免、不能克服，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由于不可抗力原因造成投资者的交易资料灭失或被错误处理或造成其他差错，因不可抗力原因出现差错的当事人不对其他当事人承担赔偿责任，但因该差错取得不当得利的当事人仍应负有返还不当得利的义务。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差错已发生，但尚未给当事人造成损失时，差错责任方应及时协调各方，及时进行更正，因更正差错发生的费用由差错责任方承担；由于差错责任方未及时更正已产生的差错，给当事人造成损失的，由差错责任方承担；若差错责任方已经积极协调，并且有协助义务的当事人有足够的时间进行更正而未更正，则其应当承担相应赔偿责任。差错责任方应对更正的情况向有关当事人进行确认，确保差错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（2）差错的责任方对可能导致有关当事人的直接损失负责，不对间接损失负责，并且仅对差错的有关直接当事人负责，不对第三方负责；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差错而获得不当得利的当事人负有及时返还不当得利的义务。但差错责任方仍应对差错负责。如果由于获得不当得利的当事人不返还或不全部返还不当得利造成其他当事人的利益损失，则差错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差错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（4）差错调整采用尽量恢复至假设未发生差错的正确情形的方式；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差错责任方拒绝进行赔偿时，如果因基金管理人的行为造成基金财产损失时，基金托管人应为基金的利益向基金管理人追偿，如果因基金托管人的行为造成基金财产损失时，基金管理人应为基金的利益向基金托管人追偿。基金管理人和基金托管人之外的第三方造成基金财产的损失，并拒绝进行赔偿时，由基金管理人负责向差错方追偿，追偿过程中产生的有关费用，由责任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如果出现差错的当事人未按规定对受损方进行赔偿，并且依据法律法规、基金合同或其他规定，基金管理人自行或依据法院判决、仲裁裁决对受损方承担了赔偿责任，则基金管理人有权向有责任的当事人进行追索，并有权要求其赔偿或补偿由此发生的费用和遭受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（7）按法律法规规定的其他原则处理差错。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3、差错处理程序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差错被发现后，有关的当事人应当及时进行处理，处理的程序如下：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（1）查明差错发生的原因，列明所有的当事人，并根据差错发生的原因确定差错的责任方；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（2）根据差错处理原则或当事人协商的方法对因差错造成的损失进行评估；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（3）根据差错处理原则或当事人协商的方法由差错的责任方进行更正和赔偿损失；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（4）根据差错处理的方法，需要修改基金注册登记机构交易数据的，由基金注册登记机构进行更正，并就差错的更正向有关当事人进行确认。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4、基金份额净值差错处理的原则和方法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当错误达到或超过基金资产净值的0.25%时，基金管理人应当及时通知基金托管人并报中国证监会；错误偏差达到基金份额净值的0.5%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 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 若基金管理人计算的基金份额净值已由基金托管人复核确认后公告，基金份额净值出错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 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 由于基金管理人提供的信息错误（包括但不限于基金申购或赎回金额等），基金托管人在履行了正常的复核程序后仍不能发现该错误，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（4）前述内容如法律法规或者监管部门另有规定的，从其规定。如果行业有通行做法，双方当事人应本着平等和保护基金份额持有人利益的原则进行协商。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3、占基金相当比例的投资品种的估值出现重大转变，而基金管理人为保障基金份额持有人的利益，决定延迟估值；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用于基金信息披露的基金资产净值和基金份额净值由基金管理人负责计算，基金托管人负责进行复核。基金管理人应于每个工作日交易结束后将当日的净值计算结果发送给基金托管人。基金托管人对净值计算结果复核确认后发送给基金管理人，由基金管理人依据本基金合同和有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基金份额净值的计算精确到0.001元，小数点后第四位四舍五入。国家另有规定的，从其规定。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1、基金管理人或基金托管人按股票估值方法的第（4）项、债券估值方法的第（7）项、权证估值方法的第（4）项进行估值时，所造成的误差不作为基金资产估值错误处理。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证券交易所或注册登记公司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由此造成的影响。</w:t>
      </w:r>
    </w:p>
    <w:p>
      <w:pPr>
        <w:pStyle w:val="Heading1"/>
        <w:snapToGrid w:val="0"/>
        <w:spacing w:before="240" w:beforeLines="0" w:after="0"/>
        <w:rPr>
          <w:rFonts w:ascii="宋体" w:hAnsi="宋体"/>
          <w:szCs w:val="30"/>
        </w:rPr>
      </w:pPr>
      <w:r>
        <w:br w:type="page"/>
      </w:r>
      <w:bookmarkStart w:id="30" w:name="_Toc256000014"/>
      <w:bookmarkStart w:id="31" w:name="_Toc256000040"/>
      <w:r>
        <w:rPr>
          <w:rFonts w:ascii="宋体" w:hAnsi="宋体"/>
          <w:sz w:val="30"/>
        </w:rPr>
        <w:t>十四、基金的收益与分配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 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本基金收益分配应遵循下列原则：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1、本基金的每份基金份额享有同等分配权；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2、当基金净值增长率超过标的指数同期增长率达到1%以上时，可进行收益分配；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于本基金的性质和特点，本基金收益分配不须以弥补浮动亏损为前提，收益分配后有可能使除息后的基金份额净值低于面值，即基金收益分配基准日的基金份额净值减去每单位基金份额收益分配金额后可能低于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4、本基金收益每年最多分配12次，每次基金收益分配比例依据以下原则确定：使收益分配后基金份额净值增长率尽可能贴近标的指数同期增长率；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5、本基金收益分配采取现金分红方式；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6、法律法规或监管机构另有规定的从其规定。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在不影响投资者利益的情况下，基金管理人可在法律法规允许的前提下酌情调整以上基金收益分配原则，并于变更实施日前在指定媒介上公告。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(三)基金收益分配数额的确定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1、在收益评价日，基金管理人计算基金净值增长率和标的指数同期增长率，并计算基金净值增长率与标的指数同期净值增长率的差额，当差额超过1%时，基金管理人有权进行收益分配。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2、根据前述收益分配原则确定收益评价日本基金的收益分配比例及收益分配数额。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1、本基金收益分配方案由基金管理人拟定、由基金托管人复核，依照《信息披露办法》的有关规定在指定媒介公告。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收益分配的发放日距离收益分配基准日的时间不超过15个工作日。在分配方案公布后(依据具体方案的规定)，基金管理人就支付的现金红利向基金托管人发送划款指令，基金托管人按照基金管理人的指令及时进行分红资金的划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3、法律法规或监管机关另有规定的，从其规定。</w:t>
      </w:r>
    </w:p>
    <w:p>
      <w:pPr>
        <w:pStyle w:val="Heading1"/>
        <w:snapToGrid w:val="0"/>
        <w:spacing w:before="240" w:beforeLines="0" w:after="0"/>
        <w:rPr>
          <w:rFonts w:ascii="宋体" w:hAnsi="宋体"/>
          <w:szCs w:val="30"/>
        </w:rPr>
      </w:pPr>
      <w:r>
        <w:br w:type="page"/>
      </w:r>
      <w:bookmarkStart w:id="32" w:name="_Toc256000015"/>
      <w:bookmarkStart w:id="33" w:name="_Toc256000041"/>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4、基金上市费及年费；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7、基金合同生效后与基金有关的会计师费和律师费；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8、基金的证券交易费用；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9、基金财产拨划支付的银行费用；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10、按照国家有关规定可以在基金财产中列支的其他费用。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在通常情况下，基金管理费按前一日基金资产净值0.5%的年费率计提。计算方法如下：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H＝E×年管理费率÷当年天数，本基金年管理费率为0.5%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按月支付。由基金管理人向基金托管人发送基金管理费划付指令，经基金托管人复核后于次月首日起3个工作日内从基金财产中一次性支付给基金管理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在通常情况下，基金托管费按前一日基金资产净值0.1%的年费率计提。计算方法如下：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H＝E×年托管费率÷当年天数，本基金年托管费率为0.1%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按月支付。由基金管理人向基金托管人发送基金托管费划付指令，经基金托管人复核后于次月首日起3个工作日内从基金财产中一次性支付给基金托管人，若遇法定节假日、休息日，支付日期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（3）上述“(一) 基金费用的种类”中第3到10项费用由基金托管人根据其他有关法律法规及相应协议的规定，按费用支出金额支付，列入或摊入当期基金费用。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因未履行或未完全履行义务导致的费用支出或基金财产的损失，以及处理与基金运作无关的事项发生的费用等不列入基金费用。基金募集期间所发生的信息披露费、律师费和会计师费以及其他费用不从基金财产中支付，基金收取认购费的，可以从认购费中列支。标的指数许可使用费由基金管理人承担，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和基金托管人可根据基金发展情况调整基金管理费率和基金托管费率。降低基金管理费率和基金托管费率，无须召开基金份额持有人大会。基金管理人必须依照有关规定最迟于新的费率实施日前在指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基金和基金份额持有人根据国家法律法规的规定，履行纳税义务。</w:t>
      </w:r>
    </w:p>
    <w:p>
      <w:pPr>
        <w:pStyle w:val="Heading1"/>
        <w:snapToGrid w:val="0"/>
        <w:spacing w:before="240" w:beforeLines="0" w:after="0"/>
        <w:rPr>
          <w:rFonts w:ascii="宋体" w:hAnsi="宋体"/>
          <w:szCs w:val="30"/>
        </w:rPr>
      </w:pPr>
      <w:r>
        <w:br w:type="page"/>
      </w:r>
      <w:bookmarkStart w:id="34" w:name="_Toc256000016"/>
      <w:bookmarkStart w:id="35" w:name="_Toc256000042"/>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(一)基金的会计政策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2、本基金的会计年度为公历每年的1月1日至12月31日；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3、本基金的会计核算以人民币为记账本位币，以人民币元为记账单位；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4、会计制度执行国家有关的会计制度；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6、基金管理人及基金托管人分别保留完整的会计账目、凭证并进行日常的会计核算，按照有关规定编制基金会计报表；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7、基金托管人定期与基金管理人就基金的会计核算、报表编制等进行核对并书面确认。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(二)基金的审计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1、基金管理人聘请具有从事证券、期货相关相关业务资格的会计师事务所及其注册会计师对本基金年度财务报表及其他规定事项进行审计。会计师事务所及其注册会计师与基金管理人、基金托管人相互独立。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2、会计师事务所更换经办注册会计师时，应事先征得基金管理人同意。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3、基金管理人认为有充足理由更换会计师事务所，须通报基金托管人。更换会计师事务所需按照《信息披露办法》的有关规定在指定媒介公告。</w:t>
      </w:r>
    </w:p>
    <w:p>
      <w:pPr>
        <w:pStyle w:val="Heading1"/>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(三)本基金信息披露义务人在承诺公开披露的基金信息时，不得有下列行为：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4、诋毁其他基金管理人、基金托管人或者基金份额销售机构；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1、招募说明书、基金合同、托管协议、基金产品资料概要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基金募集申请经中国证监会核准后，基金管理人在基金份额发售3日前，将招募说明书、基金合同摘要登载在指定报刊和网站上；基金管理人、基金托管人应当将基金合同、托管协议登载在网站上。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招募说明书应当最大限度地披露影响基金投资者决策的全部事项，说明基金认购、申购和赎回安排、基金投资、基金产品特性、风险揭示、信息披露及基金份额持有人服务等内容。本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基金管理人应当就基金份额发售的具体事宜编制基金份额发售公告，并在披露招募说明书的当日登载于指定报刊和网站上。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基金管理人应当在本基金合同生效的次日在指定报刊和网站上登载基金合同生效公告。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4、基金份额折算公告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基金管理人确定基金份额折算日，并至少提前3个工作日将基金份额折算日公告登载于指定报刊和网站上。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基金份额进行折算并由注册登记机构完成基金份额的变更登记后，基金管理人将在3个工作日内将基金份额折算结果公告登载于指定报刊和网站上。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5、基金开始申购、赎回公告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基金管理人应于申购开始日、赎回开始日前在指定报刊和网站上公告。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6、基金份额上市交易公告书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基金份额获准在证券交易所上市交易的，基金管理人应当在基金份额上市交易3个工作日前，将基金份额上市交易公告书登载在指定报刊和网站上。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7、基金净值信息公告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本基金合同生效后，在开始办理基金份额申购或者赎回前，基金管理人应当至少每周在指定网站披露一次基金份额净值和基金份额累计净值。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在开始办理基金份额申购或者赎回后，基金管理人应当在不晚于每个开放日的次日，通过指定网站、基金销售机构网站或者营业网点披露开放日的基金份额净值和基金份额累计净值。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基金管理人应当在不晚于半年度和年度最后一日的次日，在指定网站披露半年度和年度最后一日的基金份额净值和基金份额累计净值。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8、申购赎回清单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在开始办理基金份额申购或者赎回之后，基金管理人应当在每个开放日，通过指定网站、申购赎回代理机构网站或者营业网点公告当日的申购赎回清单。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于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（16）基金份额净值计价错误达基金份额净值百分之零点五；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（20）基金变更标的指数；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（21）基金暂停上市、恢复上市或终止上市；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（七）本基金信息披露事项以法律法规规定及本章节约定的内容为准。</w:t>
      </w:r>
    </w:p>
    <w:p>
      <w:pPr>
        <w:pStyle w:val="Heading1"/>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基金分为股票基金、混合基金、债券基金、货币市场基金等不同类型，投资者投资不同类型的基金将获得不同的收益预期，也将承担不同程度的风险。一般来说，基金的收益预期越高，投资者承担的风险也越大。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认真阅读基金合同、招募说明书、基金产品资料概要等基金法律文件，了解基金的风险收益特征，并根据自身的投资目的、投资期限、投资经验、资产状况等判断基金是否和投资者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应当充分了解基金定期定额投资和零存整取等储蓄方式的区别。定期定额投资是引导投资者进行长期投资、平均投资成本的一种简单易行的投资方式。但是定期定额投资并不能规避基金投资所固有的风险，不能保证投资者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者基金投资的“买者自负”原则，在做出投资决策后，基金运营状况与基金净值变化引致的投资风险，由投资者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（二）投资本基金的特有风险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1、标的指数回报与股票市场平均回报偏离的风险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标的指数并不能完全代表整个股票市场。标的指数成份股的平均回报率与整个股票市场的平均回报率可能存在偏离。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2、标的指数波动的风险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标的指数成份股的价格可能受到政治因素、经济因素、上市公司经营状况、投资者心理和交易制度等各种因素的影响而波动，导致指数波动，从而使基金收益水平发生变化，产生风险。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3、基金投资组合回报与标的指数回报偏离的风险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以下因素可能使基金投资组合的收益率与标的指数的收益率发生偏离：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1)由于标的指数调整成份股或变更编制方法，使本基金在相应的组合调整中产生跟踪偏离度与跟踪误差。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2)由于标的指数成份股发生配股、增发等行为导致成份股在标的指数中的权重发生变化，使本基金在相应的组合调整中产生跟踪偏离度和跟踪误差。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3)标的指数成份股派发现金红利、新股市值配售收益将导致基金收益率超过标的指数收益率，产生正的跟踪偏离度。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4)由于标的指数成份股停牌、摘牌或流动性差等原因使本基金无法及时调整投资组合或承担冲击成本而产生跟踪偏离度和跟踪误差。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5)因法律法规的限制或其他限制，本基金可能不能投资于部分标的指数成分股。在使用替代方法，如投资同行业中相关性较高的股票以替代上述投资受限股票时，会产生一定的跟踪偏离度和跟踪误差。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6）基金有投资成本、各种费用及税收，而指数编制不考虑费用和税收，这将导致基金收益率落后于标的指数收益率，产生负的跟踪偏离度。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7)在本基金指数化投资过程中，基金管理人的管理能力，例如跟踪指数的水平、技术手段、买入卖出的时机选择等，都会对本基金的收益产生影响，从而影响本基金对标的指数的跟踪程度。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其他因素产生的偏离。如因受到最低买入股数的限制，基金投资组合中个别股票的持有比例与标的指数中该股票的权重可能不完全相同；因缺乏卖空、对冲机制及其他工具造成的指数跟踪成本较大；因基金申购与赎回带来的现金变动；因指数发布机构指数编制错误等，由此产生跟踪偏离度与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4、标的指数变更的风险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尽管可能性很小，但根据基金合同规定，如出现变更标的指数的情形，本基金将变更标的指数。基于原标的指数的投资政策将会改变，投资组合将随之调整，基金的收益风险特征将与新的标的指数保持一致，投资者须承担此项调整带来的风险与成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5、跟踪误差控制未达约定目标的风险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本基金力争控制本基金日均跟踪偏离度的绝对值不超过0.1%，年跟踪误差不超过2%。但因标的指数编制规则调整或其他因素可能导致跟踪误差超过上述范围，本基金净值表现与指数价格走势可能发生较大偏离。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6、指数编制机构停止服务的风险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由指数编制机构发布并管理和维护，未来指数编制机构可能由于各种原因停止对指数的管理和维护，本基金将根据基金合同的约定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投资人将面临更换基金标的指数、转换运作方式，与其他基金合并或者终止基金合同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7、成份股停牌的风险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标的指数成份股可能因各种原因临时或长期停牌，发生成份股停牌时可能面临如下风险：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（1）基金可能因无法及时调整投资组合而导致跟踪偏离度和跟踪误差扩大。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（2）停牌成份股可能因其权重占比、市场复牌预期、现金替代标识等因素影响本基金二级市场价格的折溢价水平。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成份股停牌时间较长，在约定时间内仍未能及时买入或卖出的，则该部分款项将按照约定方式进行结算（具体见招募说明书“九、基金份额的申购与赎回”之“（七）申购赎回清单的内容与格式”相关约定），由此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极端情况下，标的指数成份股可能大面积停牌，基金可能无法及时卖出成份股以获取足额的符合要求的赎回对价，由此基金管理人可能采取在申购赎回清单中设置较低的赎回份额上限或者暂停赎回的措施，投资者将面临无法赎回全部或部分基金份额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当标的指数成份股发生明显负面事件面临退市，且指数编制机构暂未作出调整的，基金管理人应当按照持有人利益优先的原则，履行内部决策程序后及时对相关成份股进行调整，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8、基金份额二级市场交易价格折溢价的风险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尽管本基金将通过有效的套利机制使基金份额二级市场交易价格的折溢价控制在一定范围内，但基金份额在证券交易所的交易价格受诸多因素影响，存在不同于基金份额净值的情形，即存在价格折溢价的风险。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9、参考IOPV决策和IOPV计算错误的风险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交易所在开市后根据申购赎回清单和组合证券内各只证券的实时成交数据，计算并发布基金份额参考净值(IOPV)，供投资者交易、申购、赎回基金份额时参考。IOPV与实时的基金份额净值可能存在差异，IOPV计算可能出现错误，投资者若参考IOPV进行投资决策可能导致损失，需投资者自行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因本基金不再符合证券交易所上市条件被终止上市，或被基金份额持有人大会决议提前终止上市，导致基金份额不能继续进行二级市场交易的风险。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11、投资者申购失败的风险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申购赎回清单中，可能仅允许对部分成份股使用现金替代，且设置现金替代比例上限，因此，投资者在进行申购时，可能存在因个别成份股涨停、临时停牌等原因而无法买入申购所需的足够的成份股，导致申购失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12、投资者赎回失败的风险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投资者在提出赎回申请时，如基金组合中不具备足额的符合条件的赎回对价，可能导致赎回失败的情形。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能根据成份股市值规模变化等因素调整最小申购赎回单位，由此可能导致投资者按原最小申购赎回单位申购并持有的基金份额，可能无法按照新的最小申购赎回单位全部赎回，而只能在二级市场卖出全部或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13、基金份额赎回对价的变现风险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本基金赎回对价主要为组合证券，在组合证券变现过程中，由于市场变化、部分成份股流动性差等因素，导致投资者变现后的价值与赎回时赎回对价的价值有差异，存在变现风险。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暂停接受赎回申请、延缓支付赎回款项、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1、第三方机构服务的风险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本基金的多项服务委托第三方机构办理，存在以下风险：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1)申购赎回代理券商因多种原因，导致代理申购、赎回业务受到限制、暂停或终止，由此影响对投资者申购赎回服务的风险。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2)注册登记机构可能调整结算制度，对投资者基金份额、组合证券及资金的结算方式发生变化，制度调整可能给投资者带来理解偏差的风险。同样的风险还可能来自于证券交易所及其他代理机构。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3)证券交易所、注册登记机构、基金托管人及其他代理机构可能违约，导致基金或投资者利益受损的风险。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2、管理风险与操作风险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等相关当事人的业务发展状况、人员配备、管理水平与内部控制等对基金收益水平存在影响。因业务扩张过快、行业内过度竞争、对主要业务人员过度依赖等可能会产生影响投资者利益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相关当事人在业务各环节操作过程中，可能因内部控制存在缺陷或者人为因素造成操作失误或违反操作规程等引致风险，例如，申购赎回清单编制错误、越权违规交易、欺诈行为及交易错误等风险。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3、技术风险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在本基金的投资、交易、服务与后台运作等业务过程中，可能因为技术系统的故障或差错导致投资者的利益受到影响。这种技术风险可能来自基金管理人、基金托管人、证券交易所、注册登记机构及代销机构等。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4、不可抗力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战争、自然灾害等不可抗力可能导致基金资产有遭受损失的风险。基金管理人、基金托管人、证券交易所、注册登记机构和代销机构等可能因不可抗力无法正常工作，从而影响基金的各项业务按正常时限完成。</w:t>
      </w:r>
    </w:p>
    <w:p>
      <w:pPr>
        <w:pStyle w:val="Heading1"/>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十九、基金合同的终止与基金财产的清算</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(1)基金合同终止后，成立基金清算小组，基金清算小组在中国证监会的监督下进行基金清算。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(2)基金清算小组成员由基金管理人、基金托管人、具有从事证券相关业务资格的注册会计师、律师以及中国证监会指定的人员组成。基金清算小组可以聘用必要的工作人员。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(3)基金清算小组负责基金财产的保管、清理、估价、变现和分配。基金清算小组可以依法进行必要的民事活动。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(1)基金合同终止时，由基金清算小组统一接管基金财产；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(3)对基金财产进行估价和变现；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(7)将基金清算结果报告中国证监会；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(8)公布基金清算报告；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清算费用是指基金清算小组在进行基金清算过程中发生的所有合理费用，清算费用由基金清算小组优先从基金财产中支付。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4、基金财产按下列顺序清偿：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(1)支付清算费用；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(2)交纳所欠税款；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(3)清偿基金债务；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基金财产未按前款(1)－(3)项规定清偿前，不分配给基金份额持有人。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公告于基金合同终止并报中国证监会备案后5个工作日内由基金清算小组公告；清算过程中的有关重大事项须及时公告；基金财产清算结果经会计师事务所审计，律师事务所出具法律意见书后，由基金财产清算小组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基金财产清算账册及有关文件由基金托管人保存15年以上。</w:t>
      </w:r>
    </w:p>
    <w:p>
      <w:pPr>
        <w:pStyle w:val="Heading1"/>
        <w:snapToGrid w:val="0"/>
        <w:spacing w:before="240" w:beforeLines="0" w:after="0"/>
        <w:rPr>
          <w:rFonts w:ascii="宋体" w:hAnsi="宋体"/>
          <w:szCs w:val="30"/>
        </w:rPr>
      </w:pPr>
      <w:r>
        <w:br w:type="page"/>
      </w:r>
      <w:bookmarkStart w:id="42" w:name="_Toc256000020"/>
      <w:bookmarkStart w:id="43" w:name="_Toc256000046"/>
      <w:r>
        <w:rPr>
          <w:rFonts w:ascii="宋体" w:hAnsi="宋体"/>
          <w:sz w:val="30"/>
        </w:rPr>
        <w:t>二十、基金合同内容摘要</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（一）基金合同当事人的权利与义务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根据《基金法》及其他有关法律法规，基金管理人的权利为：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（1）自本基金合同生效之日起，依照有关法律法规和本基金合同的规定独立运用基金财产；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（2）依照本基金合同获得基金管理费以及法律法规规定或中国证监会批准的其他收入；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（3）根据法律法规和基金合同之规定销售基金份额；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（4）根据法律法规和基金合同的规定制定基金收益分配方案；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（5）依照有关规定为基金的利益行使因基金财产投资于证券所产生的权利；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（6）在符合有关法律法规、交易所及注册登记结构相关业务规则和本基金合同的前提下，决定基金的除调高托管费和管理费之外的费率结构和收费方式；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根据本基金合同及有关规定监督基金托管人，对于基金托管人违反了本基金合同或有关法律法规规定的行为，对基金财产、其他基金当事人的利益造成重大损失的情形，应及时呈报中国证监会和中国银监会，并采取必要措施保护基金及相关基金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（8）在基金合同约定的范围内，拒绝或暂停受理申购、赎回申请；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（9）自行担任基金注册登记机构或选择、更换注册登记机构，并对注册登记机构的代理行为进行必要的监督和检查；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（10）选择、更换代销机构，并依据销售代理协议和有关法律法规，对其行为进行必要的监督和检查；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（14）选择、更换律师事务所、会计师事务所、证券经纪商或其他为基金提供服务的外部机构；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（15）根据国家有关规定，在法律法规允许的前提下，以基金的名义依法为基金融资、融券；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（16）法律法规、基金合同以及依据基金合同制定的其它法律文件规定的其他权利。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根据《基金法》及其他有关法律法规，基金管理人的义务为：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（1）依法募集基金，办理或者委托经由中国证监会认定的其他机构代为办理基金份额的发售、申购、赎回和注册登记事宜；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（3）自基金合同生效之日起，以诚实信用、勤勉尽责的原则管理和运用基金财产；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（8）计算并公告基金净值信息，确定基金份额申购赎回清单；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（9）采取适当合理的措施使计算基金份额认购价格以及申购、赎回对价的方法符合基金合同等法律文件的规定；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（10）按规定受理基金份额的申购和赎回申请，及时、足额支付申购的应付基金份额和现金及赎回之对价；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（14）保守基金商业秘密，不得泄露基金投资计划、投资意向等。除《基金法》、基金合同及其他有关规定另有规定外，在基金信息公开披露前应予保密，不得向他人泄露；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（21）基金托管人违反基金合同造成基金财产损失时，应为基金份额持有人利益向基金托管人追偿；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（22）按规定向基金托管人提供基金份额持有人名册资料；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（27）依照法律法规为基金的利益对被投资公司行使股东权利，为基金的利益行使因基金财产投资于证券所产生的权利，不谋求对上市公司的控股和直接管理；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根据《基金法》及其他有关法律法规，基金托管人的权利为：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（1）依照基金合同的约定获得基金托管费；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（2）监督基金管理人对本基金的投资运作；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（3）自本基金合同生效之日起，依照法律法规和基金合同、托管协议的规定保管基金财产；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（4）在基金管理人更换时，提名新任基金管理人；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根据本基金合同及有关规定监督基金管理人，对于基金管理人违反本基金合同或有关法律法规规定的行为，对基金财产、其他基金合同当事人的利益造成重大损失的情形，应及时呈报中国证监会，并采取必要措施保护基金及相关基金合同当事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（6）依法提议召开或召集基金份额持有人大会；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（7）按规定取得基金份额持有人名册；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根据《基金法》及其他有关法律法规，基金托管人的义务为：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基金财产分别设置账户，独立核算，分账管理，保证不同基金之间在名册登记、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（7）保守基金商业秘密。除《基金法》、基金合同及其他有关规定另有规定外，在基金信息公开披露前应予保密，不得向他人泄露；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（9）保存基金托管业务活动的记录、账册、报表和其他相关资料不少于15年；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（12）复核、审查基金管理人计算的基金资产净值、基金份额净值和基金份额申购、赎回对价；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（13）按照规定监督基金管理人的投资运作；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（15）依据基金管理人的指令或有关规定向基金份额持有人支付基金收益和交付赎回对价；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（16）按照规定召集基金份额持有人大会或配合基金管理人、基金份额持有人依法自行召集基金份额持有人大会；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（17）因违反基金合同导致基金财产损失，应承担赔偿责任，其赔偿责任不因其退任而免除；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（18）按规定监督基金管理人按照法律法规规定和基金合同履行其义务，基金管理人因违反基金合同造成基金财产损失时，应为基金向基金管理人追偿；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（19）根据本基金合同和托管协议规定建立并保存基金份额持有人名册；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（20）参加基金财产清算组，参与基金财产的保管、清理、估价、变现和分配；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（21）面临解散、依法被撤销、破产或者由接管人接管其资产时，及时报告中国证监会和中国银监会，并通知基金管理人；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（23）法律法规、基金合同规定的以及中国证监会要求的其他义务。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自依招募说明书、基金合同取得基金份额即成为基金份额持有人和基金合同当事人，直至其不再持有本基金的基金份额，其持有基金份额的行为本身即表明其对基金合同的完全承认和接受。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（3）依法转让或者申请赎回其持有的基金份额；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（8）对基金管理人、基金托管人、基金份额代销机构损害其合法权益的行为依法提起诉讼；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（9）法律法规和基金合同规定的其他权利。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根据《基金法》、《运作办法》及其他有关法律法规，基金份额持有人的义务包括但不限于：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（1）遵守法律法规、基金合同及其他有关规定；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（2）缴纳基金认购款项和认购股票、应付申购对价和赎回对价及缴纳法律法规、基金合同和招募说明书规定的费用；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（4）不从事任何有损基金及其他基金份额持有人合法权益的活动；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（5）执行生效的基金份额持有人大会决议；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（6）遵守基金管理人、基金托管人及销售机构和注册登记机构的相关交易及业务规则；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（7）返还在基金交易过程中因任何原因，自基金管理人、基金托管人、代销机构以及其他基金份额持有人处获得的不当得利；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（8）法律法规和基金合同规定的其他义务。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4、本基金合同当事人各方的权利义务以本基金合同为依据，不因基金财产账户名称而有所改变。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鉴于本基金和本基金的联接基金（即“交银施罗德深证300价值交易型开放式指数证券投资基金联接基金”，以下简称“联接基金”）的相关性，本基金联接基金的基金份额持有人可以凭所持有的联接基金份额出席或者委派代表出席本基金的份额持有人大会并参与表决。在计算参会份额和计票时，联接基金持有人持有的享有表决权的基金份额数和表决票数为，在本基金基金份额持有人大会的权益登记日，联接基金持有本基金份额的总数乘以该持有人所持有的联接基金份额占联接基金总份额的比例，计算结果按照四舍五入的方法，保留到整数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经基金管理人、基金托管人或持有基金份额10%以上(“以上”含本数，下同)的基金份额持有人(以基金管理人收到提议当日的基金份额计算，下同)提议时，应当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4)变更基金投资目标、投资范围或投资策略（法律法规和中国证监会另有规定的除外）；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5)变更基金份额持有人大会议事程序；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6)更换基金管理人、基金托管人；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7)提高基金管理人、基金托管人的报酬标准。但根据法律法规的要求提高该等报酬标准的除外；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 终止基金上市，但因基金不再具备上市条件而被深圳证券交易所终止上市的除外；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10)对基金合同当事人权利、义务产生重大影响，需召开基金份额持有人大会的变更基金合同等其他事项；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11)法律法规、基金合同或中国证监会规定的其他情形。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（2）出现以下情形之一的，可由基金管理人和基金托管人协商后修改，不需召开基金份额持有人大会：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1)调低基金管理费、基金托管费等其他应由基金或基金份额持有人承担的费用；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3)在法律法规和本基金合同规定的范围内调整基金的申购费率、调低赎回费率、变更或增加收费方式；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4)因相应的法律法规、深圳证券交易所或者注册登记机构的相关业务规则发生变动必须对基金合同进行修改；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3、召集人和召集方式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（1）除法律法规或本基金合同另有约定外，基金份额持有人大会由基金管理人召集。基金管理人未按规定召集或者不能召集时，由基金托管人召集。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自行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代表基金份额10%以上的基金份额持有人认为有必要召开基金份额持有人大会的，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的基金份额持有人就同一事项要求召开基金份额持有人大会，而基金管理人、基金托管人都不召集的，代表基金份额10%以上的基金份额持有人有权自行召集基金份额持有人大会，但应当至少提前30日向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集人(以下简称“召集人”)负责选择确定开会时间、地点、方式和权益登记日。召开基金份额持有人大会，召集人必须于会议召开日前40日在指定媒介公告。基金份额持有人大会通知须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1)会议召开的时间、地点和出席方式；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2)会议拟审议的主要事项；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8)会务常设联系人姓名、电话；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用通讯方式开会并进行表决的情况下，由召集人决定通讯方式和书面表决方式，并在会议通知中说明本次基金份额持有人大会所采取的具体通讯方式、委托的公证机关及其联系方式和联系人、书面表决意见的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书面表决意见的计票进行监督；如召集人为基金托管人，则应另行书面通知基金管理人到指定地点对书面表决意见的计票进行监督；如召集人为基金份额持有人，则应另行书面通知基金管理人和基金托管人到指定地点对书面表决意见的计票进行监督。基金管理人或基金托管人拒不派代表对书面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1)基金份额持有人大会的召开方式包括现场开会、通讯方式开会或法律法规和监管机关允许的其他方式。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2)现场开会由基金份额持有人本人出席或通过授权委托证明委派其代理人出席，现场开会时基金管理人和基金托管人的授权代表应当出席，基金管理人或基金托管人拒不派代表出席的，不影响表决效力。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3)通讯方式开会指按照本基金合同的相关规定以通讯的书面方式进行表决。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（2）召开基金份额持有人大会的条件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在同时符合以下条件时，现场会议方可举行：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①经核对、汇总，到会者出示的在权益登记日持有基金份额的凭证显示，全部有效凭证所对应的基金份额应占权益登记日基金总份额的50%以上；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亲自出席会议者持有基金份额持有人凭证和受托出席会议者出具的委托人持有基金份额的凭证及授权委托证明等文件符合有关法律法规和基金合同及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未能满足上述条件的情况下，则召集人可另行确定并公告重新开会的时间(至少应在25个工作日后)和地点，但确定有权出席会议的基金份额持有人资格的权益登记日不变。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在同时符合以下条件时，通讯会议方可举行：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①召集人按本基金合同规定公布会议通知后，在2个工作日内连续公布相关提示性公告；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召集人在基金托管人(如果基金托管人为召集人，则为基金管理人)和公证机关的监督下按照会议通知规定的方式收取和统计基金份额持有人的书面表决意见，基金管理人或基金托管人经通知拒不参加收取和统计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③本人直接出具书面意见或授权他人代表出具书面意见的基金份额持有人所代表的基金份额应占权益登记日基金总份额的50%以上；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直接出具书面意见的基金份额持有人或受托代表他人出具书面意见的代表，同时提交的持有基金份额的凭证和受托出席会议者出具的委托人持有基金份额的凭证和授权委托证明等文件符合法律法规、基金合同和会议通知的规定，并与注册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如果开会条件达不到上述的条件，则召集人可另行确定并公告重新表决的时间(至少应在25个工作日后)，且确定有权出席会议的基金份额持有人资格的权益登记日不变。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3)在法律法规或监管机构允许的情况下，经会议通知载明，基金份额持有人也可以采用网络、电话或其他方式进行表决，或者采用网络、电话或其他方式授权他人代为出席会议并表决。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1)议事内容为本基金合同规定的召开基金份额持有人大会事由所涉及的内容以及会议召集人认为需提交基金份额持有人大会讨论的其他事项。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单独或合并持有权益登记日本基金总份额10%以上的基金份额持有人可以在大会召集人发出会议通知前就召开事由向大会召集人提交需由基金份额持有人大会审议表决的提案；也可以在会议通知发出后向大会召集人提交临时提案，临时提案应当在大会召开日前35日提交召集人。召集人对于临时提案应当在大会召开日前30日公告。否则，会议的召开日期应当顺延并保证至少与临时提案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3)对于基金份额持有人提交的提案(包括临时提案)，大会召集人应当按照以下原则对提案进行审核：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关联性。大会召集人对于基金份额持有人提案涉及事项与基金有直接关系，并且不超出法律法规和基金合同规定的基金份额持有人大会职权范围的，应提交大会审议；对于不符合上述要求的，不提交基金份额持有人大会审议。如果召集人决定不将基金份额持有人提案提交大会表决，应当在该次基金份额持有人大会上进行解释和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程序性。大会召集人可以对基金份额持有人的提案涉及的程序性问题作出决定。如将其提案进行分拆或合并表决，需征得原提案人同意；原提案人不同意变更的，大会主持人可以就程序性问题提请基金份额持有人大会作出决定，并按照基金份额持有人大会决定的程序进行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单独或合并持有权益登记日基金总份额10%以上的基金份额持有人提交基金份额持有人大会审议表决的提案、基金管理人或基金托管人提交基金份额持有人大会审议表决的提案，未获基金份额持有人大会审议通过，就同一提案再次提请基金份额持有人大会审议，其时间间隔不少于6个月。法律法规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5)基金份额持有人大会的召集人发出召开会议的通知后，如果需要对原有提案进行修改，应当最迟在基金份额持有人大会召开日前30日公告。否则，会议的召开日期应当顺延并保证至少与公告日期有30日的间隔期。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在现场开会的方式下，首先由大会主持人按照规定程序宣布会议议事程序及注意事项，确定和公布监票人，然后由大会主持人宣读提案，经讨论后进行表决，经合法执业的律师见证后形成大会决议。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大会由基金管理人授权代表主持。在基金管理人授权代表未能主持大会的情况下，由基金托管人授权代表主持；如果基金管理人和基金托管人授权代表均未能主持大会，则由出席大会的基金份额持有人和代理人以所代表的基金份额50%以上多数选举产生一名代表作为该次基金份额持有人大会的主持人。基金管理人和基金托管人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召集人应当制作出席会议人员的签名册。签名册载明参加会议人员姓名(或单位名称)、身份证号码、持有或代表有表决权的基金份额、委托人姓名(或单位名称)等事项。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表决开会的方式下，首先由召集人提前30日公布提案，在所通知的表决截止日期第2个工作日在公证机构和基金托管人(如果基金托管人为召集人，则为基金管理人)监督下由召集人统计全部有效表决并形成决议，基金管理人或基金托管人经通知拒不参加收取和统计书面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7、决议形成的条件、表决方式、程序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（1）基金份额持有人所持每一基金份额享有平等的表决权。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一般决议须经出席会议的基金份额持有人及其代理人所持表决权的50%以上通过方为有效，除下列2)所规定的须以特别决议通过事项以外的其他事项均以一般决议的方式通过；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特别决议须经出席会议的基金份额持有人及代理人所持表决权的三分之二以上通过方为有效；更换基金管理人、更换基金托管人、转换基金运作方式、终止基金合同必须以特别决议通过方为有效。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（3）基金份额持有人大会决定的事项，应当依法报中国证监会核准，或者备案，并予以公告。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采取通讯方式进行表决时，除非在计票时有充分的相反证据证明，否则表面符合法律法规和会议通知规定的书面表决意见即视为有效的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基金份额持有人大会由基金管理人或基金托管人召集，则基金份额持有人大会的主持人应当在会议开始后宣布在出席会议的基金份额持有人和代理人中推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推举3名基金份额持有人担任监票人。基金管理人或基金托管人不出席大会的，不影响计票的效力及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会议主持人对于提交的表决结果有怀疑，可以对投票数进行重新清点；如会议主持人未进行重新清点，而出席会议的基金份额持有人或代理人对会议主持人宣布的表决结果有异议，其有权在宣布表决结果后立即要求重新清点，会议主持人应当立即重新清点并公布重新清点结果。重新清点仅限一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（2）通讯方式开会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方式开会的情况下，计票方式为：由大会召集人授权的两名监督员在基金托管人授权代表(如果基金托管人为召集人，则为基金管理人授权代表)的监督下进行计票，并由公证机关对其计票过程予以公证。基金管理人或基金托管人不派代表监督计票的，不影响计票效力及表决结果。但基金管理人或基金托管人应当至少提前两个工作日通知召集人，由召集人邀请无直接利害关系的第三方担任监督计票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9、基金份额持有人大会决议报中国证监会核准或备案后的公告时间、方式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通过的一般决议和特别决议，召集人应当自通过之日起5日内报中国证监会核准或者备案。基金份额持有人大会决定的事项自中国证监会依法核准或者出具无异议意见之日起生效，并在生效后方可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（2）生效的基金份额持有人大会决议对全体基金份额持有人、基金管理人、基金托管人均有约束力。基金管理人、基金托管人和基金份额持有人应当执行生效的基金份额持有人大会的决定。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（3）基金份额持有人大会决议应自生效之日起2日内在指定媒介公告。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（4）如果采用通讯方式进行表决，在公告基金份额持有人大会决议时，必须将公证书全文、公证机关、公证员姓名等一同公告。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（三）基金合同的变更与终止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（1）按照法律法规或本基金合同的规定，对基金合同的变更应当召开基金份额持有人大会的，基金合同变更的内容应经基金份额持有人大会决议通过，并依法报中国证监会核准，自中国证监会核准之日起生效。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（2）但出现下列情况时，可不经基金份额持有人大会决议，由基金管理人和基金托管人同意变更后公布经修订的基金合同，并报中国证监会备案：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1)调低基金管理费、基金托管费等其他应由基金或基金份额持有人承担的费用；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3)在法律法规和本基金合同规定的范围内调整基金的申购费率、调低赎回费率、变更或增加收费方式；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4)因相应的法律法规、深圳证券交易所或者注册登记机构的相关业务规则发生变动必须对基金合同进行修改；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5)基金合同的修改不涉及本基金合同当事人权利义务关系发生重大变化；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6)基金合同的修改对基金份额持有人利益无实质性不利影响；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7)按照法律法规或本基金合同规定不需召开基金份额持有人大会的其他情形。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有下列情形之一的，本基金合同经中国证监会核准后将终止：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（3）基金管理人职责终止，而在6个月内没有新的基金管理人承接的；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（4）基金托管人职责终止，而在6个月内没有新的基金托管人承接的；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（四）争议的处理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本基金合同产生或与本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本基金合同正本一式六份，除上报相关监管部门两份外，基金管理人和基金托管人各持有两份。每份均具有同等的法律效力。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本基金合同可印制成册，供基金投资者在基金管理人和基金托管人办公场所查阅。基金合同条款及内容应以基金合同正本为准。</w:t>
      </w:r>
    </w:p>
    <w:p>
      <w:pPr>
        <w:pStyle w:val="Heading1"/>
        <w:snapToGrid w:val="0"/>
        <w:spacing w:before="240" w:beforeLines="0" w:after="0"/>
        <w:rPr>
          <w:rFonts w:ascii="宋体" w:hAnsi="宋体"/>
          <w:szCs w:val="30"/>
        </w:rPr>
      </w:pPr>
      <w:r>
        <w:br w:type="page"/>
      </w:r>
      <w:bookmarkStart w:id="44" w:name="_Toc256000021"/>
      <w:bookmarkStart w:id="45" w:name="_Toc256000047"/>
      <w:r>
        <w:rPr>
          <w:rFonts w:ascii="宋体" w:hAnsi="宋体"/>
          <w:sz w:val="30"/>
        </w:rPr>
        <w:t>二十一、托管协议的内容摘要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 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注册资本：贰亿元人民币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办公地址：北京市西城区复兴门内大街28号凯晨世贸中心东座九层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邮政编码：100031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基金托管资格批准文号：中国证监会证监基字[1998]23号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经营范围：吸收公众存款；发放短期、中期、长期贷款；办理国内外结 算；办理票据承兑与贴现；发行金融债券；代理发行、代理兑付、承销政府债券；买卖政府债券、金融债券；从事同业拆借；买卖、代理买卖外汇；结汇、售汇；从事银行卡业务；提供信用证服务及担保；代理收付款项及代理保险业务；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 券投资托管业务；代理开放式基金业务；电话银行、手机银行、网上银行业务；金融衍生产品交易业务；经国务院银行业监督管理机构等监管部门批准的其他业务。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以深证300价值价格指数（简称“标的指数”）成份股、备选成份股为主要投资对象（含中小板股票和创业板股票及其他经中国证监会核准的上市股票、存托凭证），把全部或接近全部的基金资产用于跟踪标的指数的表现，正常情况下指数化投资比例，即投资于标的指数成份股（含存托凭证）和备选成份股（含存托凭证）的资产比例不低于基金资产净值的95%。此外，为更好地实现投资目标，本基金也可少量投资于新股（含存托凭证）、债券、回购、权证及中国证监会允许基金投资的其它金融工具（但须符合中国证监会的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因标的指数成份股调整、基金份额申购赎回清单内现金替代、现金差额等因素导致基金投资比例不符合上述标准的，基金管理人将在10个交易日内进行调整。法律法规或监管机构日后允许本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2、基金托管人根据有关法律法规的规定及基金合同的约定，对基金投资、融资、融券比例进行监督。基金托管人按下述比例和调整期限进行监督：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（1）进入全国银行间同业市场的债券回购融入的资金余额不超过基金资产净值的40%。债券回购最长期限为１年，债券回购到期后不得展期；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权证，在任何交易日买入权证的总金额，不得超过上一交易日基金资产净值的0.5%；本基金持有的全部权证，其市值不得超过基金资产净值的3%；本基金与本基金管理人管理的其他基金持有的同一权证，不得超过该权证的10%；法律法规或监管部门另有规定的，遵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（4）本基金持有一家公司发行的流通受限证券，其市值不得超过基金资产净值的2%；本基金持有的所有流通受限证券，其市值不得超过该基金资产净值的15%；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（6）本基金不得违反基金合同中有关投资范围、投资策略、投资比例的规定；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（7）法律法规或监管部门对上述比例限制另有规定的，从其规定。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三个月内使基金的投资组合比例符合基金合同的约定。在符合相关法律法规规定的前提下，因证券市场波动、上市公司合并、基金规模变动、标的指数成分股调整、基金申购或赎回带来现金等基金管理人之外的因素致使基金投资组合比例不符合上述规定的投资比例的，基金管理人应当在10个交易日内进行调整。法律法规或监管部门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若法律法规或监管部门对上述约定的投资组合比例限制规定进行变更的，以变更后的规定为准；若法律法规或监管部门取消上述限制，在履行适当程序后，本基金投资可不受上述规定限制。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基金托管人对基金投资的监督和检查自基金合同生效之日起开始。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协议第十五条第九项基金投资禁止行为进行监督。基金托管人通过事后监督方式对基金管理人基金投资禁止行为和关联交易进行监督。根据法律法规有关基金禁止从事关联交易的规定，基金管理人和基金托管人相互提供与本机构有控股关系的股东、与本机构有其他重大利害关系的公司名单及有关关联方交易证券名单。基金管理人和基金托管人有责任确保关联交易名单的真实性、准确性、完整性，并负责及时将更新后的名单发送给对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托管人发现基金管理人与关联交易名单中列示的关联方进行法律法规禁止基金从事的关联交易时，基金托管人应及时提醒并协助基金管理人采取必要措施阻止该关联交易的发生，如基金托管人采取必要措施后仍无法阻止关联交易发生时，基金托管人有权向中国证监会报告。对于基金管理人已成交的关联交易，如基金托管人事前已严格遵循了监督流程仍无法阻止该关联交易的发生，而只能按相关法律法规和交易所规则进行事后结算，则基金托管人不承担由此造成的损失，并应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每半年对银行间债券市场交易对手名单进行更新，如基金管理人根据市场情况需要临时调整银行间债券市场交易对手名单，应向基金托管人说明理由，在与交易对手发生交易前1个工作日内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5、基金托管人根据有关法律法规的规定及基金合同的约定，对基金管理人选择存款银行进行监督。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本基金投资银行存款应符合如下规定：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发现基金管理人在选择存款银行时有违反有关法律法规的规定及基金合同的约定的行为，应及时以书面形式通知基金管理人在10个工作日内纠正。基金管理人对基金托管人通知的违规事项未能在10个工作日内纠正的，基金托管人应报告中国证监会。基金托管人发现基金管理人有重大违规行为，应立即报告中国证监会，同时通知基金管理人在10个工作日内纠正或拒绝结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如果基金管理人未经基金托管人的审核擅自将不实的业绩表现数据印制在宣传推介材料上，则基金托管人对此不承担任何责任，并将在发现后立即报告中国证监会。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（1）基金投资流通受限证券，应遵守《关于规范基金投资非公开发行证券行为的紧急通知》、《关于基金投资非公开发行股票等流通受限证券有关问题的通知》等有关法律法规规定。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通受限证券，包括由《上市公司证券发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（4）在投资流通受限证券之前，基金管理人应至少提前一个交易日向基金托管人提供有关非公开定向增发流通受限证券的相关信息，具体应当包括但不限于如下文件（如有）：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任何责任，并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保证基金投资的受限证券登记存管在本基金名下，并确保基金托管人能够正常查询。因基金管理人原因产生的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果基金管理人未按照本协议的约定向基金托管人报送相关数据或者报送了虚假的数据，导致基金托管人不能履行托管人职责的，基金管理人应依法承担相应法律后果。除基金托管人未能依据法律法规、基金合同及本协议履行职责外，因投资流通受限证券产生的损失，基金托管人在履行其监督职责后不承担上述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应在下一工作日及时核对并以书面形式给基金托管人发出回函，就基金托管人的疑义进行解释或举证，说明违规原因及纠正期限，并保证在规定期限内及时改正。在上述规定期限内,基金托管人有权随时对通知事项进行复查, 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和证券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 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（四）基金财产保管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（3）基金托管人按照规定开设基金财产的资金账户和证券账户。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（4）基金托管人对所托管的不同基金财产分别设置账户，与基金托管人的其他业务和其他基金的托管业务实行严格的分帐管理，确保基金财产的完整与独立。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申购、赎回、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任何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募集的资金应当存入基金管理人在具有托管资格的商业银行开设的基金认购专户及中国证券登记结算有限责任公司深圳分公司预先开立的认购专户，募集的股票由发售代理机构予以冻结，并在募集结束后划入中国证券登记结算有限责任公司深圳分公司预先开立的组合证券认购专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募集到的全部资金划入基金托管人为基金开立的基金托管资金账户，网下股票认购所募集到的股票划入以基金托管人和基金联名方式开立的证券账户下，同时在规定时间内，聘请具有从事证券相关业务资格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（3）若基金募集期限届满，未能达到基金合同生效的条件，由基金管理人按规定办理退款和募集股票解冻等事宜，基金托管人应提供充分协助。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（1）基金托管人应负责本基金的资金账户的开设和管理。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可以本基金的名义在其营业机构开设本基金的资金账户，并根据基金管理人合法合规的指令办理资金收付。本基金的银行预留印鉴由基金托管人保管和使用。本基金的一切货币收支活动，包括但不限于投资、支付或收取现金差额、支付或收取现金替代款、支付或收取现金替代款的多退少补、支付基金收益，均需通过本基金的资金账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（4）基金托管资金账户的开立和管理应符合相关法律法规的有关规定。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5、投资人申购或赎回时现金替代、现金差额的查收与划付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基金托管人应根据注册登记机构的交收指令办理本基金因申购、赎回产生的现金替代、现金差额的结算。现金替代的退款和补款由基金管理人负责办理。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的有关规定，以基金的名义在中央国债登记结算有限责任公司开立债券托管与结算账户，并代表基金进行银行间市场债券的结算。基金管理人和基金托管人同时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（1）因业务发展需要而开立的其他账户，可以根据法律法规和基金合同的规定，在基金管理人和基金托管人商议后由基金托管人负责开立。新账户按有关规则使用并管理。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由基金管理人、基金托管人保管。除协议另有规定外，基金管理人在代表基金签署与基金有关的重大合同时应保证基金一方持有两份以上的正本，以便基金管理人和基金托管人至少各持有一份正本的原件。重大合同的保管期限为基金合同终止后15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（五）基金资产净值计算和会计复核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1、基金资产净值的计算及复核程序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基金资产净值是指基金资产总值减去负债后的金额。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基金份额净值是指基金资产净值除以基金份额总数。基金份额净值的计算，精确到0.001元，小数点后第四位四舍五入，由此产生的误差计入基金财产。国家另有规定的，从其规定。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每工作日计算基金资产净值及基金份额净值，并按规定公告。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基金管理人每工作日对基金资产进行估值后，将基金份额净值结果发送基金托管人，经基金托管人复核无误后，由基金管理人依据基金合同和有关法律法规的规定对外公布。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2、基金资产估值方法和特殊情形的处理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基金依法拥有的股票、债券、权证及其他基金资产和负债。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上市流通股票按估值日其所在证券交易所的收盘价估值；估值日无交易的，以最近交易日的收盘价估值。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②未上市股票的估值：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a.首次发行未上市的股票，采用估值技术确定公允价值，在估值技术难以可靠计量公允价值的情况下，按成本价估值；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b.送股、转增股、配股和公开增发新股等发行未上市的股票，按估值日在证券交易所上市的同一股票的市价进行估值；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c.首次公开发行有明确锁定期的股票，同一股票在交易所上市后，按估值日在证券交易所上市的同一股票的市价进行估值；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d.非公开发行的且在发行时明确一定期限锁定期的股票，按监管机构或行业协会有关规定确定公允价值。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在任何情况下，基金管理人如采用本项第①－③小项规定的方法对基金资产进行估值，均应被认为采用了适当的估值方法。但是，如果基金管理人认为按本项第①－③小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2）债券估值方法：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在证券交易所市场挂牌交易且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估值；如果估值日无交易，且最近交易日后经济环境发生了重大变化的，将参考类似投资品种的现行市价及重大变化因素，调整最近交易日收盘价，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③首次发行未上市债券采用估值技术确定的公允价值进行估值，在估值技术难以可靠计量公允价值的情况下，按成本估值。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④交易所以大宗交易方式转让的资产支持证券，采用估值技术确定公允价值，在估值技术难以可靠计量公允价值的情况下，按成本进行后续计量。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⑤在全国银行间债券市场交易的债券、资产支持证券等固定收益品种，采用估值技术确定公允价值。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⑥同一债券同时在两个或两个以上市场交易的，按债券所处的市场分别估值。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⑦在任何情况下，基金管理人如采用本项第①－⑥小项规定的方法对基金资产进行估值，均应被认为采用了适当的估值方法。但是，如果基金管理人认为按本项第①－⑥小项规定的方法对基金资产进行估值不能客观反映其公允价值的，基金管理人在综合考虑市场成交价、市场报价、流动性、收益率曲线等多种因素基础上形成的债券估值，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⑧国家有最新规定的，按其规定进行估值。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3）权证估值方法：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基金持有的权证，从持有确认日起到卖出日或行权日止，上市交易的权证按估值日在证券交易所挂牌的该权证的收盘价估值；估值日没有交易的，且最近交易日后经济环境未发生重大变化，按最近交易日的收盘价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②首次发行未上市的权证，采用估值技术确定公允价值，在估值技术难以可靠计量公允价值的情况下，按成本估值。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③因持有股票而享有的配股权，以及停止交易、但未行权的权证，采用估值技术确定公允价值进行估值。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④在任何情况下，基金管理人如采用本项第①－③项规定的方法对基金资产进行估值，均应被认为采用了适当的估值方法。但是，如果基金管理人认为按本项第①－③项规定的方法对基金资产进行估值不能客观反映其公允价值的，基金管理人可根据具体情况，并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⑤国家有最新规定的，按其规定进行估值。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4）衍生品及其他有价证券等资产按国家有关规定进行估值。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本基金的基金会计责任方由基金管理人担任。因此，就与本基金有关的会计问题，如经相关各方在平等基础上充分讨论后，仍无法达成一致的意见，基金管理人有权按照其对基金资产净值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1)基金管理人、基金托管人按股票估值方法的第④项、债券估值方法的第⑦项、权证估值方法的第④项进行估值时，所造成的误差不作为基金份额净值错误处理。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证券交易所或注册登记公司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3、基金份额净值错误的处理方式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3位以内（含第3位）发生差错时，视为基金份额净值错误；基金份额净值出现错误时，基金管理人应当立即予以纠正，通报基金托管人，并采取合理的措施防止损失进一步扩大；错误偏差达到或超过基金资产净值的0.25%时，基金管理人应当及时通知基金托管人并报中国证监会；错误偏差达到基金份额净值的0.50%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（2）当基金份额净值计算差错给基金和基金份额持有人造成损失需要进行赔偿时，基金管理人和基金托管人应根据实际情况界定双方承担的责任，经确认后按以下条款进行赔偿：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基金管理人计算的基金份额净值已由基金托管人复核确认后公告，基金份额净值出错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基金管理人提供的信息错误（包括但不限于基金申购或赎回金额等），基金托管人在履行了正常的复核程序后仍不能发现该错误，进而导致基金份额净值计算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（4）前述内容如法律法规或监管机关另有规定的，从其规定处理。如果行业有通行做法，双方当事人应本着平等和保护基金份额持有人利益的原则进行协商。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4、暂停估值与公告基金份额净值的情形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（1）基金投资所涉及的证券交易所遇法定节假日或因其他原因暂停营业时；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（2）因不可抗力或其他情形致使基金管理人、基金托管人无法准确评估基金资产价值时；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（3）占基金相当比例的投资品种的估值出现重大转变，而基金管理人为保障基金份额持有人的利益，决定延迟估值时；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（4）中国证监会和基金合同认定的其他情形。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按国家有关部门规定的会计制度执行。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7、基金财务报表与报告的编制和复核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（1）财务报表的编制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及时编制并对外提供真实、完整的基金财务会计报告。月度报表的编制，基金管理人应于每月终了后5个工作日内完成；季度报告应在季度结束之日起15个工作日内编制完毕并予以公告；中期报告在会计年度半年终了后两个月内编制完毕并予以公告；年度报告在会计年度结束后三个月内编制完毕并予以公告。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（2）报表复核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基金管理人在报表或定期报告完成当日，对报表盖章后，以加密传真方式或双方书面商定的其他方式将有关报表提供基金托管人复核。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月度报表完成当日，将报表盖章后提供给基金托管人复核；基金托管人在收到后应在3日内进行复核，并将复核结果书面通知基金管理人。基金管理人在季度报告完成当日，将有关报告提供给基金托管人复核，基金托管人应在收到后7个工作日内完成复核，并将复核结果书面通知基金管理人。基金管理人在中期报告完成当日，将有关报告提供给基金托管人复核，基金托管人应在收到后30日内完成复核，并将复核结果书面通知基金管理人。基金管理人在年度报告完成当日，将有关报告提供基金托管人复核，基金托管人应在收到后45日内完成复核，并将复核结果书面通知基金管理人。基金管理人和基金托管人之间的上述文件往来均以加密传真的方式或双方商定的其他方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部门公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（六）基金份额持有人名册的保管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及时向基金托管人提交基金份额持有人名册。每年6月30日和12月31日的基金份额持有人名册应于下月前十个工作日内提交；基金合同生效日、基金合同终止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应妥善保管基金份额持有人名册，保存期限为15年。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本协议适用中华人民共和国法律并从其解释。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本协议双方当事人经协商一致，可以对协议进行修改。修改后的新协议，其内容不得与基金合同的规定有任何冲突。基金托管协议的变更报中国证监会核准后生效。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（4）发生法律法规或基金合同规定的终止事项。</w:t>
      </w:r>
    </w:p>
    <w:p>
      <w:pPr>
        <w:pStyle w:val="Heading1"/>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对本基金份额持有人的服务主要由基金管理人、发售代理机构以及申购赎回代理券商提供。本基金管理人根据基金份额持有人的需要和市场的变化，有权增加或变更服务项目。主要服务内容如下：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投资者如果想查询基金净值、相关公告、基金产品与服务等信息，请拨打本基金管理人客户服务电话（400-700-5000，021-61055000）或登录本基金管理人网站（www.fund001.com）进行咨询、查询。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pStyle w:val="Heading1"/>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交银施罗德基金管理有限公司关于深证300价值交易型开放式指数证券投资基金变更扩位证券简称的公告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2026-02-06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2026-02-09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交银施罗德基金管理有限公司关于深证300价值交易型开放式指数证券投资基金溢价风险提示公告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2026-03-14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交银施罗德基金管理有限公司关于深证300价值交易型开放式指数证券投资基金溢价风险提示公告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2026-03-17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深证300价值交易型开放式指数证券投资基金2026年第1季度报告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深证300价值交易型开放式指数证券投资基金2026年中期报告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的办公场所，投资者可在办公时间查阅；投资者在支付工本费后，可在合理时间内取得上述文件复制件或复印件。对投资者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（一）中国证监会核准深证300价值交易型开放式指数证券投资基金募集的文件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（二）《深证300价值交易型开放式指数证券投资基金基金合同》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（三）《深证300价值交易型开放式指数证券投资基金托管协议》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（六）关于申请募集深证300价值交易型开放式指数证券投资基金之法律意见书</w:t>
      </w:r>
    </w:p>
    <w:sectPr>
      <w:footerReference w:type="default" r:id="rId16"/>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3</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121</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深证300价值交易型开放式指数证券投资基金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深证300价值交易型开放式指数证券投资基金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1.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