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交银施罗德双轮动债券型证券投资基金（C类份额）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交银双轮动债券C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519725</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中信银行股份有限公司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2013-04-18</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债券型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唐赟</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2015-08-04</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2010-07-05</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黄莹洁</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2025-12-27</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2008-02-15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基金合同生效后，基金份额持有人数量不满200人或者基金资产净值低于5000万元的，基金管理人应当及时报告中国证监会；连续20个工作日出现前述情形的，基金管理人应当向中国证监会说明原因并报送解决方案。</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本基金在严格控制投资风险的基础上，通过积极主动的投资管理，把握债券市场轮动带来的机会，力争实现基金资产长期稳健的增值。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债、央行票据、地方政府债、金融债、企业债、短期融资券、中期票据、公司债、分离交易可转债、资产支持证券、债券回购、银行存款等固定收益类资产以及法律法规或中国证监会允许基金投资的其他金融工具(但须符合中国证监会相关规定)。本基金不直接在二级市场买入股票、权证等权益类资产，也不参与一级市场新股申购和新股增发。因投资于分离交易可转债而产生的权证，在其可交易之日起的30个交易日内卖出。同时本基金不参与可转换债券投资(分离交易可转债除外)。</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基金的投资组合比例为：固定收益类资产的比例不低于基金资产净值的80%；现金或到期日在一年以内的政府债券的比例合计不低于基金资产净值的5%，其中现金不包括结算备付金、存出保证金、应收申购款等。</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将规范化的基本面研究、严谨的信用分析与积极主动的投资风格相结合，在分析和判断宏观经济运行状况和金融市场运行趋势的基础上，判断不同类别债券在经济周期的不同阶段的相对投资价值，动态调整大类金融资产比例，自上而下决定类属资产配置和债券组合久期、期限结构。同时，通过对信用债发债主体所处行业的景气轮动判断，并结合内部信用评级系统，综合考察信用债券的信用评级，在严谨深入的分析基础上，综合考量各类债券的流动性、供求关系和收益率水平等，自下而上地精选个券。</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1、大类资产配置；2、债券投资策略。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中债-综合全价（1-3年）指数收益率</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债券型基金，属于证券投资基金中中等风险的品种，其长期平均的预期收益和预期风险高于货币市场基金，低于混合型基金和股票型基金。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详见《交银施罗德双轮动债券型证券投资基金招募说明书》“基金的投资”。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0.30%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0.40%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60000.00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0.81%</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（1）政策风险、（2）经济周期风险、（3）利率风险、（4）信用风险、（5）购买力风险、（6）债券收益率曲线变动风险、（7）再投资风险、（8）经营风险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4、交易对手违约风险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5、投资本基金特有的风险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（1）本基金为债券型基金，固定收益类资产的比例不低于基金资产净值的80%，因投资固定收益类资产而面临的固定收益类资产市场的系统性风险和个券风险；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●《交银施罗德双轮动债券型证券投资基金基金合同》、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《交银施罗德双轮动债券型证券投资基金托管协议》、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《交银施罗德双轮动债券型证券投资基金招募说明书》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