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599D6">
      <w:pPr>
        <w:adjustRightInd w:val="0"/>
        <w:snapToGrid w:val="0"/>
        <w:spacing w:line="360" w:lineRule="auto"/>
        <w:rPr>
          <w:sz w:val="24"/>
        </w:rPr>
        <w:sectPr>
          <w:headerReference r:id="rId4" w:type="first"/>
          <w:footerReference r:id="rId6" w:type="first"/>
          <w:headerReference r:id="rId3" w:type="default"/>
          <w:footerReference r:id="rId5" w:type="default"/>
          <w:type w:val="continuous"/>
          <w:pgSz w:w="11906" w:h="16838"/>
          <w:pgMar w:top="1418" w:right="1701" w:bottom="1418" w:left="1701" w:header="851" w:footer="992" w:gutter="0"/>
          <w:cols w:space="425" w:num="1"/>
          <w:titlePg/>
          <w:docGrid w:type="lines" w:linePitch="312" w:charSpace="0"/>
        </w:sectPr>
      </w:pPr>
      <w:bookmarkStart w:id="0" w:name="TITLE_bf33995ec32f49b59e849d889ec629bc"/>
    </w:p>
    <w:bookmarkEnd w:id="0"/>
    <w:p w14:paraId="7EF0120C">
      <w:pPr>
        <w:adjustRightInd w:val="0"/>
        <w:snapToGrid w:val="0"/>
        <w:spacing w:line="360" w:lineRule="auto"/>
        <w:jc w:val="center"/>
        <w:rPr>
          <w:rFonts w:cs="Arial"/>
          <w:sz w:val="24"/>
        </w:rPr>
      </w:pPr>
      <w:bookmarkStart w:id="1" w:name="CTS_50b73158620945faab35c13b1828f8a5"/>
      <w:bookmarkEnd w:id="1"/>
      <w:bookmarkStart w:id="2" w:name="CLAUSE_50b73158620945faab35c13b1828f8a5"/>
    </w:p>
    <w:p w14:paraId="5AF14148">
      <w:pPr>
        <w:adjustRightInd w:val="0"/>
        <w:snapToGrid w:val="0"/>
        <w:spacing w:line="360" w:lineRule="auto"/>
        <w:jc w:val="center"/>
        <w:rPr>
          <w:rFonts w:cs="Arial"/>
          <w:sz w:val="24"/>
        </w:rPr>
      </w:pPr>
    </w:p>
    <w:p w14:paraId="0EC99DA6">
      <w:pPr>
        <w:adjustRightInd w:val="0"/>
        <w:snapToGrid w:val="0"/>
        <w:spacing w:line="360" w:lineRule="auto"/>
        <w:jc w:val="center"/>
        <w:rPr>
          <w:rFonts w:cs="Arial"/>
          <w:sz w:val="24"/>
        </w:rPr>
      </w:pPr>
      <w:bookmarkStart w:id="147" w:name="_GoBack"/>
      <w:bookmarkEnd w:id="147"/>
    </w:p>
    <w:p w14:paraId="67B1A026">
      <w:pPr>
        <w:adjustRightInd w:val="0"/>
        <w:snapToGrid w:val="0"/>
        <w:spacing w:line="360" w:lineRule="auto"/>
        <w:jc w:val="center"/>
        <w:rPr>
          <w:rFonts w:cs="Arial"/>
          <w:sz w:val="24"/>
        </w:rPr>
      </w:pPr>
    </w:p>
    <w:p w14:paraId="7E12C92B">
      <w:pPr>
        <w:adjustRightInd w:val="0"/>
        <w:snapToGrid w:val="0"/>
        <w:spacing w:line="360" w:lineRule="auto"/>
        <w:jc w:val="center"/>
        <w:rPr>
          <w:rFonts w:cs="Arial"/>
          <w:sz w:val="24"/>
        </w:rPr>
      </w:pPr>
    </w:p>
    <w:p w14:paraId="31BC649E">
      <w:pPr>
        <w:adjustRightInd w:val="0"/>
        <w:snapToGrid w:val="0"/>
        <w:spacing w:line="360" w:lineRule="auto"/>
        <w:jc w:val="center"/>
        <w:rPr>
          <w:rFonts w:cs="Arial"/>
          <w:sz w:val="24"/>
        </w:rPr>
      </w:pPr>
    </w:p>
    <w:p w14:paraId="236CCDC1">
      <w:pPr>
        <w:adjustRightInd w:val="0"/>
        <w:snapToGrid w:val="0"/>
        <w:spacing w:line="360" w:lineRule="auto"/>
        <w:jc w:val="center"/>
        <w:rPr>
          <w:rFonts w:cs="Arial"/>
          <w:sz w:val="24"/>
        </w:rPr>
      </w:pPr>
    </w:p>
    <w:p w14:paraId="746248C9">
      <w:pPr>
        <w:adjustRightInd w:val="0"/>
        <w:snapToGrid w:val="0"/>
        <w:spacing w:line="360" w:lineRule="auto"/>
        <w:jc w:val="center"/>
        <w:rPr>
          <w:rFonts w:cs="Arial"/>
          <w:sz w:val="24"/>
        </w:rPr>
      </w:pPr>
    </w:p>
    <w:p w14:paraId="3C130D7C">
      <w:pPr>
        <w:adjustRightInd w:val="0"/>
        <w:snapToGrid w:val="0"/>
        <w:spacing w:line="360" w:lineRule="auto"/>
        <w:jc w:val="center"/>
        <w:rPr>
          <w:rFonts w:cs="Arial"/>
          <w:sz w:val="24"/>
        </w:rPr>
      </w:pPr>
    </w:p>
    <w:p w14:paraId="3E294473">
      <w:pPr>
        <w:adjustRightInd w:val="0"/>
        <w:snapToGrid w:val="0"/>
        <w:spacing w:line="360" w:lineRule="auto"/>
        <w:jc w:val="center"/>
        <w:rPr>
          <w:rFonts w:ascii="黑体" w:hAnsi="黑体"/>
          <w:b/>
          <w:sz w:val="44"/>
        </w:rPr>
      </w:pPr>
      <w:r>
        <w:rPr>
          <w:rFonts w:hint="eastAsia" w:ascii="黑体" w:hAnsi="黑体"/>
          <w:b/>
          <w:sz w:val="44"/>
        </w:rPr>
        <w:t>交银施罗德招享一年持有期混合型基金中基金（FOF）托管协议</w:t>
      </w:r>
    </w:p>
    <w:p w14:paraId="5033C74B">
      <w:pPr>
        <w:adjustRightInd w:val="0"/>
        <w:snapToGrid w:val="0"/>
        <w:spacing w:line="360" w:lineRule="auto"/>
        <w:jc w:val="center"/>
        <w:rPr>
          <w:rFonts w:ascii="黑体" w:hAnsi="黑体"/>
          <w:b/>
          <w:sz w:val="48"/>
        </w:rPr>
      </w:pPr>
    </w:p>
    <w:p w14:paraId="6D716814">
      <w:pPr>
        <w:adjustRightInd w:val="0"/>
        <w:snapToGrid w:val="0"/>
        <w:spacing w:line="360" w:lineRule="auto"/>
        <w:jc w:val="center"/>
        <w:rPr>
          <w:rFonts w:ascii="黑体" w:hAnsi="黑体"/>
          <w:b/>
          <w:sz w:val="24"/>
        </w:rPr>
      </w:pPr>
    </w:p>
    <w:p w14:paraId="32B2AD52">
      <w:pPr>
        <w:adjustRightInd w:val="0"/>
        <w:snapToGrid w:val="0"/>
        <w:spacing w:line="360" w:lineRule="auto"/>
        <w:jc w:val="center"/>
        <w:rPr>
          <w:sz w:val="24"/>
        </w:rPr>
      </w:pPr>
    </w:p>
    <w:p w14:paraId="0BAFE58E">
      <w:pPr>
        <w:adjustRightInd w:val="0"/>
        <w:snapToGrid w:val="0"/>
        <w:spacing w:line="360" w:lineRule="auto"/>
        <w:jc w:val="center"/>
        <w:rPr>
          <w:sz w:val="24"/>
        </w:rPr>
      </w:pPr>
    </w:p>
    <w:p w14:paraId="34843ECD">
      <w:pPr>
        <w:adjustRightInd w:val="0"/>
        <w:snapToGrid w:val="0"/>
        <w:spacing w:line="360" w:lineRule="auto"/>
        <w:jc w:val="center"/>
        <w:rPr>
          <w:sz w:val="24"/>
        </w:rPr>
      </w:pPr>
    </w:p>
    <w:p w14:paraId="506A0308">
      <w:pPr>
        <w:adjustRightInd w:val="0"/>
        <w:snapToGrid w:val="0"/>
        <w:spacing w:line="360" w:lineRule="auto"/>
        <w:jc w:val="center"/>
        <w:rPr>
          <w:sz w:val="24"/>
        </w:rPr>
      </w:pPr>
    </w:p>
    <w:p w14:paraId="5ADD745E">
      <w:pPr>
        <w:adjustRightInd w:val="0"/>
        <w:snapToGrid w:val="0"/>
        <w:spacing w:line="360" w:lineRule="auto"/>
        <w:jc w:val="center"/>
        <w:rPr>
          <w:sz w:val="24"/>
        </w:rPr>
      </w:pPr>
    </w:p>
    <w:p w14:paraId="567AFCC3">
      <w:pPr>
        <w:adjustRightInd w:val="0"/>
        <w:snapToGrid w:val="0"/>
        <w:spacing w:line="360" w:lineRule="auto"/>
        <w:jc w:val="center"/>
        <w:rPr>
          <w:sz w:val="24"/>
        </w:rPr>
      </w:pPr>
    </w:p>
    <w:p w14:paraId="473FA4AC">
      <w:pPr>
        <w:adjustRightInd w:val="0"/>
        <w:snapToGrid w:val="0"/>
        <w:spacing w:line="360" w:lineRule="auto"/>
        <w:jc w:val="center"/>
        <w:rPr>
          <w:sz w:val="24"/>
        </w:rPr>
      </w:pPr>
    </w:p>
    <w:p w14:paraId="6F9D4089">
      <w:pPr>
        <w:adjustRightInd w:val="0"/>
        <w:snapToGrid w:val="0"/>
        <w:spacing w:line="360" w:lineRule="auto"/>
        <w:rPr>
          <w:sz w:val="24"/>
        </w:rPr>
      </w:pPr>
    </w:p>
    <w:p w14:paraId="7EC1B0BE">
      <w:pPr>
        <w:adjustRightInd w:val="0"/>
        <w:snapToGrid w:val="0"/>
        <w:spacing w:line="360" w:lineRule="auto"/>
        <w:ind w:firstLine="1275" w:firstLineChars="425"/>
        <w:rPr>
          <w:rFonts w:ascii="黑体" w:hAnsi="黑体"/>
          <w:sz w:val="30"/>
        </w:rPr>
      </w:pPr>
      <w:r>
        <w:rPr>
          <w:rFonts w:hint="eastAsia" w:ascii="黑体" w:hAnsi="黑体"/>
          <w:sz w:val="30"/>
        </w:rPr>
        <w:t>基金管理人：交银施罗德基金管理有限公司</w:t>
      </w:r>
    </w:p>
    <w:p w14:paraId="67A6554B">
      <w:pPr>
        <w:adjustRightInd w:val="0"/>
        <w:snapToGrid w:val="0"/>
        <w:spacing w:line="360" w:lineRule="auto"/>
        <w:ind w:firstLine="1275" w:firstLineChars="425"/>
        <w:rPr>
          <w:rFonts w:ascii="黑体" w:hAnsi="黑体"/>
          <w:sz w:val="30"/>
        </w:rPr>
      </w:pPr>
      <w:r>
        <w:rPr>
          <w:rFonts w:hint="eastAsia" w:ascii="黑体" w:hAnsi="黑体"/>
          <w:sz w:val="30"/>
        </w:rPr>
        <w:t>基金托管人：招商银行股份有限公司</w:t>
      </w:r>
    </w:p>
    <w:p w14:paraId="73230A37">
      <w:pPr>
        <w:adjustRightInd w:val="0"/>
        <w:snapToGrid w:val="0"/>
        <w:spacing w:line="360" w:lineRule="auto"/>
        <w:ind w:firstLine="2257" w:firstLineChars="1075"/>
      </w:pPr>
    </w:p>
    <w:p w14:paraId="49D29556">
      <w:pPr>
        <w:adjustRightInd w:val="0"/>
        <w:snapToGrid w:val="0"/>
        <w:spacing w:line="360" w:lineRule="auto"/>
        <w:jc w:val="center"/>
        <w:rPr>
          <w:sz w:val="24"/>
        </w:rPr>
      </w:pPr>
      <w:r>
        <w:rPr>
          <w:rFonts w:hint="eastAsia" w:ascii="黑体" w:hAnsi="黑体"/>
          <w:sz w:val="30"/>
        </w:rPr>
        <w:t>二零二</w:t>
      </w:r>
      <w:r>
        <w:rPr>
          <w:rFonts w:hint="eastAsia" w:ascii="黑体" w:hAnsi="黑体"/>
          <w:sz w:val="30"/>
          <w:lang w:val="en-US" w:eastAsia="zh-CN"/>
        </w:rPr>
        <w:t>六</w:t>
      </w:r>
      <w:r>
        <w:rPr>
          <w:rFonts w:hint="eastAsia" w:ascii="黑体" w:hAnsi="黑体"/>
          <w:sz w:val="30"/>
        </w:rPr>
        <w:t>年</w:t>
      </w:r>
      <w:r>
        <w:rPr>
          <w:rFonts w:hint="eastAsia" w:ascii="黑体" w:hAnsi="黑体"/>
          <w:sz w:val="30"/>
          <w:lang w:val="en-US" w:eastAsia="zh-CN"/>
        </w:rPr>
        <w:t>九</w:t>
      </w:r>
      <w:r>
        <w:rPr>
          <w:rFonts w:hint="eastAsia" w:ascii="黑体" w:hAnsi="黑体"/>
          <w:sz w:val="30"/>
        </w:rPr>
        <w:t>月</w:t>
      </w:r>
    </w:p>
    <w:p w14:paraId="09C63391">
      <w:pPr>
        <w:spacing w:line="360" w:lineRule="auto"/>
        <w:jc w:val="center"/>
        <w:rPr>
          <w:rFonts w:ascii="宋体" w:hAnsi="宋体"/>
          <w:b/>
          <w:sz w:val="24"/>
        </w:rPr>
        <w:sectPr>
          <w:type w:val="continuous"/>
          <w:pgSz w:w="11906" w:h="16838"/>
          <w:pgMar w:top="1418" w:right="1701" w:bottom="1418" w:left="1701" w:header="992" w:footer="992" w:gutter="0"/>
          <w:cols w:space="425" w:num="1"/>
          <w:docGrid w:type="lines" w:linePitch="312" w:charSpace="0"/>
        </w:sectPr>
      </w:pPr>
    </w:p>
    <w:p w14:paraId="2EB7D278">
      <w:pPr>
        <w:spacing w:line="360" w:lineRule="auto"/>
        <w:jc w:val="center"/>
        <w:rPr>
          <w:rFonts w:ascii="宋体" w:hAnsi="宋体"/>
          <w:b/>
          <w:sz w:val="24"/>
        </w:rPr>
      </w:pPr>
      <w:r>
        <w:rPr>
          <w:rFonts w:hint="eastAsia" w:ascii="宋体" w:hAnsi="宋体"/>
          <w:b/>
          <w:sz w:val="24"/>
        </w:rPr>
        <w:t>目</w:t>
      </w:r>
      <w:r>
        <w:rPr>
          <w:rFonts w:ascii="宋体" w:hAnsi="宋体"/>
          <w:b/>
          <w:sz w:val="24"/>
        </w:rPr>
        <w:t xml:space="preserve">    </w:t>
      </w:r>
      <w:r>
        <w:rPr>
          <w:rFonts w:hint="eastAsia" w:ascii="宋体" w:hAnsi="宋体"/>
          <w:b/>
          <w:sz w:val="24"/>
        </w:rPr>
        <w:t>录</w:t>
      </w:r>
    </w:p>
    <w:p w14:paraId="5D121158">
      <w:pPr>
        <w:pStyle w:val="21"/>
        <w:tabs>
          <w:tab w:val="right" w:leader="dot" w:pos="8494"/>
        </w:tabs>
        <w:spacing w:line="360" w:lineRule="auto"/>
        <w:rPr>
          <w:rFonts w:asciiTheme="minorHAnsi" w:hAnsiTheme="minorHAnsi"/>
        </w:rPr>
      </w:pPr>
      <w:r>
        <w:fldChar w:fldCharType="begin"/>
      </w:r>
      <w:r>
        <w:instrText xml:space="preserve"> TOC \o "1-2" \h \z </w:instrText>
      </w:r>
      <w:r>
        <w:fldChar w:fldCharType="separate"/>
      </w:r>
      <w:r>
        <w:fldChar w:fldCharType="begin"/>
      </w:r>
      <w:r>
        <w:instrText xml:space="preserve"> HYPERLINK \l "_Toc488938610" </w:instrText>
      </w:r>
      <w:r>
        <w:fldChar w:fldCharType="separate"/>
      </w:r>
      <w:r>
        <w:rPr>
          <w:rStyle w:val="31"/>
          <w:rFonts w:hint="eastAsia" w:ascii="宋体" w:hAnsi="宋体"/>
        </w:rPr>
        <w:t>一、基金托管协议当事人</w:t>
      </w:r>
      <w:r>
        <w:tab/>
      </w:r>
      <w:r>
        <w:fldChar w:fldCharType="begin"/>
      </w:r>
      <w:r>
        <w:instrText xml:space="preserve"> PAGEREF _Toc488938610 \h </w:instrText>
      </w:r>
      <w:r>
        <w:fldChar w:fldCharType="separate"/>
      </w:r>
      <w:r>
        <w:t>3</w:t>
      </w:r>
      <w:r>
        <w:fldChar w:fldCharType="end"/>
      </w:r>
      <w:r>
        <w:fldChar w:fldCharType="end"/>
      </w:r>
    </w:p>
    <w:p w14:paraId="19304F50">
      <w:pPr>
        <w:pStyle w:val="21"/>
        <w:tabs>
          <w:tab w:val="right" w:leader="dot" w:pos="8494"/>
        </w:tabs>
        <w:spacing w:line="360" w:lineRule="auto"/>
        <w:rPr>
          <w:rFonts w:asciiTheme="minorHAnsi" w:hAnsiTheme="minorHAnsi"/>
        </w:rPr>
      </w:pPr>
      <w:r>
        <w:fldChar w:fldCharType="begin"/>
      </w:r>
      <w:r>
        <w:instrText xml:space="preserve"> HYPERLINK \l "_Toc488938611" </w:instrText>
      </w:r>
      <w:r>
        <w:fldChar w:fldCharType="separate"/>
      </w:r>
      <w:r>
        <w:rPr>
          <w:rStyle w:val="31"/>
          <w:rFonts w:hint="eastAsia" w:ascii="宋体" w:hAnsi="宋体"/>
        </w:rPr>
        <w:t>二、基金托管协议的依据、目的和原则</w:t>
      </w:r>
      <w:r>
        <w:tab/>
      </w:r>
      <w:r>
        <w:fldChar w:fldCharType="begin"/>
      </w:r>
      <w:r>
        <w:instrText xml:space="preserve"> PAGEREF _Toc488938611 \h </w:instrText>
      </w:r>
      <w:r>
        <w:fldChar w:fldCharType="separate"/>
      </w:r>
      <w:r>
        <w:t>4</w:t>
      </w:r>
      <w:r>
        <w:fldChar w:fldCharType="end"/>
      </w:r>
      <w:r>
        <w:fldChar w:fldCharType="end"/>
      </w:r>
    </w:p>
    <w:p w14:paraId="6D5F6A94">
      <w:pPr>
        <w:pStyle w:val="21"/>
        <w:tabs>
          <w:tab w:val="right" w:leader="dot" w:pos="8494"/>
        </w:tabs>
        <w:spacing w:line="360" w:lineRule="auto"/>
        <w:rPr>
          <w:rFonts w:asciiTheme="minorHAnsi" w:hAnsiTheme="minorHAnsi"/>
        </w:rPr>
      </w:pPr>
      <w:r>
        <w:fldChar w:fldCharType="begin"/>
      </w:r>
      <w:r>
        <w:instrText xml:space="preserve"> HYPERLINK \l "_Toc488938612" </w:instrText>
      </w:r>
      <w:r>
        <w:fldChar w:fldCharType="separate"/>
      </w:r>
      <w:r>
        <w:rPr>
          <w:rStyle w:val="31"/>
          <w:rFonts w:hint="eastAsia" w:ascii="宋体" w:hAnsi="宋体"/>
        </w:rPr>
        <w:t>三、基金托管人对基金管理人的业务监督和核查</w:t>
      </w:r>
      <w:r>
        <w:tab/>
      </w:r>
      <w:r>
        <w:fldChar w:fldCharType="begin"/>
      </w:r>
      <w:r>
        <w:instrText xml:space="preserve"> PAGEREF _Toc488938612 \h </w:instrText>
      </w:r>
      <w:r>
        <w:fldChar w:fldCharType="separate"/>
      </w:r>
      <w:r>
        <w:t>5</w:t>
      </w:r>
      <w:r>
        <w:fldChar w:fldCharType="end"/>
      </w:r>
      <w:r>
        <w:fldChar w:fldCharType="end"/>
      </w:r>
    </w:p>
    <w:p w14:paraId="0088AAA7">
      <w:pPr>
        <w:pStyle w:val="21"/>
        <w:tabs>
          <w:tab w:val="right" w:leader="dot" w:pos="8494"/>
        </w:tabs>
        <w:spacing w:line="360" w:lineRule="auto"/>
        <w:rPr>
          <w:rFonts w:asciiTheme="minorHAnsi" w:hAnsiTheme="minorHAnsi"/>
        </w:rPr>
      </w:pPr>
      <w:r>
        <w:fldChar w:fldCharType="begin"/>
      </w:r>
      <w:r>
        <w:instrText xml:space="preserve"> HYPERLINK \l "_Toc488938613" </w:instrText>
      </w:r>
      <w:r>
        <w:fldChar w:fldCharType="separate"/>
      </w:r>
      <w:r>
        <w:rPr>
          <w:rStyle w:val="31"/>
          <w:rFonts w:hint="eastAsia" w:ascii="宋体" w:hAnsi="宋体"/>
        </w:rPr>
        <w:t>四、基金管理人对基金托管人的业务核查</w:t>
      </w:r>
      <w:r>
        <w:tab/>
      </w:r>
      <w:r>
        <w:fldChar w:fldCharType="begin"/>
      </w:r>
      <w:r>
        <w:instrText xml:space="preserve"> PAGEREF _Toc488938613 \h </w:instrText>
      </w:r>
      <w:r>
        <w:fldChar w:fldCharType="separate"/>
      </w:r>
      <w:r>
        <w:t>16</w:t>
      </w:r>
      <w:r>
        <w:fldChar w:fldCharType="end"/>
      </w:r>
      <w:r>
        <w:fldChar w:fldCharType="end"/>
      </w:r>
    </w:p>
    <w:p w14:paraId="160777F3">
      <w:pPr>
        <w:pStyle w:val="21"/>
        <w:tabs>
          <w:tab w:val="right" w:leader="dot" w:pos="8494"/>
        </w:tabs>
        <w:spacing w:line="360" w:lineRule="auto"/>
        <w:rPr>
          <w:rFonts w:asciiTheme="minorHAnsi" w:hAnsiTheme="minorHAnsi"/>
        </w:rPr>
      </w:pPr>
      <w:r>
        <w:fldChar w:fldCharType="begin"/>
      </w:r>
      <w:r>
        <w:instrText xml:space="preserve"> HYPERLINK \l "_Toc488938614" </w:instrText>
      </w:r>
      <w:r>
        <w:fldChar w:fldCharType="separate"/>
      </w:r>
      <w:r>
        <w:rPr>
          <w:rStyle w:val="31"/>
          <w:rFonts w:hint="eastAsia" w:ascii="宋体" w:hAnsi="宋体"/>
        </w:rPr>
        <w:t>五、基金财产的保</w:t>
      </w:r>
      <w:bookmarkStart w:id="3" w:name="_Hlt433117871"/>
      <w:bookmarkStart w:id="4" w:name="_Hlt433117872"/>
      <w:r>
        <w:rPr>
          <w:rStyle w:val="31"/>
          <w:rFonts w:hint="eastAsia" w:ascii="宋体" w:hAnsi="宋体"/>
        </w:rPr>
        <w:t>管</w:t>
      </w:r>
      <w:bookmarkEnd w:id="3"/>
      <w:bookmarkEnd w:id="4"/>
      <w:r>
        <w:tab/>
      </w:r>
      <w:r>
        <w:fldChar w:fldCharType="begin"/>
      </w:r>
      <w:r>
        <w:instrText xml:space="preserve"> PAGEREF _Toc488938614 \h </w:instrText>
      </w:r>
      <w:r>
        <w:fldChar w:fldCharType="separate"/>
      </w:r>
      <w:r>
        <w:t>17</w:t>
      </w:r>
      <w:r>
        <w:fldChar w:fldCharType="end"/>
      </w:r>
      <w:r>
        <w:fldChar w:fldCharType="end"/>
      </w:r>
    </w:p>
    <w:p w14:paraId="3791705C">
      <w:pPr>
        <w:pStyle w:val="21"/>
        <w:tabs>
          <w:tab w:val="right" w:leader="dot" w:pos="8494"/>
        </w:tabs>
        <w:spacing w:line="360" w:lineRule="auto"/>
        <w:rPr>
          <w:rFonts w:asciiTheme="minorHAnsi" w:hAnsiTheme="minorHAnsi"/>
        </w:rPr>
      </w:pPr>
      <w:r>
        <w:fldChar w:fldCharType="begin"/>
      </w:r>
      <w:r>
        <w:instrText xml:space="preserve"> HYPERLINK \l "_Toc488938615" </w:instrText>
      </w:r>
      <w:r>
        <w:fldChar w:fldCharType="separate"/>
      </w:r>
      <w:r>
        <w:rPr>
          <w:rStyle w:val="31"/>
          <w:rFonts w:hint="eastAsia" w:ascii="宋体" w:hAnsi="宋体"/>
        </w:rPr>
        <w:t>六、指令的发送、确认及执行</w:t>
      </w:r>
      <w:r>
        <w:tab/>
      </w:r>
      <w:r>
        <w:fldChar w:fldCharType="begin"/>
      </w:r>
      <w:r>
        <w:instrText xml:space="preserve"> PAGEREF _Toc488938615 \h </w:instrText>
      </w:r>
      <w:r>
        <w:fldChar w:fldCharType="separate"/>
      </w:r>
      <w:r>
        <w:t>20</w:t>
      </w:r>
      <w:r>
        <w:fldChar w:fldCharType="end"/>
      </w:r>
      <w:r>
        <w:fldChar w:fldCharType="end"/>
      </w:r>
    </w:p>
    <w:p w14:paraId="6190388C">
      <w:pPr>
        <w:pStyle w:val="21"/>
        <w:tabs>
          <w:tab w:val="right" w:leader="dot" w:pos="8494"/>
        </w:tabs>
        <w:spacing w:line="360" w:lineRule="auto"/>
        <w:rPr>
          <w:rFonts w:asciiTheme="minorHAnsi" w:hAnsiTheme="minorHAnsi"/>
        </w:rPr>
      </w:pPr>
      <w:r>
        <w:fldChar w:fldCharType="begin"/>
      </w:r>
      <w:r>
        <w:instrText xml:space="preserve"> HYPERLINK \l "_Toc488938616" </w:instrText>
      </w:r>
      <w:r>
        <w:fldChar w:fldCharType="separate"/>
      </w:r>
      <w:r>
        <w:rPr>
          <w:rStyle w:val="31"/>
          <w:rFonts w:hint="eastAsia" w:ascii="宋体" w:hAnsi="宋体"/>
        </w:rPr>
        <w:t>七、交易及清算交收安排</w:t>
      </w:r>
      <w:r>
        <w:tab/>
      </w:r>
      <w:r>
        <w:fldChar w:fldCharType="begin"/>
      </w:r>
      <w:r>
        <w:instrText xml:space="preserve"> PAGEREF _Toc488938616 \h </w:instrText>
      </w:r>
      <w:r>
        <w:fldChar w:fldCharType="separate"/>
      </w:r>
      <w:r>
        <w:t>24</w:t>
      </w:r>
      <w:r>
        <w:fldChar w:fldCharType="end"/>
      </w:r>
      <w:r>
        <w:fldChar w:fldCharType="end"/>
      </w:r>
    </w:p>
    <w:p w14:paraId="74D64127">
      <w:pPr>
        <w:pStyle w:val="21"/>
        <w:tabs>
          <w:tab w:val="right" w:leader="dot" w:pos="8494"/>
        </w:tabs>
        <w:spacing w:line="360" w:lineRule="auto"/>
        <w:rPr>
          <w:rFonts w:asciiTheme="minorHAnsi" w:hAnsiTheme="minorHAnsi"/>
        </w:rPr>
      </w:pPr>
      <w:r>
        <w:fldChar w:fldCharType="begin"/>
      </w:r>
      <w:r>
        <w:instrText xml:space="preserve"> HYPERLINK \l "_Toc488938617" </w:instrText>
      </w:r>
      <w:r>
        <w:fldChar w:fldCharType="separate"/>
      </w:r>
      <w:r>
        <w:rPr>
          <w:rStyle w:val="31"/>
          <w:rFonts w:hint="eastAsia" w:ascii="宋体" w:hAnsi="宋体"/>
        </w:rPr>
        <w:t>八、基金资产净值计算、估值和会计核算</w:t>
      </w:r>
      <w:r>
        <w:tab/>
      </w:r>
      <w:r>
        <w:fldChar w:fldCharType="begin"/>
      </w:r>
      <w:r>
        <w:instrText xml:space="preserve"> PAGEREF _Toc488938617 \h </w:instrText>
      </w:r>
      <w:r>
        <w:fldChar w:fldCharType="separate"/>
      </w:r>
      <w:r>
        <w:t>27</w:t>
      </w:r>
      <w:r>
        <w:fldChar w:fldCharType="end"/>
      </w:r>
      <w:r>
        <w:fldChar w:fldCharType="end"/>
      </w:r>
    </w:p>
    <w:p w14:paraId="5A8E5D64">
      <w:pPr>
        <w:pStyle w:val="21"/>
        <w:tabs>
          <w:tab w:val="right" w:leader="dot" w:pos="8494"/>
        </w:tabs>
        <w:spacing w:line="360" w:lineRule="auto"/>
        <w:rPr>
          <w:rFonts w:asciiTheme="minorHAnsi" w:hAnsiTheme="minorHAnsi"/>
        </w:rPr>
      </w:pPr>
      <w:r>
        <w:fldChar w:fldCharType="begin"/>
      </w:r>
      <w:r>
        <w:instrText xml:space="preserve"> HYPERLINK \l "_Toc488938618" </w:instrText>
      </w:r>
      <w:r>
        <w:fldChar w:fldCharType="separate"/>
      </w:r>
      <w:r>
        <w:rPr>
          <w:rStyle w:val="31"/>
          <w:rFonts w:hint="eastAsia" w:ascii="宋体" w:hAnsi="宋体"/>
        </w:rPr>
        <w:t>九、基金收益分配</w:t>
      </w:r>
      <w:r>
        <w:tab/>
      </w:r>
      <w:r>
        <w:fldChar w:fldCharType="begin"/>
      </w:r>
      <w:r>
        <w:instrText xml:space="preserve"> PAGEREF _Toc488938618 \h </w:instrText>
      </w:r>
      <w:r>
        <w:fldChar w:fldCharType="separate"/>
      </w:r>
      <w:r>
        <w:t>29</w:t>
      </w:r>
      <w:r>
        <w:fldChar w:fldCharType="end"/>
      </w:r>
      <w:r>
        <w:fldChar w:fldCharType="end"/>
      </w:r>
    </w:p>
    <w:p w14:paraId="22A1B8A5">
      <w:pPr>
        <w:pStyle w:val="21"/>
        <w:tabs>
          <w:tab w:val="right" w:leader="dot" w:pos="8494"/>
        </w:tabs>
        <w:spacing w:line="360" w:lineRule="auto"/>
        <w:rPr>
          <w:rFonts w:asciiTheme="minorHAnsi" w:hAnsiTheme="minorHAnsi"/>
        </w:rPr>
      </w:pPr>
      <w:r>
        <w:fldChar w:fldCharType="begin"/>
      </w:r>
      <w:r>
        <w:instrText xml:space="preserve"> HYPERLINK \l "_Toc488938619" </w:instrText>
      </w:r>
      <w:r>
        <w:fldChar w:fldCharType="separate"/>
      </w:r>
      <w:r>
        <w:rPr>
          <w:rStyle w:val="31"/>
          <w:rFonts w:hint="eastAsia" w:ascii="宋体" w:hAnsi="宋体"/>
        </w:rPr>
        <w:t>十、基金信息披露</w:t>
      </w:r>
      <w:r>
        <w:tab/>
      </w:r>
      <w:r>
        <w:fldChar w:fldCharType="begin"/>
      </w:r>
      <w:r>
        <w:instrText xml:space="preserve"> PAGEREF _Toc488938619 \h </w:instrText>
      </w:r>
      <w:r>
        <w:fldChar w:fldCharType="separate"/>
      </w:r>
      <w:r>
        <w:t>30</w:t>
      </w:r>
      <w:r>
        <w:fldChar w:fldCharType="end"/>
      </w:r>
      <w:r>
        <w:fldChar w:fldCharType="end"/>
      </w:r>
    </w:p>
    <w:p w14:paraId="31355A53">
      <w:pPr>
        <w:pStyle w:val="21"/>
        <w:tabs>
          <w:tab w:val="right" w:leader="dot" w:pos="8494"/>
        </w:tabs>
        <w:spacing w:line="360" w:lineRule="auto"/>
        <w:rPr>
          <w:rFonts w:asciiTheme="minorHAnsi" w:hAnsiTheme="minorHAnsi"/>
        </w:rPr>
      </w:pPr>
      <w:r>
        <w:fldChar w:fldCharType="begin"/>
      </w:r>
      <w:r>
        <w:instrText xml:space="preserve"> HYPERLINK \l "_Toc488938620" </w:instrText>
      </w:r>
      <w:r>
        <w:fldChar w:fldCharType="separate"/>
      </w:r>
      <w:r>
        <w:rPr>
          <w:rStyle w:val="31"/>
          <w:rFonts w:hint="eastAsia" w:ascii="宋体" w:hAnsi="宋体"/>
        </w:rPr>
        <w:t>十一、基金费用</w:t>
      </w:r>
      <w:r>
        <w:tab/>
      </w:r>
      <w:r>
        <w:fldChar w:fldCharType="begin"/>
      </w:r>
      <w:r>
        <w:instrText xml:space="preserve"> PAGEREF _Toc488938620 \h </w:instrText>
      </w:r>
      <w:r>
        <w:fldChar w:fldCharType="separate"/>
      </w:r>
      <w:r>
        <w:t>33</w:t>
      </w:r>
      <w:r>
        <w:fldChar w:fldCharType="end"/>
      </w:r>
      <w:r>
        <w:fldChar w:fldCharType="end"/>
      </w:r>
    </w:p>
    <w:p w14:paraId="66D6E775">
      <w:pPr>
        <w:pStyle w:val="21"/>
        <w:tabs>
          <w:tab w:val="right" w:leader="dot" w:pos="8494"/>
        </w:tabs>
        <w:spacing w:line="360" w:lineRule="auto"/>
        <w:rPr>
          <w:rFonts w:asciiTheme="minorHAnsi" w:hAnsiTheme="minorHAnsi"/>
        </w:rPr>
      </w:pPr>
      <w:r>
        <w:fldChar w:fldCharType="begin"/>
      </w:r>
      <w:r>
        <w:instrText xml:space="preserve"> HYPERLINK \l "_Toc488938621" </w:instrText>
      </w:r>
      <w:r>
        <w:fldChar w:fldCharType="separate"/>
      </w:r>
      <w:r>
        <w:rPr>
          <w:rStyle w:val="31"/>
          <w:rFonts w:hint="eastAsia" w:ascii="宋体" w:hAnsi="宋体"/>
        </w:rPr>
        <w:t>十二、基金份额持有人名册的保管</w:t>
      </w:r>
      <w:r>
        <w:tab/>
      </w:r>
      <w:r>
        <w:fldChar w:fldCharType="begin"/>
      </w:r>
      <w:r>
        <w:instrText xml:space="preserve"> PAGEREF _Toc488938621 \h </w:instrText>
      </w:r>
      <w:r>
        <w:fldChar w:fldCharType="separate"/>
      </w:r>
      <w:r>
        <w:t>34</w:t>
      </w:r>
      <w:r>
        <w:fldChar w:fldCharType="end"/>
      </w:r>
      <w:r>
        <w:fldChar w:fldCharType="end"/>
      </w:r>
    </w:p>
    <w:p w14:paraId="5D7A7461">
      <w:pPr>
        <w:pStyle w:val="21"/>
        <w:tabs>
          <w:tab w:val="right" w:leader="dot" w:pos="8494"/>
        </w:tabs>
        <w:spacing w:line="360" w:lineRule="auto"/>
        <w:rPr>
          <w:rFonts w:asciiTheme="minorHAnsi" w:hAnsiTheme="minorHAnsi"/>
        </w:rPr>
      </w:pPr>
      <w:r>
        <w:fldChar w:fldCharType="begin"/>
      </w:r>
      <w:r>
        <w:instrText xml:space="preserve"> HYPERLINK \l "_Toc488938622" </w:instrText>
      </w:r>
      <w:r>
        <w:fldChar w:fldCharType="separate"/>
      </w:r>
      <w:r>
        <w:rPr>
          <w:rStyle w:val="31"/>
          <w:rFonts w:hint="eastAsia" w:ascii="宋体" w:hAnsi="宋体"/>
        </w:rPr>
        <w:t>十三、基金有关文件档案的保存</w:t>
      </w:r>
      <w:r>
        <w:tab/>
      </w:r>
      <w:r>
        <w:fldChar w:fldCharType="begin"/>
      </w:r>
      <w:r>
        <w:instrText xml:space="preserve"> PAGEREF _Toc488938622 \h </w:instrText>
      </w:r>
      <w:r>
        <w:fldChar w:fldCharType="separate"/>
      </w:r>
      <w:r>
        <w:t>35</w:t>
      </w:r>
      <w:r>
        <w:fldChar w:fldCharType="end"/>
      </w:r>
      <w:r>
        <w:fldChar w:fldCharType="end"/>
      </w:r>
    </w:p>
    <w:p w14:paraId="3DCF9743">
      <w:pPr>
        <w:pStyle w:val="21"/>
        <w:tabs>
          <w:tab w:val="right" w:leader="dot" w:pos="8494"/>
        </w:tabs>
        <w:spacing w:line="360" w:lineRule="auto"/>
        <w:rPr>
          <w:rFonts w:asciiTheme="minorHAnsi" w:hAnsiTheme="minorHAnsi"/>
        </w:rPr>
      </w:pPr>
      <w:r>
        <w:fldChar w:fldCharType="begin"/>
      </w:r>
      <w:r>
        <w:instrText xml:space="preserve"> HYPERLINK \l "_Toc488938623" </w:instrText>
      </w:r>
      <w:r>
        <w:fldChar w:fldCharType="separate"/>
      </w:r>
      <w:r>
        <w:rPr>
          <w:rStyle w:val="31"/>
          <w:rFonts w:hint="eastAsia" w:ascii="宋体" w:hAnsi="宋体"/>
        </w:rPr>
        <w:t>十四、基金管理人和基金托管人的更换</w:t>
      </w:r>
      <w:r>
        <w:tab/>
      </w:r>
      <w:r>
        <w:fldChar w:fldCharType="begin"/>
      </w:r>
      <w:r>
        <w:instrText xml:space="preserve"> PAGEREF _Toc488938623 \h </w:instrText>
      </w:r>
      <w:r>
        <w:fldChar w:fldCharType="separate"/>
      </w:r>
      <w:r>
        <w:t>36</w:t>
      </w:r>
      <w:r>
        <w:fldChar w:fldCharType="end"/>
      </w:r>
      <w:r>
        <w:fldChar w:fldCharType="end"/>
      </w:r>
    </w:p>
    <w:p w14:paraId="5FEAC000">
      <w:pPr>
        <w:pStyle w:val="21"/>
        <w:tabs>
          <w:tab w:val="right" w:leader="dot" w:pos="8494"/>
        </w:tabs>
        <w:spacing w:line="360" w:lineRule="auto"/>
        <w:rPr>
          <w:rFonts w:asciiTheme="minorHAnsi" w:hAnsiTheme="minorHAnsi"/>
        </w:rPr>
      </w:pPr>
      <w:r>
        <w:fldChar w:fldCharType="begin"/>
      </w:r>
      <w:r>
        <w:instrText xml:space="preserve"> HYPERLINK \l "_Toc488938624" </w:instrText>
      </w:r>
      <w:r>
        <w:fldChar w:fldCharType="separate"/>
      </w:r>
      <w:r>
        <w:rPr>
          <w:rStyle w:val="31"/>
          <w:rFonts w:hint="eastAsia" w:ascii="宋体" w:hAnsi="宋体"/>
        </w:rPr>
        <w:t>十五、禁止行为</w:t>
      </w:r>
      <w:r>
        <w:tab/>
      </w:r>
      <w:r>
        <w:fldChar w:fldCharType="begin"/>
      </w:r>
      <w:r>
        <w:instrText xml:space="preserve"> PAGEREF _Toc488938624 \h </w:instrText>
      </w:r>
      <w:r>
        <w:fldChar w:fldCharType="separate"/>
      </w:r>
      <w:r>
        <w:t>37</w:t>
      </w:r>
      <w:r>
        <w:fldChar w:fldCharType="end"/>
      </w:r>
      <w:r>
        <w:fldChar w:fldCharType="end"/>
      </w:r>
    </w:p>
    <w:p w14:paraId="4BD4B7F6">
      <w:pPr>
        <w:pStyle w:val="21"/>
        <w:tabs>
          <w:tab w:val="right" w:leader="dot" w:pos="8494"/>
        </w:tabs>
        <w:spacing w:line="360" w:lineRule="auto"/>
        <w:rPr>
          <w:rFonts w:asciiTheme="minorHAnsi" w:hAnsiTheme="minorHAnsi"/>
        </w:rPr>
      </w:pPr>
      <w:r>
        <w:fldChar w:fldCharType="begin"/>
      </w:r>
      <w:r>
        <w:instrText xml:space="preserve"> HYPERLINK \l "_Toc488938625" </w:instrText>
      </w:r>
      <w:r>
        <w:fldChar w:fldCharType="separate"/>
      </w:r>
      <w:r>
        <w:rPr>
          <w:rStyle w:val="31"/>
          <w:rFonts w:hint="eastAsia" w:ascii="宋体" w:hAnsi="宋体"/>
        </w:rPr>
        <w:t>十六、托管协议的变更、终止与基金财产的清算</w:t>
      </w:r>
      <w:r>
        <w:tab/>
      </w:r>
      <w:r>
        <w:fldChar w:fldCharType="begin"/>
      </w:r>
      <w:r>
        <w:instrText xml:space="preserve"> PAGEREF _Toc488938625 \h </w:instrText>
      </w:r>
      <w:r>
        <w:fldChar w:fldCharType="separate"/>
      </w:r>
      <w:r>
        <w:t>38</w:t>
      </w:r>
      <w:r>
        <w:fldChar w:fldCharType="end"/>
      </w:r>
      <w:r>
        <w:fldChar w:fldCharType="end"/>
      </w:r>
    </w:p>
    <w:p w14:paraId="3AA22ACA">
      <w:pPr>
        <w:pStyle w:val="21"/>
        <w:tabs>
          <w:tab w:val="right" w:leader="dot" w:pos="8494"/>
        </w:tabs>
        <w:spacing w:line="360" w:lineRule="auto"/>
        <w:rPr>
          <w:rFonts w:asciiTheme="minorHAnsi" w:hAnsiTheme="minorHAnsi"/>
        </w:rPr>
      </w:pPr>
      <w:r>
        <w:fldChar w:fldCharType="begin"/>
      </w:r>
      <w:r>
        <w:instrText xml:space="preserve"> HYPERLINK \l "_Toc488938626" </w:instrText>
      </w:r>
      <w:r>
        <w:fldChar w:fldCharType="separate"/>
      </w:r>
      <w:r>
        <w:rPr>
          <w:rStyle w:val="31"/>
          <w:rFonts w:hint="eastAsia" w:ascii="宋体" w:hAnsi="宋体"/>
        </w:rPr>
        <w:t>十七、违约责任</w:t>
      </w:r>
      <w:r>
        <w:tab/>
      </w:r>
      <w:r>
        <w:fldChar w:fldCharType="begin"/>
      </w:r>
      <w:r>
        <w:instrText xml:space="preserve"> PAGEREF _Toc488938626 \h </w:instrText>
      </w:r>
      <w:r>
        <w:fldChar w:fldCharType="separate"/>
      </w:r>
      <w:r>
        <w:t>39</w:t>
      </w:r>
      <w:r>
        <w:fldChar w:fldCharType="end"/>
      </w:r>
      <w:r>
        <w:fldChar w:fldCharType="end"/>
      </w:r>
    </w:p>
    <w:p w14:paraId="7A5059BA">
      <w:pPr>
        <w:pStyle w:val="21"/>
        <w:tabs>
          <w:tab w:val="right" w:leader="dot" w:pos="8494"/>
        </w:tabs>
        <w:spacing w:line="360" w:lineRule="auto"/>
        <w:rPr>
          <w:rFonts w:asciiTheme="minorHAnsi" w:hAnsiTheme="minorHAnsi"/>
        </w:rPr>
      </w:pPr>
      <w:r>
        <w:fldChar w:fldCharType="begin"/>
      </w:r>
      <w:r>
        <w:instrText xml:space="preserve"> HYPERLINK \l "_Toc488938627" </w:instrText>
      </w:r>
      <w:r>
        <w:fldChar w:fldCharType="separate"/>
      </w:r>
      <w:r>
        <w:rPr>
          <w:rStyle w:val="31"/>
          <w:rFonts w:hint="eastAsia" w:ascii="宋体" w:hAnsi="宋体"/>
        </w:rPr>
        <w:t>十八、争议解决方式</w:t>
      </w:r>
      <w:r>
        <w:tab/>
      </w:r>
      <w:r>
        <w:fldChar w:fldCharType="begin"/>
      </w:r>
      <w:r>
        <w:instrText xml:space="preserve"> PAGEREF _Toc488938627 \h </w:instrText>
      </w:r>
      <w:r>
        <w:fldChar w:fldCharType="separate"/>
      </w:r>
      <w:r>
        <w:t>40</w:t>
      </w:r>
      <w:r>
        <w:fldChar w:fldCharType="end"/>
      </w:r>
      <w:r>
        <w:fldChar w:fldCharType="end"/>
      </w:r>
    </w:p>
    <w:p w14:paraId="778F264F">
      <w:pPr>
        <w:pStyle w:val="21"/>
        <w:tabs>
          <w:tab w:val="right" w:leader="dot" w:pos="8494"/>
        </w:tabs>
        <w:spacing w:line="360" w:lineRule="auto"/>
        <w:rPr>
          <w:rFonts w:asciiTheme="minorHAnsi" w:hAnsiTheme="minorHAnsi"/>
        </w:rPr>
      </w:pPr>
      <w:r>
        <w:fldChar w:fldCharType="begin"/>
      </w:r>
      <w:r>
        <w:instrText xml:space="preserve"> HYPERLINK \l "_Toc488938628" </w:instrText>
      </w:r>
      <w:r>
        <w:fldChar w:fldCharType="separate"/>
      </w:r>
      <w:r>
        <w:rPr>
          <w:rStyle w:val="31"/>
          <w:rFonts w:hint="eastAsia" w:ascii="宋体" w:hAnsi="宋体"/>
        </w:rPr>
        <w:t>十九、托管协议的效力</w:t>
      </w:r>
      <w:r>
        <w:tab/>
      </w:r>
      <w:r>
        <w:fldChar w:fldCharType="begin"/>
      </w:r>
      <w:r>
        <w:instrText xml:space="preserve"> PAGEREF _Toc488938628 \h </w:instrText>
      </w:r>
      <w:r>
        <w:fldChar w:fldCharType="separate"/>
      </w:r>
      <w:r>
        <w:t>41</w:t>
      </w:r>
      <w:r>
        <w:fldChar w:fldCharType="end"/>
      </w:r>
      <w:r>
        <w:fldChar w:fldCharType="end"/>
      </w:r>
    </w:p>
    <w:p w14:paraId="49BD9AB6">
      <w:pPr>
        <w:pStyle w:val="21"/>
        <w:tabs>
          <w:tab w:val="right" w:leader="dot" w:pos="8494"/>
        </w:tabs>
        <w:spacing w:line="360" w:lineRule="auto"/>
        <w:rPr>
          <w:rFonts w:asciiTheme="minorHAnsi" w:hAnsiTheme="minorHAnsi"/>
        </w:rPr>
      </w:pPr>
      <w:r>
        <w:fldChar w:fldCharType="begin"/>
      </w:r>
      <w:r>
        <w:instrText xml:space="preserve"> HYPERLINK \l "_Toc488938629" </w:instrText>
      </w:r>
      <w:r>
        <w:fldChar w:fldCharType="separate"/>
      </w:r>
      <w:r>
        <w:rPr>
          <w:rStyle w:val="31"/>
          <w:rFonts w:hint="eastAsia" w:ascii="宋体" w:hAnsi="宋体"/>
        </w:rPr>
        <w:t>二十、其他事项</w:t>
      </w:r>
      <w:r>
        <w:tab/>
      </w:r>
      <w:r>
        <w:fldChar w:fldCharType="begin"/>
      </w:r>
      <w:r>
        <w:instrText xml:space="preserve"> PAGEREF _Toc488938629 \h </w:instrText>
      </w:r>
      <w:r>
        <w:fldChar w:fldCharType="separate"/>
      </w:r>
      <w:r>
        <w:t>42</w:t>
      </w:r>
      <w:r>
        <w:fldChar w:fldCharType="end"/>
      </w:r>
      <w:r>
        <w:fldChar w:fldCharType="end"/>
      </w:r>
    </w:p>
    <w:p w14:paraId="09E51542">
      <w:pPr>
        <w:pStyle w:val="21"/>
        <w:tabs>
          <w:tab w:val="right" w:leader="dot" w:pos="8494"/>
        </w:tabs>
        <w:spacing w:line="360" w:lineRule="auto"/>
        <w:rPr>
          <w:rFonts w:asciiTheme="minorHAnsi" w:hAnsiTheme="minorHAnsi"/>
        </w:rPr>
      </w:pPr>
      <w:r>
        <w:fldChar w:fldCharType="begin"/>
      </w:r>
      <w:r>
        <w:instrText xml:space="preserve"> HYPERLINK \l "_Toc488938630" </w:instrText>
      </w:r>
      <w:r>
        <w:fldChar w:fldCharType="separate"/>
      </w:r>
      <w:r>
        <w:rPr>
          <w:rStyle w:val="31"/>
          <w:rFonts w:hint="eastAsia" w:ascii="宋体" w:hAnsi="宋体"/>
        </w:rPr>
        <w:t>二十一、托管协议的签订</w:t>
      </w:r>
      <w:r>
        <w:tab/>
      </w:r>
      <w:r>
        <w:fldChar w:fldCharType="begin"/>
      </w:r>
      <w:r>
        <w:instrText xml:space="preserve"> PAGEREF _Toc488938630 \h </w:instrText>
      </w:r>
      <w:r>
        <w:fldChar w:fldCharType="separate"/>
      </w:r>
      <w:r>
        <w:t>43</w:t>
      </w:r>
      <w:r>
        <w:fldChar w:fldCharType="end"/>
      </w:r>
      <w:r>
        <w:fldChar w:fldCharType="end"/>
      </w:r>
    </w:p>
    <w:p w14:paraId="346D2FFD">
      <w:pPr>
        <w:pStyle w:val="21"/>
        <w:tabs>
          <w:tab w:val="right" w:leader="dot" w:pos="8494"/>
        </w:tabs>
        <w:spacing w:line="360" w:lineRule="auto"/>
        <w:rPr>
          <w:rFonts w:asciiTheme="minorHAnsi" w:hAnsiTheme="minorHAnsi"/>
        </w:rPr>
      </w:pPr>
      <w:r>
        <w:fldChar w:fldCharType="begin"/>
      </w:r>
      <w:r>
        <w:instrText xml:space="preserve"> HYPERLINK \l "_Toc488938631" </w:instrText>
      </w:r>
      <w:r>
        <w:fldChar w:fldCharType="separate"/>
      </w:r>
      <w:r>
        <w:rPr>
          <w:rStyle w:val="31"/>
          <w:rFonts w:hint="eastAsia" w:ascii="宋体" w:hAnsi="宋体"/>
        </w:rPr>
        <w:t>附件：托管银行证券资金结算规定</w:t>
      </w:r>
      <w:r>
        <w:tab/>
      </w:r>
      <w:r>
        <w:fldChar w:fldCharType="begin"/>
      </w:r>
      <w:r>
        <w:instrText xml:space="preserve"> PAGEREF _Toc488938631 \h </w:instrText>
      </w:r>
      <w:r>
        <w:fldChar w:fldCharType="separate"/>
      </w:r>
      <w:r>
        <w:t>44</w:t>
      </w:r>
      <w:r>
        <w:fldChar w:fldCharType="end"/>
      </w:r>
      <w:r>
        <w:fldChar w:fldCharType="end"/>
      </w:r>
    </w:p>
    <w:p w14:paraId="57BAC64E">
      <w:pPr>
        <w:pStyle w:val="21"/>
        <w:tabs>
          <w:tab w:val="right" w:leader="dot" w:pos="8494"/>
        </w:tabs>
        <w:spacing w:line="360" w:lineRule="auto"/>
        <w:rPr>
          <w:rFonts w:ascii="宋体" w:hAnsi="宋体"/>
          <w:sz w:val="24"/>
        </w:rPr>
      </w:pPr>
      <w:r>
        <w:fldChar w:fldCharType="end"/>
      </w:r>
    </w:p>
    <w:p w14:paraId="33568EF4">
      <w:pPr>
        <w:spacing w:line="360" w:lineRule="auto"/>
        <w:rPr>
          <w:rFonts w:ascii="宋体" w:hAnsi="宋体"/>
          <w:sz w:val="24"/>
        </w:rPr>
      </w:pPr>
      <w:r>
        <w:rPr>
          <w:rFonts w:ascii="宋体" w:hAnsi="宋体"/>
          <w:sz w:val="24"/>
        </w:rPr>
        <w:br w:type="page"/>
      </w:r>
    </w:p>
    <w:p w14:paraId="1AB700B5">
      <w:pPr>
        <w:widowControl/>
        <w:spacing w:line="360" w:lineRule="auto"/>
        <w:ind w:firstLine="480" w:firstLineChars="200"/>
        <w:rPr>
          <w:rFonts w:ascii="宋体" w:hAnsi="宋体"/>
          <w:kern w:val="0"/>
          <w:sz w:val="24"/>
        </w:rPr>
      </w:pPr>
      <w:r>
        <w:rPr>
          <w:rFonts w:hint="eastAsia" w:ascii="宋体" w:hAnsi="宋体"/>
          <w:kern w:val="0"/>
          <w:sz w:val="24"/>
        </w:rPr>
        <w:t>鉴于</w:t>
      </w:r>
      <w:r>
        <w:rPr>
          <w:rFonts w:hint="eastAsia" w:ascii="宋体" w:hAnsi="宋体" w:cs="Arial"/>
          <w:sz w:val="24"/>
        </w:rPr>
        <w:t>交银施罗德基金</w:t>
      </w:r>
      <w:r>
        <w:rPr>
          <w:rFonts w:hint="eastAsia" w:ascii="宋体" w:hAnsi="宋体"/>
          <w:sz w:val="24"/>
        </w:rPr>
        <w:t>管理有限公司</w:t>
      </w:r>
      <w:r>
        <w:rPr>
          <w:rFonts w:hint="eastAsia" w:ascii="宋体" w:hAnsi="宋体"/>
          <w:kern w:val="0"/>
          <w:sz w:val="24"/>
        </w:rPr>
        <w:t>系一家依照中国法律合法成立并有效存续的有限责任公司，按照相关法律法规的规定具备担任基金管理人的资格和能力，拟募集发行</w:t>
      </w:r>
      <w:r>
        <w:rPr>
          <w:rFonts w:hint="eastAsia" w:ascii="宋体" w:hAnsi="宋体" w:cs="Arial"/>
          <w:kern w:val="0"/>
          <w:sz w:val="24"/>
        </w:rPr>
        <w:t>交银施罗德招享一年持有期混合型基金中基金（FOF）</w:t>
      </w:r>
      <w:r>
        <w:rPr>
          <w:rFonts w:hint="eastAsia" w:ascii="宋体" w:hAnsi="宋体"/>
          <w:kern w:val="0"/>
          <w:sz w:val="24"/>
        </w:rPr>
        <w:t>；</w:t>
      </w:r>
    </w:p>
    <w:p w14:paraId="79A2DFF7">
      <w:pPr>
        <w:widowControl/>
        <w:spacing w:line="360" w:lineRule="auto"/>
        <w:ind w:firstLine="480" w:firstLineChars="200"/>
        <w:rPr>
          <w:rFonts w:ascii="宋体" w:hAnsi="宋体"/>
          <w:kern w:val="0"/>
          <w:sz w:val="24"/>
        </w:rPr>
      </w:pPr>
      <w:r>
        <w:rPr>
          <w:rFonts w:hint="eastAsia" w:ascii="宋体" w:hAnsi="宋体"/>
          <w:kern w:val="0"/>
          <w:sz w:val="24"/>
        </w:rPr>
        <w:t>鉴于招商银行股份有限公司系一家依照中国法律合法成立并有效存续的银行，按照相关法律法规的规定具备担任基金托管人的资格和能力；</w:t>
      </w:r>
    </w:p>
    <w:p w14:paraId="7876FA1E">
      <w:pPr>
        <w:widowControl/>
        <w:spacing w:line="360" w:lineRule="auto"/>
        <w:ind w:firstLine="480" w:firstLineChars="200"/>
        <w:rPr>
          <w:rFonts w:ascii="宋体" w:hAnsi="宋体"/>
          <w:kern w:val="0"/>
          <w:sz w:val="24"/>
        </w:rPr>
      </w:pPr>
      <w:r>
        <w:rPr>
          <w:rFonts w:hint="eastAsia" w:ascii="宋体" w:hAnsi="宋体"/>
          <w:kern w:val="0"/>
          <w:sz w:val="24"/>
        </w:rPr>
        <w:t>鉴于</w:t>
      </w:r>
      <w:r>
        <w:rPr>
          <w:rFonts w:hint="eastAsia" w:ascii="宋体" w:hAnsi="宋体" w:cs="Arial"/>
          <w:sz w:val="24"/>
        </w:rPr>
        <w:t>交银施罗德基金</w:t>
      </w:r>
      <w:r>
        <w:rPr>
          <w:rFonts w:hint="eastAsia" w:ascii="宋体" w:hAnsi="宋体"/>
          <w:sz w:val="24"/>
        </w:rPr>
        <w:t>管理有限公司</w:t>
      </w:r>
      <w:r>
        <w:rPr>
          <w:rFonts w:hint="eastAsia" w:ascii="宋体" w:hAnsi="宋体"/>
          <w:kern w:val="0"/>
          <w:sz w:val="24"/>
        </w:rPr>
        <w:t>拟担任</w:t>
      </w:r>
      <w:r>
        <w:rPr>
          <w:rFonts w:hint="eastAsia" w:ascii="宋体" w:hAnsi="宋体" w:cs="Arial"/>
          <w:kern w:val="0"/>
          <w:sz w:val="24"/>
        </w:rPr>
        <w:t>交银施罗德招享一年持有期混合型基金中基金（FOF）</w:t>
      </w:r>
      <w:r>
        <w:rPr>
          <w:rFonts w:hint="eastAsia" w:ascii="宋体" w:hAnsi="宋体"/>
          <w:kern w:val="0"/>
          <w:sz w:val="24"/>
        </w:rPr>
        <w:t>的基金管理人，招商银行股份有限公司拟担任</w:t>
      </w:r>
      <w:r>
        <w:rPr>
          <w:rFonts w:hint="eastAsia" w:ascii="宋体" w:hAnsi="宋体" w:cs="Arial"/>
          <w:kern w:val="0"/>
          <w:sz w:val="24"/>
        </w:rPr>
        <w:t>交银施罗德招享一年持有期混合型基金中基金（FOF）</w:t>
      </w:r>
      <w:r>
        <w:rPr>
          <w:rFonts w:hint="eastAsia" w:ascii="宋体" w:hAnsi="宋体"/>
          <w:kern w:val="0"/>
          <w:sz w:val="24"/>
        </w:rPr>
        <w:t>的基金托管人；</w:t>
      </w:r>
    </w:p>
    <w:p w14:paraId="0766469D">
      <w:pPr>
        <w:widowControl/>
        <w:spacing w:line="360" w:lineRule="auto"/>
        <w:ind w:firstLine="480" w:firstLineChars="200"/>
        <w:rPr>
          <w:rFonts w:ascii="宋体" w:hAnsi="宋体"/>
          <w:kern w:val="0"/>
          <w:sz w:val="24"/>
        </w:rPr>
      </w:pPr>
      <w:r>
        <w:rPr>
          <w:rFonts w:hint="eastAsia" w:ascii="宋体" w:hAnsi="宋体"/>
          <w:kern w:val="0"/>
          <w:sz w:val="24"/>
        </w:rPr>
        <w:t>为明确</w:t>
      </w:r>
      <w:r>
        <w:rPr>
          <w:rFonts w:hint="eastAsia" w:ascii="宋体" w:hAnsi="宋体" w:cs="Arial"/>
          <w:kern w:val="0"/>
          <w:sz w:val="24"/>
        </w:rPr>
        <w:t>交银施罗德招享一年持有期混合型基金中基金（FOF）</w:t>
      </w:r>
      <w:r>
        <w:rPr>
          <w:rFonts w:hint="eastAsia" w:ascii="宋体" w:hAnsi="宋体"/>
          <w:kern w:val="0"/>
          <w:sz w:val="24"/>
        </w:rPr>
        <w:t>的基金管理人和基金托管人之间的权利义务关系，特制订本托管协议；</w:t>
      </w:r>
    </w:p>
    <w:p w14:paraId="79AFB64B">
      <w:pPr>
        <w:widowControl/>
        <w:spacing w:line="360" w:lineRule="auto"/>
        <w:ind w:firstLine="480" w:firstLineChars="200"/>
        <w:rPr>
          <w:rFonts w:ascii="宋体" w:hAnsi="宋体"/>
          <w:kern w:val="0"/>
          <w:sz w:val="24"/>
          <w:lang w:val="en-GB"/>
        </w:rPr>
      </w:pPr>
      <w:r>
        <w:rPr>
          <w:rFonts w:hint="eastAsia" w:ascii="宋体" w:hAnsi="宋体"/>
          <w:kern w:val="0"/>
          <w:sz w:val="24"/>
          <w:lang w:val="en-GB"/>
        </w:rPr>
        <w:t>除非另有约定，《</w:t>
      </w:r>
      <w:r>
        <w:rPr>
          <w:rFonts w:hint="eastAsia" w:ascii="宋体" w:hAnsi="宋体" w:cs="Arial"/>
          <w:kern w:val="0"/>
          <w:sz w:val="24"/>
        </w:rPr>
        <w:t>交银施罗德招享一年持有期混合型基金中基金（FOF）</w:t>
      </w:r>
      <w:r>
        <w:rPr>
          <w:rFonts w:hint="eastAsia" w:ascii="宋体" w:hAnsi="宋体"/>
          <w:kern w:val="0"/>
          <w:sz w:val="24"/>
          <w:lang w:val="en-GB"/>
        </w:rPr>
        <w:t>基金合同》</w:t>
      </w:r>
      <w:r>
        <w:rPr>
          <w:rFonts w:ascii="宋体" w:hAnsi="宋体"/>
          <w:kern w:val="0"/>
          <w:sz w:val="24"/>
          <w:lang w:val="en-GB"/>
        </w:rPr>
        <w:t>(以下简称“基金合同”)中定义的术语在用于本托管协议时应具有相同的含义</w:t>
      </w:r>
      <w:r>
        <w:rPr>
          <w:rFonts w:hint="eastAsia" w:ascii="宋体" w:hAnsi="宋体"/>
          <w:kern w:val="0"/>
          <w:sz w:val="24"/>
          <w:lang w:val="en-GB"/>
        </w:rPr>
        <w:t>，若有抵触应以基金合同为准。</w:t>
      </w:r>
    </w:p>
    <w:p w14:paraId="64F16377">
      <w:pPr>
        <w:widowControl/>
        <w:spacing w:line="360" w:lineRule="auto"/>
        <w:ind w:firstLine="480" w:firstLineChars="200"/>
        <w:rPr>
          <w:rFonts w:ascii="宋体" w:hAnsi="宋体"/>
          <w:sz w:val="24"/>
          <w:lang w:val="en-GB"/>
        </w:rPr>
      </w:pPr>
      <w:r>
        <w:rPr>
          <w:rFonts w:hint="eastAsia" w:ascii="宋体" w:hAnsi="宋体"/>
          <w:kern w:val="0"/>
          <w:sz w:val="24"/>
          <w:lang w:val="en-GB"/>
        </w:rPr>
        <w:t>若本基金实施侧袋机制的，侧袋机制实施期间的相关安排见基金合同和招募说明书的规定。</w:t>
      </w:r>
    </w:p>
    <w:p w14:paraId="1B81AEC4">
      <w:pPr>
        <w:pStyle w:val="3"/>
        <w:spacing w:before="312" w:beforeLines="100" w:after="156" w:afterLines="50" w:line="360" w:lineRule="auto"/>
        <w:jc w:val="center"/>
        <w:rPr>
          <w:rFonts w:ascii="宋体" w:hAnsi="宋体"/>
          <w:sz w:val="24"/>
        </w:rPr>
      </w:pPr>
      <w:r>
        <w:rPr>
          <w:rFonts w:ascii="宋体" w:hAnsi="宋体"/>
          <w:sz w:val="24"/>
        </w:rPr>
        <w:br w:type="page"/>
      </w:r>
      <w:bookmarkStart w:id="5" w:name="_Toc488938610"/>
      <w:bookmarkStart w:id="6" w:name="_Toc384992691"/>
      <w:bookmarkStart w:id="7" w:name="_Toc348082029"/>
      <w:r>
        <w:rPr>
          <w:rFonts w:hint="eastAsia" w:ascii="宋体" w:hAnsi="宋体"/>
          <w:sz w:val="24"/>
        </w:rPr>
        <w:t>一、基金托管协议当事人</w:t>
      </w:r>
      <w:bookmarkEnd w:id="5"/>
      <w:bookmarkEnd w:id="6"/>
      <w:bookmarkEnd w:id="7"/>
    </w:p>
    <w:p w14:paraId="591A4335">
      <w:pPr>
        <w:spacing w:line="360" w:lineRule="auto"/>
        <w:ind w:firstLine="480" w:firstLineChars="200"/>
        <w:rPr>
          <w:rFonts w:ascii="宋体" w:hAnsi="宋体"/>
          <w:sz w:val="24"/>
        </w:rPr>
      </w:pPr>
      <w:r>
        <w:rPr>
          <w:rFonts w:hint="eastAsia" w:ascii="宋体" w:hAnsi="宋体"/>
          <w:sz w:val="24"/>
        </w:rPr>
        <w:t>（一）基金管理人</w:t>
      </w:r>
    </w:p>
    <w:p w14:paraId="5F913652">
      <w:pPr>
        <w:spacing w:line="360" w:lineRule="auto"/>
        <w:ind w:firstLine="480" w:firstLineChars="200"/>
        <w:rPr>
          <w:rFonts w:ascii="宋体" w:hAnsi="宋体"/>
          <w:sz w:val="24"/>
        </w:rPr>
      </w:pPr>
      <w:r>
        <w:rPr>
          <w:rFonts w:hint="eastAsia" w:ascii="宋体" w:hAnsi="宋体"/>
          <w:sz w:val="24"/>
        </w:rPr>
        <w:t>名称：交银施罗德基金管理有限公司</w:t>
      </w:r>
    </w:p>
    <w:p w14:paraId="60DDE179">
      <w:pPr>
        <w:spacing w:line="360" w:lineRule="auto"/>
        <w:ind w:firstLine="480" w:firstLineChars="200"/>
        <w:rPr>
          <w:rFonts w:ascii="宋体" w:hAnsi="宋体"/>
          <w:sz w:val="24"/>
        </w:rPr>
      </w:pPr>
      <w:r>
        <w:rPr>
          <w:rFonts w:hint="eastAsia" w:ascii="宋体" w:hAnsi="宋体"/>
          <w:sz w:val="24"/>
        </w:rPr>
        <w:t>住所：中国（上海）自由贸易试验区银城中路</w:t>
      </w:r>
      <w:r>
        <w:rPr>
          <w:rFonts w:ascii="宋体" w:hAnsi="宋体"/>
          <w:sz w:val="24"/>
        </w:rPr>
        <w:t>188</w:t>
      </w:r>
      <w:r>
        <w:rPr>
          <w:rFonts w:hint="eastAsia" w:ascii="宋体" w:hAnsi="宋体"/>
          <w:sz w:val="24"/>
        </w:rPr>
        <w:t>号交通银行大楼二层（裙）</w:t>
      </w:r>
    </w:p>
    <w:p w14:paraId="3B1FB832">
      <w:pPr>
        <w:spacing w:line="360" w:lineRule="auto"/>
        <w:ind w:firstLine="480" w:firstLineChars="200"/>
        <w:rPr>
          <w:rFonts w:ascii="宋体" w:hAnsi="宋体"/>
          <w:sz w:val="24"/>
        </w:rPr>
      </w:pPr>
      <w:r>
        <w:rPr>
          <w:rFonts w:hint="eastAsia" w:ascii="宋体" w:hAnsi="宋体"/>
          <w:sz w:val="24"/>
        </w:rPr>
        <w:t>办公地址：上海市浦东新区世纪大道</w:t>
      </w:r>
      <w:r>
        <w:rPr>
          <w:rFonts w:ascii="宋体" w:hAnsi="宋体"/>
          <w:sz w:val="24"/>
        </w:rPr>
        <w:t>8</w:t>
      </w:r>
      <w:r>
        <w:rPr>
          <w:rFonts w:hint="eastAsia" w:ascii="宋体" w:hAnsi="宋体"/>
          <w:sz w:val="24"/>
        </w:rPr>
        <w:t>号国金中心二期</w:t>
      </w:r>
      <w:r>
        <w:rPr>
          <w:rFonts w:ascii="宋体" w:hAnsi="宋体"/>
          <w:sz w:val="24"/>
        </w:rPr>
        <w:t>21-22</w:t>
      </w:r>
      <w:r>
        <w:rPr>
          <w:rFonts w:hint="eastAsia" w:ascii="宋体" w:hAnsi="宋体"/>
          <w:sz w:val="24"/>
        </w:rPr>
        <w:t>楼</w:t>
      </w:r>
    </w:p>
    <w:p w14:paraId="4AEA3CD1">
      <w:pPr>
        <w:spacing w:line="360" w:lineRule="auto"/>
        <w:ind w:firstLine="480" w:firstLineChars="200"/>
        <w:rPr>
          <w:rFonts w:ascii="宋体" w:hAnsi="宋体"/>
          <w:sz w:val="24"/>
        </w:rPr>
      </w:pPr>
      <w:r>
        <w:rPr>
          <w:rFonts w:hint="eastAsia" w:ascii="宋体" w:hAnsi="宋体"/>
          <w:sz w:val="24"/>
        </w:rPr>
        <w:t>邮政编码：</w:t>
      </w:r>
      <w:r>
        <w:rPr>
          <w:rFonts w:ascii="宋体" w:hAnsi="宋体"/>
          <w:sz w:val="24"/>
        </w:rPr>
        <w:t>200120</w:t>
      </w:r>
    </w:p>
    <w:p w14:paraId="172BF1EC">
      <w:pPr>
        <w:spacing w:line="360" w:lineRule="auto"/>
        <w:ind w:firstLine="480" w:firstLineChars="200"/>
        <w:rPr>
          <w:rFonts w:ascii="宋体" w:hAnsi="宋体"/>
          <w:sz w:val="24"/>
        </w:rPr>
      </w:pPr>
      <w:r>
        <w:rPr>
          <w:rFonts w:hint="eastAsia" w:ascii="宋体" w:hAnsi="宋体"/>
          <w:sz w:val="24"/>
        </w:rPr>
        <w:t>法定代表人：袁庆伟（代任）</w:t>
      </w:r>
    </w:p>
    <w:p w14:paraId="0BECB5F7">
      <w:pPr>
        <w:spacing w:line="360" w:lineRule="auto"/>
        <w:ind w:firstLine="480" w:firstLineChars="200"/>
        <w:rPr>
          <w:rFonts w:ascii="宋体" w:hAnsi="宋体"/>
          <w:sz w:val="24"/>
        </w:rPr>
      </w:pPr>
      <w:r>
        <w:rPr>
          <w:rFonts w:hint="eastAsia" w:ascii="宋体" w:hAnsi="宋体"/>
          <w:sz w:val="24"/>
        </w:rPr>
        <w:t>成立时间：</w:t>
      </w:r>
      <w:r>
        <w:rPr>
          <w:rFonts w:ascii="宋体" w:hAnsi="宋体"/>
          <w:sz w:val="24"/>
        </w:rPr>
        <w:t>2005年8月4日</w:t>
      </w:r>
    </w:p>
    <w:p w14:paraId="130D864C">
      <w:pPr>
        <w:spacing w:line="360" w:lineRule="auto"/>
        <w:ind w:firstLine="480" w:firstLineChars="200"/>
        <w:rPr>
          <w:rFonts w:ascii="宋体" w:hAnsi="宋体"/>
          <w:sz w:val="24"/>
        </w:rPr>
      </w:pPr>
      <w:r>
        <w:rPr>
          <w:rFonts w:hint="eastAsia" w:ascii="宋体" w:hAnsi="宋体"/>
          <w:sz w:val="24"/>
        </w:rPr>
        <w:t>批准设立机关：中国证券监督管理委员会</w:t>
      </w:r>
    </w:p>
    <w:p w14:paraId="08E5C29E">
      <w:pPr>
        <w:spacing w:line="360" w:lineRule="auto"/>
        <w:ind w:firstLine="480" w:firstLineChars="200"/>
        <w:rPr>
          <w:rFonts w:ascii="宋体" w:hAnsi="宋体"/>
          <w:sz w:val="24"/>
        </w:rPr>
      </w:pPr>
      <w:r>
        <w:rPr>
          <w:rFonts w:hint="eastAsia" w:ascii="宋体" w:hAnsi="宋体"/>
          <w:sz w:val="24"/>
        </w:rPr>
        <w:t>批准设立文号：中国证监会证监基金字[</w:t>
      </w:r>
      <w:r>
        <w:rPr>
          <w:rFonts w:ascii="宋体" w:hAnsi="宋体"/>
          <w:sz w:val="24"/>
        </w:rPr>
        <w:t>2005</w:t>
      </w:r>
      <w:r>
        <w:rPr>
          <w:rFonts w:hint="eastAsia" w:ascii="宋体" w:hAnsi="宋体"/>
          <w:sz w:val="24"/>
        </w:rPr>
        <w:t>]</w:t>
      </w:r>
      <w:r>
        <w:rPr>
          <w:rFonts w:ascii="宋体" w:hAnsi="宋体"/>
          <w:sz w:val="24"/>
        </w:rPr>
        <w:t>128</w:t>
      </w:r>
      <w:r>
        <w:rPr>
          <w:rFonts w:hint="eastAsia" w:ascii="宋体" w:hAnsi="宋体"/>
          <w:sz w:val="24"/>
        </w:rPr>
        <w:t>号</w:t>
      </w:r>
    </w:p>
    <w:p w14:paraId="7167D2EE">
      <w:pPr>
        <w:spacing w:line="360" w:lineRule="auto"/>
        <w:ind w:firstLine="480" w:firstLineChars="200"/>
        <w:rPr>
          <w:rFonts w:ascii="宋体" w:hAnsi="宋体"/>
          <w:sz w:val="24"/>
        </w:rPr>
      </w:pPr>
      <w:r>
        <w:rPr>
          <w:rFonts w:hint="eastAsia" w:ascii="宋体" w:hAnsi="宋体"/>
          <w:sz w:val="24"/>
        </w:rPr>
        <w:t>组织形式：有限责任公司</w:t>
      </w:r>
    </w:p>
    <w:p w14:paraId="3713E2C2">
      <w:pPr>
        <w:spacing w:line="360" w:lineRule="auto"/>
        <w:ind w:firstLine="480" w:firstLineChars="200"/>
        <w:rPr>
          <w:rFonts w:ascii="宋体" w:hAnsi="宋体"/>
          <w:sz w:val="24"/>
        </w:rPr>
      </w:pPr>
      <w:r>
        <w:rPr>
          <w:rFonts w:hint="eastAsia" w:ascii="宋体" w:hAnsi="宋体"/>
          <w:sz w:val="24"/>
        </w:rPr>
        <w:t>注册资本：</w:t>
      </w:r>
      <w:r>
        <w:rPr>
          <w:rFonts w:ascii="宋体" w:hAnsi="宋体"/>
          <w:sz w:val="24"/>
        </w:rPr>
        <w:t>2</w:t>
      </w:r>
      <w:r>
        <w:rPr>
          <w:rFonts w:hint="eastAsia" w:ascii="宋体" w:hAnsi="宋体"/>
          <w:sz w:val="24"/>
        </w:rPr>
        <w:t>亿元人民币</w:t>
      </w:r>
    </w:p>
    <w:p w14:paraId="10EEEE57">
      <w:pPr>
        <w:spacing w:line="360" w:lineRule="auto"/>
        <w:ind w:firstLine="480" w:firstLineChars="200"/>
        <w:rPr>
          <w:rFonts w:ascii="宋体" w:hAnsi="宋体"/>
          <w:sz w:val="24"/>
        </w:rPr>
      </w:pPr>
      <w:r>
        <w:rPr>
          <w:rFonts w:hint="eastAsia" w:ascii="宋体" w:hAnsi="宋体"/>
          <w:sz w:val="24"/>
        </w:rPr>
        <w:t>存续期间：持续经营</w:t>
      </w:r>
    </w:p>
    <w:p w14:paraId="393A4C7C">
      <w:pPr>
        <w:spacing w:line="360" w:lineRule="auto"/>
        <w:ind w:firstLine="480" w:firstLineChars="200"/>
        <w:rPr>
          <w:rFonts w:ascii="宋体" w:hAnsi="宋体"/>
          <w:sz w:val="24"/>
        </w:rPr>
      </w:pPr>
      <w:r>
        <w:rPr>
          <w:rFonts w:hint="eastAsia" w:ascii="宋体" w:hAnsi="宋体"/>
          <w:sz w:val="24"/>
        </w:rPr>
        <w:t>经营范围：基金募集、基金销售、资产管理和中国证监会许可的其他业务。</w:t>
      </w:r>
    </w:p>
    <w:p w14:paraId="0C94F276">
      <w:pPr>
        <w:spacing w:line="360" w:lineRule="auto"/>
        <w:ind w:firstLine="480" w:firstLineChars="200"/>
        <w:rPr>
          <w:rFonts w:ascii="宋体" w:hAnsi="宋体"/>
          <w:sz w:val="24"/>
        </w:rPr>
      </w:pPr>
      <w:r>
        <w:rPr>
          <w:rFonts w:hint="eastAsia" w:ascii="宋体" w:hAnsi="宋体"/>
          <w:sz w:val="24"/>
        </w:rPr>
        <w:t>（二）基金托管人</w:t>
      </w:r>
    </w:p>
    <w:p w14:paraId="4926624C">
      <w:pPr>
        <w:spacing w:line="360" w:lineRule="auto"/>
        <w:ind w:firstLine="480" w:firstLineChars="200"/>
        <w:rPr>
          <w:rFonts w:ascii="宋体" w:hAnsi="宋体"/>
          <w:sz w:val="24"/>
        </w:rPr>
      </w:pPr>
      <w:r>
        <w:rPr>
          <w:rFonts w:hint="eastAsia" w:ascii="宋体" w:hAnsi="宋体"/>
          <w:sz w:val="24"/>
        </w:rPr>
        <w:t>名称：招商银行股份有限公司</w:t>
      </w:r>
      <w:r>
        <w:rPr>
          <w:rFonts w:ascii="宋体" w:hAnsi="宋体"/>
          <w:sz w:val="24"/>
        </w:rPr>
        <w:t>(简称：招商银行)</w:t>
      </w:r>
    </w:p>
    <w:p w14:paraId="6095D7BF">
      <w:pPr>
        <w:spacing w:line="360" w:lineRule="auto"/>
        <w:ind w:firstLine="480" w:firstLineChars="200"/>
        <w:rPr>
          <w:rFonts w:ascii="宋体" w:hAnsi="宋体"/>
          <w:sz w:val="24"/>
        </w:rPr>
      </w:pPr>
      <w:r>
        <w:rPr>
          <w:rFonts w:hint="eastAsia" w:ascii="宋体" w:hAnsi="宋体"/>
          <w:sz w:val="24"/>
        </w:rPr>
        <w:t>住所：深圳市深南大道</w:t>
      </w:r>
      <w:r>
        <w:rPr>
          <w:rFonts w:ascii="宋体" w:hAnsi="宋体"/>
          <w:sz w:val="24"/>
        </w:rPr>
        <w:t>7088号招商银行大厦</w:t>
      </w:r>
    </w:p>
    <w:p w14:paraId="6F82A7EE">
      <w:pPr>
        <w:spacing w:line="360" w:lineRule="auto"/>
        <w:ind w:firstLine="480" w:firstLineChars="200"/>
        <w:rPr>
          <w:rFonts w:ascii="宋体" w:hAnsi="宋体"/>
          <w:sz w:val="24"/>
        </w:rPr>
      </w:pPr>
      <w:r>
        <w:rPr>
          <w:rFonts w:hint="eastAsia" w:ascii="宋体" w:hAnsi="宋体"/>
          <w:sz w:val="24"/>
        </w:rPr>
        <w:t>办公地址：深圳市深南大道</w:t>
      </w:r>
      <w:r>
        <w:rPr>
          <w:rFonts w:ascii="宋体" w:hAnsi="宋体"/>
          <w:sz w:val="24"/>
        </w:rPr>
        <w:t>7088号招商银行大厦</w:t>
      </w:r>
    </w:p>
    <w:p w14:paraId="027144BC">
      <w:pPr>
        <w:spacing w:line="360" w:lineRule="auto"/>
        <w:ind w:firstLine="480" w:firstLineChars="200"/>
        <w:rPr>
          <w:rFonts w:ascii="宋体" w:hAnsi="宋体"/>
          <w:sz w:val="24"/>
        </w:rPr>
      </w:pPr>
      <w:r>
        <w:rPr>
          <w:rFonts w:hint="eastAsia" w:ascii="宋体" w:hAnsi="宋体"/>
          <w:sz w:val="24"/>
        </w:rPr>
        <w:t>邮政编码：</w:t>
      </w:r>
      <w:r>
        <w:rPr>
          <w:rFonts w:ascii="宋体" w:hAnsi="宋体"/>
          <w:sz w:val="24"/>
        </w:rPr>
        <w:t>518040</w:t>
      </w:r>
    </w:p>
    <w:p w14:paraId="4E6689BB">
      <w:pPr>
        <w:spacing w:line="360" w:lineRule="auto"/>
        <w:ind w:firstLine="480" w:firstLineChars="200"/>
        <w:rPr>
          <w:rFonts w:ascii="宋体" w:hAnsi="宋体"/>
          <w:sz w:val="24"/>
        </w:rPr>
      </w:pPr>
      <w:r>
        <w:rPr>
          <w:rFonts w:hint="eastAsia" w:ascii="宋体" w:hAnsi="宋体"/>
          <w:sz w:val="24"/>
        </w:rPr>
        <w:t>法定代表人：</w:t>
      </w:r>
      <w:r>
        <w:rPr>
          <w:rFonts w:hint="eastAsia"/>
          <w:bCs/>
          <w:sz w:val="24"/>
        </w:rPr>
        <w:t>缪建民</w:t>
      </w:r>
    </w:p>
    <w:p w14:paraId="4EBEB5EF">
      <w:pPr>
        <w:spacing w:line="360" w:lineRule="auto"/>
        <w:ind w:firstLine="480" w:firstLineChars="200"/>
        <w:rPr>
          <w:rFonts w:ascii="宋体" w:hAnsi="宋体"/>
          <w:sz w:val="24"/>
        </w:rPr>
      </w:pPr>
      <w:r>
        <w:rPr>
          <w:rFonts w:hint="eastAsia" w:ascii="宋体" w:hAnsi="宋体"/>
          <w:sz w:val="24"/>
        </w:rPr>
        <w:t>成立时间：</w:t>
      </w:r>
      <w:r>
        <w:rPr>
          <w:rFonts w:ascii="宋体" w:hAnsi="宋体"/>
          <w:sz w:val="24"/>
        </w:rPr>
        <w:t>1987年</w:t>
      </w:r>
      <w:r>
        <w:rPr>
          <w:rFonts w:hint="eastAsia" w:ascii="宋体" w:hAnsi="宋体"/>
          <w:sz w:val="24"/>
          <w:lang w:val="en-US" w:eastAsia="zh-CN"/>
        </w:rPr>
        <w:t>3</w:t>
      </w:r>
      <w:r>
        <w:rPr>
          <w:rFonts w:ascii="宋体" w:hAnsi="宋体"/>
          <w:sz w:val="24"/>
        </w:rPr>
        <w:t>月</w:t>
      </w:r>
      <w:r>
        <w:rPr>
          <w:rFonts w:hint="eastAsia" w:ascii="宋体" w:hAnsi="宋体"/>
          <w:sz w:val="24"/>
          <w:lang w:val="en-US" w:eastAsia="zh-CN"/>
        </w:rPr>
        <w:t>31</w:t>
      </w:r>
      <w:r>
        <w:rPr>
          <w:rFonts w:ascii="宋体" w:hAnsi="宋体"/>
          <w:sz w:val="24"/>
        </w:rPr>
        <w:t>日</w:t>
      </w:r>
    </w:p>
    <w:p w14:paraId="05566AFE">
      <w:pPr>
        <w:spacing w:line="360" w:lineRule="auto"/>
        <w:ind w:firstLine="480" w:firstLineChars="200"/>
        <w:rPr>
          <w:rFonts w:ascii="宋体" w:hAnsi="宋体"/>
          <w:sz w:val="24"/>
        </w:rPr>
      </w:pPr>
      <w:r>
        <w:rPr>
          <w:rFonts w:hint="eastAsia" w:ascii="宋体" w:hAnsi="宋体"/>
          <w:sz w:val="24"/>
        </w:rPr>
        <w:t>基金托管业务批准文号：证监基金字</w:t>
      </w:r>
      <w:r>
        <w:rPr>
          <w:rFonts w:ascii="宋体" w:hAnsi="宋体"/>
          <w:sz w:val="24"/>
        </w:rPr>
        <w:t>[2002]83号</w:t>
      </w:r>
    </w:p>
    <w:p w14:paraId="5F534B98">
      <w:pPr>
        <w:spacing w:line="360" w:lineRule="auto"/>
        <w:ind w:firstLine="480" w:firstLineChars="200"/>
        <w:rPr>
          <w:rFonts w:ascii="宋体" w:hAnsi="宋体"/>
          <w:sz w:val="24"/>
        </w:rPr>
      </w:pPr>
      <w:r>
        <w:rPr>
          <w:rFonts w:hint="eastAsia" w:ascii="宋体" w:hAnsi="宋体"/>
          <w:sz w:val="24"/>
        </w:rPr>
        <w:t>组织形式：股份有限公司</w:t>
      </w:r>
    </w:p>
    <w:p w14:paraId="1987DE56">
      <w:pPr>
        <w:spacing w:line="360" w:lineRule="auto"/>
        <w:ind w:firstLine="480" w:firstLineChars="200"/>
        <w:rPr>
          <w:rFonts w:ascii="宋体" w:hAnsi="宋体"/>
          <w:sz w:val="24"/>
        </w:rPr>
      </w:pPr>
      <w:r>
        <w:rPr>
          <w:rFonts w:hint="eastAsia" w:ascii="宋体" w:hAnsi="宋体"/>
          <w:sz w:val="24"/>
        </w:rPr>
        <w:t>注册资本：人民币</w:t>
      </w:r>
      <w:r>
        <w:rPr>
          <w:rFonts w:ascii="宋体" w:hAnsi="宋体"/>
          <w:sz w:val="24"/>
        </w:rPr>
        <w:t>252.20</w:t>
      </w:r>
      <w:r>
        <w:rPr>
          <w:rFonts w:hint="eastAsia" w:ascii="宋体" w:hAnsi="宋体"/>
          <w:sz w:val="24"/>
        </w:rPr>
        <w:t>亿元</w:t>
      </w:r>
    </w:p>
    <w:p w14:paraId="0C695419">
      <w:pPr>
        <w:spacing w:line="360" w:lineRule="auto"/>
        <w:ind w:firstLine="480" w:firstLineChars="200"/>
        <w:rPr>
          <w:rFonts w:ascii="宋体" w:hAnsi="宋体"/>
          <w:sz w:val="24"/>
        </w:rPr>
      </w:pPr>
      <w:r>
        <w:rPr>
          <w:rFonts w:hint="eastAsia" w:ascii="宋体" w:hAnsi="宋体"/>
          <w:sz w:val="24"/>
        </w:rPr>
        <w:t>存续期间：持续经营</w:t>
      </w:r>
    </w:p>
    <w:p w14:paraId="3FCC082B">
      <w:pPr>
        <w:pStyle w:val="3"/>
        <w:spacing w:before="312" w:beforeLines="100" w:after="156" w:afterLines="50" w:line="360" w:lineRule="auto"/>
        <w:jc w:val="center"/>
        <w:rPr>
          <w:rFonts w:ascii="宋体" w:hAnsi="宋体"/>
          <w:sz w:val="24"/>
        </w:rPr>
      </w:pPr>
      <w:r>
        <w:rPr>
          <w:rFonts w:ascii="宋体" w:hAnsi="宋体"/>
          <w:sz w:val="24"/>
        </w:rPr>
        <w:br w:type="page"/>
      </w:r>
      <w:bookmarkStart w:id="8" w:name="_Toc384992692"/>
      <w:bookmarkStart w:id="9" w:name="_Toc488938611"/>
      <w:bookmarkStart w:id="10" w:name="_Toc348082030"/>
      <w:r>
        <w:rPr>
          <w:rFonts w:hint="eastAsia" w:ascii="宋体" w:hAnsi="宋体"/>
          <w:sz w:val="24"/>
        </w:rPr>
        <w:t>二、基金托管协议的依据、目的和原则</w:t>
      </w:r>
      <w:bookmarkEnd w:id="8"/>
      <w:bookmarkEnd w:id="9"/>
      <w:bookmarkEnd w:id="10"/>
    </w:p>
    <w:p w14:paraId="11621F3C">
      <w:pPr>
        <w:spacing w:line="360" w:lineRule="auto"/>
        <w:ind w:firstLine="480" w:firstLineChars="200"/>
        <w:rPr>
          <w:rFonts w:ascii="宋体" w:hAnsi="宋体"/>
          <w:sz w:val="24"/>
        </w:rPr>
      </w:pPr>
      <w:r>
        <w:rPr>
          <w:rFonts w:hint="eastAsia" w:ascii="宋体" w:hAnsi="宋体"/>
          <w:sz w:val="24"/>
        </w:rPr>
        <w:t>（一）订立托管协议的依据</w:t>
      </w:r>
    </w:p>
    <w:p w14:paraId="7C54EA74">
      <w:pPr>
        <w:spacing w:line="360" w:lineRule="auto"/>
        <w:ind w:firstLine="480" w:firstLineChars="200"/>
        <w:rPr>
          <w:rFonts w:ascii="宋体" w:hAnsi="宋体"/>
          <w:sz w:val="24"/>
        </w:rPr>
      </w:pPr>
      <w:r>
        <w:rPr>
          <w:rFonts w:hint="eastAsia" w:ascii="宋体" w:hAnsi="宋体"/>
          <w:sz w:val="24"/>
        </w:rPr>
        <w:t>本协议依据《中华人民共和国证券投资基金法》</w:t>
      </w:r>
      <w:r>
        <w:rPr>
          <w:rFonts w:ascii="宋体" w:hAnsi="宋体"/>
          <w:sz w:val="24"/>
        </w:rPr>
        <w:t>(以下简称“《基金法》”)</w:t>
      </w:r>
      <w:r>
        <w:rPr>
          <w:rFonts w:hint="eastAsia" w:ascii="宋体" w:hAnsi="宋体"/>
          <w:sz w:val="24"/>
        </w:rPr>
        <w:t>、《公开募集证券投资基金运作管理办法》（以下简称“《运作办法》”）、《</w:t>
      </w:r>
      <w:r>
        <w:rPr>
          <w:rFonts w:hint="eastAsia"/>
          <w:bCs/>
          <w:sz w:val="24"/>
        </w:rPr>
        <w:t>公开募集</w:t>
      </w:r>
      <w:r>
        <w:rPr>
          <w:rFonts w:hint="eastAsia" w:ascii="宋体" w:hAnsi="宋体"/>
          <w:sz w:val="24"/>
        </w:rPr>
        <w:t>证券投资基金信息披露管理办法》（以下简称“《信息披露办法》”）、</w:t>
      </w:r>
      <w:r>
        <w:rPr>
          <w:rFonts w:hint="eastAsia" w:ascii="宋体" w:hAnsi="宋体"/>
          <w:color w:val="0D0D0D"/>
          <w:sz w:val="24"/>
        </w:rPr>
        <w:t>《公开募集证券投资基金运作指引第2号——基金中基金指引》、</w:t>
      </w:r>
      <w:r>
        <w:rPr>
          <w:rFonts w:hint="eastAsia" w:ascii="宋体" w:hAnsi="宋体"/>
          <w:bCs/>
          <w:sz w:val="24"/>
        </w:rPr>
        <w:t>《公开募集开放式证券投资基金流动性风险管理规定》</w:t>
      </w:r>
      <w:r>
        <w:rPr>
          <w:rFonts w:hint="eastAsia" w:ascii="宋体" w:hAnsi="宋体"/>
          <w:sz w:val="24"/>
        </w:rPr>
        <w:t>等有关法律法规、基金合同及其他有关规定制订。</w:t>
      </w:r>
    </w:p>
    <w:p w14:paraId="60B3640B">
      <w:pPr>
        <w:spacing w:line="360" w:lineRule="auto"/>
        <w:ind w:firstLine="480" w:firstLineChars="200"/>
        <w:rPr>
          <w:rFonts w:ascii="宋体" w:hAnsi="宋体"/>
          <w:sz w:val="24"/>
        </w:rPr>
      </w:pPr>
      <w:r>
        <w:rPr>
          <w:rFonts w:hint="eastAsia" w:ascii="宋体" w:hAnsi="宋体"/>
          <w:sz w:val="24"/>
        </w:rPr>
        <w:t>（二）订立托管协议的目的</w:t>
      </w:r>
    </w:p>
    <w:p w14:paraId="5D11D63B">
      <w:pPr>
        <w:spacing w:line="360" w:lineRule="auto"/>
        <w:ind w:firstLine="480" w:firstLineChars="200"/>
        <w:rPr>
          <w:rFonts w:ascii="宋体" w:hAnsi="宋体"/>
          <w:sz w:val="24"/>
        </w:rPr>
      </w:pPr>
      <w:r>
        <w:rPr>
          <w:rFonts w:hint="eastAsia" w:ascii="宋体" w:hAnsi="宋体"/>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10548647">
      <w:pPr>
        <w:spacing w:line="360" w:lineRule="auto"/>
        <w:ind w:firstLine="480" w:firstLineChars="200"/>
        <w:rPr>
          <w:rFonts w:ascii="宋体" w:hAnsi="宋体"/>
          <w:sz w:val="24"/>
        </w:rPr>
      </w:pPr>
      <w:r>
        <w:rPr>
          <w:rFonts w:hint="eastAsia" w:ascii="宋体" w:hAnsi="宋体"/>
          <w:sz w:val="24"/>
        </w:rPr>
        <w:t>（三）订立托管协议的原则</w:t>
      </w:r>
    </w:p>
    <w:p w14:paraId="1F2C3979">
      <w:pPr>
        <w:spacing w:line="360" w:lineRule="auto"/>
        <w:ind w:firstLine="480" w:firstLineChars="200"/>
        <w:rPr>
          <w:rFonts w:ascii="宋体" w:hAnsi="宋体"/>
          <w:sz w:val="24"/>
        </w:rPr>
      </w:pPr>
      <w:r>
        <w:rPr>
          <w:rFonts w:hint="eastAsia" w:ascii="宋体" w:hAnsi="宋体"/>
          <w:sz w:val="24"/>
        </w:rPr>
        <w:t>基金管理人和基金托管人本着平等自愿、诚实信用、充分保护基金份额持有人合法权益的原则，经协商一致，签订本协议。</w:t>
      </w:r>
    </w:p>
    <w:p w14:paraId="11F84638">
      <w:pPr>
        <w:pStyle w:val="3"/>
        <w:spacing w:before="312" w:beforeLines="100" w:after="156" w:afterLines="50" w:line="360" w:lineRule="auto"/>
        <w:jc w:val="center"/>
        <w:rPr>
          <w:rFonts w:ascii="宋体" w:hAnsi="宋体"/>
          <w:sz w:val="24"/>
        </w:rPr>
      </w:pPr>
      <w:r>
        <w:rPr>
          <w:rFonts w:ascii="宋体" w:hAnsi="宋体"/>
          <w:sz w:val="24"/>
        </w:rPr>
        <w:br w:type="page"/>
      </w:r>
      <w:bookmarkStart w:id="11" w:name="_Toc384992693"/>
      <w:bookmarkStart w:id="12" w:name="_Toc488938612"/>
      <w:bookmarkStart w:id="13" w:name="_Toc348082031"/>
      <w:r>
        <w:rPr>
          <w:rFonts w:hint="eastAsia" w:ascii="宋体" w:hAnsi="宋体"/>
          <w:sz w:val="24"/>
        </w:rPr>
        <w:t>三、基金托管人对基金管理人的业务监督和核查</w:t>
      </w:r>
      <w:bookmarkEnd w:id="11"/>
      <w:bookmarkEnd w:id="12"/>
      <w:bookmarkEnd w:id="13"/>
    </w:p>
    <w:p w14:paraId="7CAA9720">
      <w:pPr>
        <w:spacing w:line="360" w:lineRule="auto"/>
        <w:ind w:firstLine="480" w:firstLineChars="200"/>
        <w:rPr>
          <w:rFonts w:ascii="宋体" w:hAnsi="宋体"/>
          <w:sz w:val="24"/>
        </w:rPr>
      </w:pPr>
      <w:r>
        <w:rPr>
          <w:rFonts w:hint="eastAsia" w:ascii="宋体" w:hAnsi="宋体"/>
          <w:sz w:val="24"/>
        </w:rPr>
        <w:t>（一）基金托管人根据有关法律法规的规定以及《基金合同》的约定，对基金投资范围、投资比例、投资限制、关联方交易等进行监督。《基金合同》明确约定基金投资证券选择标准的，基金管理人应事先或定期向基金托管人提供投资品种池，以便基金托管人对基金实际投资是否符合基金合同关于证券选择标准的约定进行监督。</w:t>
      </w:r>
    </w:p>
    <w:p w14:paraId="37749D16">
      <w:pPr>
        <w:spacing w:line="360" w:lineRule="auto"/>
        <w:ind w:firstLine="480"/>
        <w:rPr>
          <w:rFonts w:ascii="宋体" w:hAnsi="宋体" w:cs="Arial"/>
          <w:szCs w:val="21"/>
        </w:rPr>
      </w:pPr>
      <w:bookmarkStart w:id="14" w:name="_Hlk494120345"/>
      <w:r>
        <w:rPr>
          <w:rFonts w:ascii="宋体" w:hAnsi="宋体"/>
          <w:sz w:val="24"/>
        </w:rPr>
        <w:t>1.</w:t>
      </w:r>
      <w:r>
        <w:rPr>
          <w:rFonts w:hint="eastAsia" w:ascii="宋体" w:hAnsi="宋体"/>
          <w:sz w:val="24"/>
        </w:rPr>
        <w:t>本基金的投资范围为：</w:t>
      </w:r>
    </w:p>
    <w:p w14:paraId="0F07ED7B">
      <w:pPr>
        <w:spacing w:line="360" w:lineRule="auto"/>
        <w:ind w:firstLine="480"/>
        <w:rPr>
          <w:bCs/>
          <w:sz w:val="24"/>
        </w:rPr>
      </w:pPr>
      <w:r>
        <w:rPr>
          <w:rFonts w:hint="eastAsia"/>
          <w:bCs/>
          <w:sz w:val="24"/>
        </w:rPr>
        <w:t>本基金的投资范围为具有良好流动性的金融工具，包括经中国证监会依法核准或注册的公开募集证券投资基金（含ETF和LOF、香港互认基金、不含QDII）、国内依法发行上市的股票（含中小板、创业板及其他经中国证监会核准或注册上市的股票、存托凭证）、债券（含国债、央行票据、金融债券、政府支持债券、政府支持机构债券、地方政府债券、企业债券、公司债券、可转换债券（含可分离交易可转换债券的纯债部分）、可交换债券、公开发行</w:t>
      </w:r>
      <w:r>
        <w:rPr>
          <w:bCs/>
          <w:sz w:val="24"/>
        </w:rPr>
        <w:t>的</w:t>
      </w:r>
      <w:r>
        <w:rPr>
          <w:rFonts w:hint="eastAsia"/>
          <w:bCs/>
          <w:sz w:val="24"/>
        </w:rPr>
        <w:t>次级债券、中期票据、短期融资券、超短期融资券等）、资产支持证券、货币市场工具、债券回购、同业存单、银行存款（含协议存款、定期存款及其他银行存款）以及法律法规或中国证监会允许基金投资的其他金融工具。</w:t>
      </w:r>
    </w:p>
    <w:p w14:paraId="1C03276A">
      <w:pPr>
        <w:spacing w:line="360" w:lineRule="auto"/>
        <w:ind w:firstLine="480"/>
        <w:rPr>
          <w:bCs/>
          <w:sz w:val="24"/>
        </w:rPr>
      </w:pPr>
      <w:r>
        <w:rPr>
          <w:rFonts w:hint="eastAsia"/>
          <w:bCs/>
          <w:sz w:val="24"/>
        </w:rPr>
        <w:t>如法律法规或监管机构以后允许基金投资其他品种，基金管理人在履行适当程序后，可以将其纳入投资范围。</w:t>
      </w:r>
    </w:p>
    <w:p w14:paraId="400BCD46">
      <w:pPr>
        <w:spacing w:line="360" w:lineRule="auto"/>
        <w:ind w:firstLine="480"/>
        <w:rPr>
          <w:rFonts w:ascii="宋体" w:hAnsi="宋体" w:cs="Arial"/>
          <w:szCs w:val="21"/>
        </w:rPr>
      </w:pPr>
      <w:r>
        <w:rPr>
          <w:rFonts w:ascii="宋体" w:hAnsi="宋体"/>
          <w:sz w:val="24"/>
        </w:rPr>
        <w:t>2.本基金各类品种的投资比例、投资限制为：</w:t>
      </w:r>
    </w:p>
    <w:p w14:paraId="35035F84">
      <w:pPr>
        <w:spacing w:line="360" w:lineRule="auto"/>
        <w:ind w:firstLine="480"/>
        <w:rPr>
          <w:bCs/>
          <w:sz w:val="24"/>
        </w:rPr>
      </w:pPr>
      <w:r>
        <w:rPr>
          <w:rFonts w:hint="eastAsia"/>
          <w:bCs/>
          <w:sz w:val="24"/>
        </w:rPr>
        <w:t>基金的投资组合比例为：本基金投资于经中国证监会依法核准或注册的公开募集证券投资基金的基金份额的资产不低于本基金资产的80%；投资于股票型基金（包括股票指数基金）的比例占基金资产的0%-30%；本基金持有的现金或者投资于到期日在一年以内的政府债券的比例合计不低于基金资产净值的5%，其中现金不包括结算备付金、存出保证金、应收申购款等。</w:t>
      </w:r>
    </w:p>
    <w:p w14:paraId="211C38F3">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52C18AF5">
      <w:pPr>
        <w:spacing w:line="360" w:lineRule="auto"/>
        <w:ind w:firstLine="480" w:firstLineChars="200"/>
        <w:rPr>
          <w:bCs/>
          <w:sz w:val="24"/>
        </w:rPr>
      </w:pPr>
      <w:r>
        <w:rPr>
          <w:bCs/>
          <w:sz w:val="24"/>
        </w:rPr>
        <w:t>基金的投资组合应遵循以下限制：</w:t>
      </w:r>
    </w:p>
    <w:p w14:paraId="747D6EB3">
      <w:pPr>
        <w:spacing w:line="360" w:lineRule="auto"/>
        <w:ind w:firstLine="480" w:firstLineChars="200"/>
        <w:rPr>
          <w:bCs/>
          <w:sz w:val="24"/>
        </w:rPr>
      </w:pPr>
      <w:r>
        <w:rPr>
          <w:rFonts w:hint="eastAsia"/>
          <w:bCs/>
          <w:sz w:val="24"/>
        </w:rPr>
        <w:t>（1）本基金投资于经中国证监会依法核准或注册的公开募集证券投资基金的基金份额的资产不低于本基金资产的80%；投资于股票型基金（包括股票指数基金）的比例占基金资产的0%-30%；投资于货币市场基金的比例不得超过基金资产的15%；</w:t>
      </w:r>
    </w:p>
    <w:p w14:paraId="0B0CC496">
      <w:pPr>
        <w:spacing w:line="360" w:lineRule="auto"/>
        <w:ind w:firstLine="480" w:firstLineChars="200"/>
        <w:rPr>
          <w:bCs/>
          <w:sz w:val="24"/>
        </w:rPr>
      </w:pPr>
      <w:r>
        <w:rPr>
          <w:rFonts w:hint="eastAsia"/>
          <w:bCs/>
          <w:sz w:val="24"/>
        </w:rPr>
        <w:t>（2）本基金持有的现金或者到期日在一年以内的政府债券的比例合计不低于基金资产净值的5%，其中现金不包括结算备付金、存出保证金、应收申购款等；</w:t>
      </w:r>
    </w:p>
    <w:p w14:paraId="03DE7634">
      <w:pPr>
        <w:spacing w:line="360" w:lineRule="auto"/>
        <w:ind w:firstLine="480" w:firstLineChars="200"/>
        <w:rPr>
          <w:bCs/>
          <w:sz w:val="24"/>
        </w:rPr>
      </w:pPr>
      <w:r>
        <w:rPr>
          <w:rFonts w:hint="eastAsia"/>
          <w:bCs/>
          <w:sz w:val="24"/>
        </w:rPr>
        <w:t>（3）本基金持有单只基金的市值，不得高于本基金资产净值的20%，且不得持有其他基金中基金；</w:t>
      </w:r>
    </w:p>
    <w:p w14:paraId="086955DA">
      <w:pPr>
        <w:spacing w:line="360" w:lineRule="auto"/>
        <w:ind w:firstLine="480" w:firstLineChars="200"/>
        <w:rPr>
          <w:bCs/>
          <w:sz w:val="24"/>
        </w:rPr>
      </w:pPr>
      <w:r>
        <w:rPr>
          <w:rFonts w:hint="eastAsia"/>
          <w:bCs/>
          <w:sz w:val="24"/>
        </w:rPr>
        <w:t>（4）本基金管理人管理的全部基金中基金（除ETF联接基金外）持有单只基金不得超过被投资基金净资产的20%，被投资基金净资产规模以最近定期报告披露的规模为准；</w:t>
      </w:r>
    </w:p>
    <w:p w14:paraId="4C0F3F12">
      <w:pPr>
        <w:spacing w:line="360" w:lineRule="auto"/>
        <w:ind w:firstLine="480" w:firstLineChars="200"/>
        <w:rPr>
          <w:bCs/>
          <w:sz w:val="24"/>
        </w:rPr>
      </w:pPr>
      <w:r>
        <w:rPr>
          <w:rFonts w:hint="eastAsia"/>
          <w:bCs/>
          <w:sz w:val="24"/>
        </w:rPr>
        <w:t>（5）本基金不得持有具有复杂、衍生品性质的基金份额，包括分级基金和中国证监会认定的其他基金份额；</w:t>
      </w:r>
    </w:p>
    <w:p w14:paraId="7FF37C30">
      <w:pPr>
        <w:spacing w:line="360" w:lineRule="auto"/>
        <w:ind w:firstLine="480" w:firstLineChars="200"/>
        <w:rPr>
          <w:bCs/>
          <w:sz w:val="24"/>
        </w:rPr>
      </w:pPr>
      <w:r>
        <w:rPr>
          <w:rFonts w:hint="eastAsia"/>
          <w:bCs/>
          <w:sz w:val="24"/>
        </w:rPr>
        <w:t>（6）本基金投资其他基金时，被投资基金的运作期限不少于1年、最近定期报告披露的基金净资产应当不低于1亿元；</w:t>
      </w:r>
    </w:p>
    <w:p w14:paraId="3AF037CC">
      <w:pPr>
        <w:spacing w:line="360" w:lineRule="auto"/>
        <w:ind w:firstLine="480" w:firstLineChars="200"/>
        <w:rPr>
          <w:bCs/>
          <w:sz w:val="24"/>
        </w:rPr>
      </w:pPr>
      <w:r>
        <w:rPr>
          <w:rFonts w:hint="eastAsia"/>
          <w:bCs/>
          <w:sz w:val="24"/>
        </w:rPr>
        <w:t>（7）本基金投资于封闭运作基金、定期开放基金等流通受限基金的，其公允价值不得超过本基金资产净值的10%；</w:t>
      </w:r>
    </w:p>
    <w:p w14:paraId="11E1A30B">
      <w:pPr>
        <w:spacing w:line="360" w:lineRule="auto"/>
        <w:ind w:firstLine="480" w:firstLineChars="200"/>
        <w:rPr>
          <w:bCs/>
          <w:sz w:val="24"/>
        </w:rPr>
      </w:pPr>
      <w:r>
        <w:rPr>
          <w:rFonts w:hint="eastAsia"/>
          <w:bCs/>
          <w:sz w:val="24"/>
        </w:rPr>
        <w:t>（8）本基金持有一家公司发行的证券（不含本基金所投资的基金份额），其市值不超过基金资产净值的10%；</w:t>
      </w:r>
    </w:p>
    <w:p w14:paraId="183889E2">
      <w:pPr>
        <w:spacing w:line="360" w:lineRule="auto"/>
        <w:ind w:firstLine="480" w:firstLineChars="200"/>
        <w:rPr>
          <w:bCs/>
          <w:sz w:val="24"/>
        </w:rPr>
      </w:pPr>
      <w:r>
        <w:rPr>
          <w:rFonts w:hint="eastAsia"/>
          <w:bCs/>
          <w:sz w:val="24"/>
        </w:rPr>
        <w:t>（9）本基金管理人管理的全部基金持有一家公司发行的证券（不含本基金所投资的基金份额），不超过该证券的10%，完全按照有关指数的构成比例进行证券投资的基金品种可以不受此条款规定的比例限制；</w:t>
      </w:r>
    </w:p>
    <w:p w14:paraId="4C0E4F02">
      <w:pPr>
        <w:spacing w:line="360" w:lineRule="auto"/>
        <w:ind w:firstLine="480" w:firstLineChars="200"/>
        <w:rPr>
          <w:bCs/>
          <w:sz w:val="24"/>
        </w:rPr>
      </w:pPr>
      <w:r>
        <w:rPr>
          <w:rFonts w:hint="eastAsia"/>
          <w:bCs/>
          <w:sz w:val="24"/>
        </w:rPr>
        <w:t>（1</w:t>
      </w:r>
      <w:r>
        <w:rPr>
          <w:bCs/>
          <w:sz w:val="24"/>
        </w:rPr>
        <w:t>0</w:t>
      </w:r>
      <w:r>
        <w:rPr>
          <w:rFonts w:hint="eastAsia"/>
          <w:bCs/>
          <w:sz w:val="24"/>
        </w:rPr>
        <w:t>）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5BF9EA7F">
      <w:pPr>
        <w:spacing w:line="360" w:lineRule="auto"/>
        <w:ind w:firstLine="480" w:firstLineChars="200"/>
        <w:rPr>
          <w:bCs/>
          <w:sz w:val="24"/>
        </w:rPr>
      </w:pPr>
      <w:r>
        <w:rPr>
          <w:rFonts w:hint="eastAsia"/>
          <w:bCs/>
          <w:sz w:val="24"/>
        </w:rPr>
        <w:t>（1</w:t>
      </w:r>
      <w:r>
        <w:rPr>
          <w:bCs/>
          <w:sz w:val="24"/>
        </w:rPr>
        <w:t>1</w:t>
      </w:r>
      <w:r>
        <w:rPr>
          <w:rFonts w:hint="eastAsia"/>
          <w:bCs/>
          <w:sz w:val="24"/>
        </w:rPr>
        <w:t>）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1DA6041F">
      <w:pPr>
        <w:spacing w:line="360" w:lineRule="auto"/>
        <w:ind w:firstLine="480" w:firstLineChars="200"/>
        <w:rPr>
          <w:bCs/>
          <w:sz w:val="24"/>
        </w:rPr>
      </w:pPr>
      <w:r>
        <w:rPr>
          <w:rFonts w:hint="eastAsia"/>
          <w:bCs/>
          <w:sz w:val="24"/>
        </w:rPr>
        <w:t>（1</w:t>
      </w:r>
      <w:r>
        <w:rPr>
          <w:bCs/>
          <w:sz w:val="24"/>
        </w:rPr>
        <w:t>2</w:t>
      </w:r>
      <w:r>
        <w:rPr>
          <w:rFonts w:hint="eastAsia"/>
          <w:bCs/>
          <w:sz w:val="24"/>
        </w:rPr>
        <w:t>）本基金与私募类证券资管产品及中国证监会认定的其他主体为交易对手开展逆回购交易的，可接受质押品的资质要求应当与基金合同约定的投资范围保持一致；</w:t>
      </w:r>
    </w:p>
    <w:p w14:paraId="04F8E804">
      <w:pPr>
        <w:spacing w:line="360" w:lineRule="auto"/>
        <w:ind w:firstLine="480" w:firstLineChars="200"/>
        <w:rPr>
          <w:bCs/>
          <w:sz w:val="24"/>
        </w:rPr>
      </w:pPr>
      <w:r>
        <w:rPr>
          <w:rFonts w:hint="eastAsia"/>
          <w:bCs/>
          <w:sz w:val="24"/>
        </w:rPr>
        <w:t>（1</w:t>
      </w:r>
      <w:r>
        <w:rPr>
          <w:bCs/>
          <w:sz w:val="24"/>
        </w:rPr>
        <w:t>3</w:t>
      </w:r>
      <w:r>
        <w:rPr>
          <w:rFonts w:hint="eastAsia"/>
          <w:bCs/>
          <w:sz w:val="24"/>
        </w:rPr>
        <w:t>）本基金投资于同一原始权益人的各类资产支持证券的比例，不得超过基金资产净值的10%；</w:t>
      </w:r>
    </w:p>
    <w:p w14:paraId="5BE99142">
      <w:pPr>
        <w:spacing w:line="360" w:lineRule="auto"/>
        <w:ind w:firstLine="480" w:firstLineChars="200"/>
        <w:rPr>
          <w:bCs/>
          <w:sz w:val="24"/>
        </w:rPr>
      </w:pPr>
      <w:r>
        <w:rPr>
          <w:rFonts w:hint="eastAsia"/>
          <w:bCs/>
          <w:sz w:val="24"/>
        </w:rPr>
        <w:t>（1</w:t>
      </w:r>
      <w:r>
        <w:rPr>
          <w:bCs/>
          <w:sz w:val="24"/>
        </w:rPr>
        <w:t>4</w:t>
      </w:r>
      <w:r>
        <w:rPr>
          <w:rFonts w:hint="eastAsia"/>
          <w:bCs/>
          <w:sz w:val="24"/>
        </w:rPr>
        <w:t>）本基金持有的全部资产支持证券，其市值不得超过基金资产净值的20%；</w:t>
      </w:r>
    </w:p>
    <w:p w14:paraId="2A766679">
      <w:pPr>
        <w:spacing w:line="360" w:lineRule="auto"/>
        <w:ind w:firstLine="480" w:firstLineChars="200"/>
        <w:rPr>
          <w:bCs/>
          <w:sz w:val="24"/>
        </w:rPr>
      </w:pPr>
      <w:r>
        <w:rPr>
          <w:rFonts w:hint="eastAsia"/>
          <w:bCs/>
          <w:sz w:val="24"/>
        </w:rPr>
        <w:t>（1</w:t>
      </w:r>
      <w:r>
        <w:rPr>
          <w:bCs/>
          <w:sz w:val="24"/>
        </w:rPr>
        <w:t>5</w:t>
      </w:r>
      <w:r>
        <w:rPr>
          <w:rFonts w:hint="eastAsia"/>
          <w:bCs/>
          <w:sz w:val="24"/>
        </w:rPr>
        <w:t>）本基金持有的同一（指同一信用级别）资产支持证券的比例，不得超过该资产支持证券规模的10%；</w:t>
      </w:r>
    </w:p>
    <w:p w14:paraId="1B45ED1A">
      <w:pPr>
        <w:spacing w:line="360" w:lineRule="auto"/>
        <w:ind w:firstLine="480" w:firstLineChars="200"/>
        <w:rPr>
          <w:bCs/>
          <w:sz w:val="24"/>
        </w:rPr>
      </w:pPr>
      <w:r>
        <w:rPr>
          <w:rFonts w:hint="eastAsia"/>
          <w:bCs/>
          <w:sz w:val="24"/>
        </w:rPr>
        <w:t>（16）本基金管理人管理的全部基金投资于同一原始权益人的各类资产支持证券，不得超过其各类资产支持证券合计规模的10%；</w:t>
      </w:r>
    </w:p>
    <w:p w14:paraId="64A5BA50">
      <w:pPr>
        <w:spacing w:line="360" w:lineRule="auto"/>
        <w:ind w:firstLine="480" w:firstLineChars="200"/>
        <w:rPr>
          <w:bCs/>
          <w:sz w:val="24"/>
        </w:rPr>
      </w:pPr>
      <w:r>
        <w:rPr>
          <w:rFonts w:hint="eastAsia"/>
          <w:bCs/>
          <w:sz w:val="24"/>
        </w:rPr>
        <w:t>（1</w:t>
      </w:r>
      <w:r>
        <w:rPr>
          <w:bCs/>
          <w:sz w:val="24"/>
        </w:rPr>
        <w:t>7</w:t>
      </w:r>
      <w:r>
        <w:rPr>
          <w:rFonts w:hint="eastAsia"/>
          <w:bCs/>
          <w:sz w:val="24"/>
        </w:rPr>
        <w:t>）本基金应投资于信用级别评级为BBB以上（含BBB）的资产支持证券。基金持有资产支持证券期间，如果其信用等级下降、不再符合投资标准，应在评级报告发布之日起3个月内予以全部卖出；</w:t>
      </w:r>
    </w:p>
    <w:p w14:paraId="44E96DEC">
      <w:pPr>
        <w:spacing w:line="360" w:lineRule="auto"/>
        <w:ind w:firstLine="480" w:firstLineChars="200"/>
        <w:rPr>
          <w:bCs/>
          <w:sz w:val="24"/>
        </w:rPr>
      </w:pPr>
      <w:r>
        <w:rPr>
          <w:rFonts w:hint="eastAsia"/>
          <w:bCs/>
          <w:sz w:val="24"/>
        </w:rPr>
        <w:t>（1</w:t>
      </w:r>
      <w:r>
        <w:rPr>
          <w:bCs/>
          <w:sz w:val="24"/>
        </w:rPr>
        <w:t>8</w:t>
      </w:r>
      <w:r>
        <w:rPr>
          <w:rFonts w:hint="eastAsia"/>
          <w:bCs/>
          <w:sz w:val="24"/>
        </w:rPr>
        <w:t>）基金财产参与股票发行申购，本基金所申报的金额不超过本基金的总资产，本基金所申报的股票数量不超过拟发行股票公司本次发行股票的总量；</w:t>
      </w:r>
    </w:p>
    <w:p w14:paraId="4A2ACEED">
      <w:pPr>
        <w:spacing w:line="360" w:lineRule="auto"/>
        <w:ind w:firstLine="480" w:firstLineChars="200"/>
        <w:rPr>
          <w:bCs/>
          <w:sz w:val="24"/>
        </w:rPr>
      </w:pPr>
      <w:r>
        <w:rPr>
          <w:rFonts w:hint="eastAsia"/>
          <w:bCs/>
          <w:sz w:val="24"/>
        </w:rPr>
        <w:t>（19）本基金进入全国银行间同业市场进行债券回购的资金余额不得超过基金资产净值的40%，进入全国银行间同业市场进行债券回购的最长期限为1年，债券回购到期后不得展期；</w:t>
      </w:r>
    </w:p>
    <w:p w14:paraId="67512BEB">
      <w:pPr>
        <w:spacing w:line="360" w:lineRule="auto"/>
        <w:ind w:firstLine="480" w:firstLineChars="200"/>
        <w:rPr>
          <w:bCs/>
          <w:sz w:val="24"/>
        </w:rPr>
      </w:pPr>
      <w:r>
        <w:rPr>
          <w:rFonts w:hint="eastAsia"/>
          <w:bCs/>
          <w:sz w:val="24"/>
        </w:rPr>
        <w:t>（2</w:t>
      </w:r>
      <w:r>
        <w:rPr>
          <w:bCs/>
          <w:sz w:val="24"/>
        </w:rPr>
        <w:t>0</w:t>
      </w:r>
      <w:r>
        <w:rPr>
          <w:rFonts w:hint="eastAsia"/>
          <w:bCs/>
          <w:sz w:val="24"/>
        </w:rPr>
        <w:t>）本基金资产总值不超过基金资产净值的140%；</w:t>
      </w:r>
    </w:p>
    <w:p w14:paraId="5087521E">
      <w:pPr>
        <w:spacing w:line="360" w:lineRule="auto"/>
        <w:ind w:firstLine="480" w:firstLineChars="200"/>
        <w:rPr>
          <w:bCs/>
          <w:sz w:val="24"/>
        </w:rPr>
      </w:pPr>
      <w:r>
        <w:rPr>
          <w:rFonts w:hint="eastAsia"/>
          <w:bCs/>
          <w:sz w:val="24"/>
        </w:rPr>
        <w:t>（2</w:t>
      </w:r>
      <w:r>
        <w:rPr>
          <w:bCs/>
          <w:sz w:val="24"/>
        </w:rPr>
        <w:t>1</w:t>
      </w:r>
      <w:r>
        <w:rPr>
          <w:rFonts w:hint="eastAsia"/>
          <w:bCs/>
          <w:sz w:val="24"/>
        </w:rPr>
        <w:t>）本基金投资存托凭证的比例限制依照境内上市交易的股票执行；</w:t>
      </w:r>
    </w:p>
    <w:p w14:paraId="300EBDB3">
      <w:pPr>
        <w:spacing w:line="360" w:lineRule="auto"/>
        <w:ind w:firstLine="480" w:firstLineChars="200"/>
        <w:rPr>
          <w:bCs/>
          <w:sz w:val="24"/>
        </w:rPr>
      </w:pPr>
      <w:r>
        <w:rPr>
          <w:rFonts w:hint="eastAsia"/>
          <w:bCs/>
          <w:sz w:val="24"/>
        </w:rPr>
        <w:t>（2</w:t>
      </w:r>
      <w:r>
        <w:rPr>
          <w:bCs/>
          <w:sz w:val="24"/>
        </w:rPr>
        <w:t>2</w:t>
      </w:r>
      <w:r>
        <w:rPr>
          <w:rFonts w:hint="eastAsia"/>
          <w:bCs/>
          <w:sz w:val="24"/>
        </w:rPr>
        <w:t>）法律法规及中国证监会规定的和《基金合同》约定的其他投资限制。</w:t>
      </w:r>
    </w:p>
    <w:p w14:paraId="07448788">
      <w:pPr>
        <w:spacing w:line="360" w:lineRule="auto"/>
        <w:ind w:firstLine="480" w:firstLineChars="200"/>
        <w:rPr>
          <w:rFonts w:ascii="宋体" w:hAnsi="宋体"/>
          <w:sz w:val="24"/>
        </w:rPr>
      </w:pPr>
      <w:r>
        <w:rPr>
          <w:rFonts w:hint="eastAsia"/>
          <w:bCs/>
          <w:sz w:val="24"/>
        </w:rPr>
        <w:t>因证券市场波动、证券发行人合并、本基金规模变动、本基金所投资的基金发生流动性限制、暂停申购、赎回或二级市场交易停牌等基金管理人之外的因素致使本基金投资比例不符合上述第（3）项、第（4）项规定投资比例的，基金管理人应当在20个交易日内进行调整；对于第（2）项、第（3）项、第（4）项、第（1</w:t>
      </w:r>
      <w:r>
        <w:rPr>
          <w:bCs/>
          <w:sz w:val="24"/>
        </w:rPr>
        <w:t>1</w:t>
      </w:r>
      <w:r>
        <w:rPr>
          <w:rFonts w:hint="eastAsia"/>
          <w:bCs/>
          <w:sz w:val="24"/>
        </w:rPr>
        <w:t>）项、第（1</w:t>
      </w:r>
      <w:r>
        <w:rPr>
          <w:bCs/>
          <w:sz w:val="24"/>
        </w:rPr>
        <w:t>2</w:t>
      </w:r>
      <w:r>
        <w:rPr>
          <w:rFonts w:hint="eastAsia"/>
          <w:bCs/>
          <w:sz w:val="24"/>
        </w:rPr>
        <w:t>）项及第（1</w:t>
      </w:r>
      <w:r>
        <w:rPr>
          <w:bCs/>
          <w:sz w:val="24"/>
        </w:rPr>
        <w:t>7</w:t>
      </w:r>
      <w:r>
        <w:rPr>
          <w:rFonts w:hint="eastAsia"/>
          <w:bCs/>
          <w:sz w:val="24"/>
        </w:rPr>
        <w:t>）项以外的其他情形，基金管理人应当在10个交易日内进行调整，但中国证监会规定的特殊情形除外。法律法规另有规定的，从其规定。</w:t>
      </w:r>
    </w:p>
    <w:p w14:paraId="6B10201B">
      <w:pPr>
        <w:spacing w:line="360" w:lineRule="auto"/>
        <w:ind w:firstLine="480" w:firstLineChars="200"/>
        <w:rPr>
          <w:rFonts w:ascii="宋体" w:hAnsi="宋体"/>
          <w:sz w:val="24"/>
        </w:rPr>
      </w:pPr>
      <w:r>
        <w:rPr>
          <w:rFonts w:ascii="宋体" w:hAnsi="宋体"/>
          <w:sz w:val="24"/>
        </w:rPr>
        <w:t>3.</w:t>
      </w:r>
      <w:r>
        <w:rPr>
          <w:rFonts w:hint="eastAsia" w:ascii="宋体" w:hAnsi="宋体"/>
          <w:sz w:val="24"/>
        </w:rPr>
        <w:t>本基金财产不得用于以下投资或者活动：</w:t>
      </w:r>
    </w:p>
    <w:p w14:paraId="2844252D">
      <w:pPr>
        <w:spacing w:line="360" w:lineRule="auto"/>
        <w:ind w:firstLine="480" w:firstLineChars="200"/>
        <w:rPr>
          <w:rFonts w:ascii="宋体" w:hAnsi="宋体"/>
          <w:sz w:val="24"/>
        </w:rPr>
      </w:pPr>
      <w:r>
        <w:rPr>
          <w:rFonts w:hint="eastAsia" w:ascii="宋体" w:hAnsi="宋体"/>
          <w:sz w:val="24"/>
        </w:rPr>
        <w:t>（1）承销证券；</w:t>
      </w:r>
    </w:p>
    <w:p w14:paraId="595305F7">
      <w:pPr>
        <w:spacing w:line="360" w:lineRule="auto"/>
        <w:ind w:firstLine="480" w:firstLineChars="200"/>
        <w:rPr>
          <w:rFonts w:ascii="宋体" w:hAnsi="宋体"/>
          <w:sz w:val="24"/>
        </w:rPr>
      </w:pPr>
      <w:r>
        <w:rPr>
          <w:rFonts w:hint="eastAsia" w:ascii="宋体" w:hAnsi="宋体"/>
          <w:sz w:val="24"/>
        </w:rPr>
        <w:t>（2）违反规定向他人贷款或者提供担保；</w:t>
      </w:r>
    </w:p>
    <w:p w14:paraId="6118ADAB">
      <w:pPr>
        <w:spacing w:line="360" w:lineRule="auto"/>
        <w:ind w:firstLine="480" w:firstLineChars="200"/>
        <w:rPr>
          <w:rFonts w:ascii="宋体" w:hAnsi="宋体"/>
          <w:sz w:val="24"/>
        </w:rPr>
      </w:pPr>
      <w:r>
        <w:rPr>
          <w:rFonts w:hint="eastAsia" w:ascii="宋体" w:hAnsi="宋体"/>
          <w:sz w:val="24"/>
        </w:rPr>
        <w:t>（3）从事承担无限责任的投资；</w:t>
      </w:r>
    </w:p>
    <w:p w14:paraId="0ACB6A44">
      <w:pPr>
        <w:spacing w:line="360" w:lineRule="auto"/>
        <w:ind w:firstLine="480" w:firstLineChars="200"/>
        <w:rPr>
          <w:rFonts w:ascii="宋体" w:hAnsi="宋体"/>
          <w:sz w:val="24"/>
        </w:rPr>
      </w:pPr>
      <w:r>
        <w:rPr>
          <w:rFonts w:hint="eastAsia" w:ascii="宋体" w:hAnsi="宋体"/>
          <w:sz w:val="24"/>
        </w:rPr>
        <w:t>（4）向其基金管理人、基金托管人出资；</w:t>
      </w:r>
    </w:p>
    <w:p w14:paraId="38B870D2">
      <w:pPr>
        <w:spacing w:line="360" w:lineRule="auto"/>
        <w:ind w:firstLine="480" w:firstLineChars="200"/>
        <w:rPr>
          <w:rFonts w:ascii="宋体" w:hAnsi="宋体"/>
          <w:sz w:val="24"/>
        </w:rPr>
      </w:pPr>
      <w:r>
        <w:rPr>
          <w:rFonts w:hint="eastAsia" w:ascii="宋体" w:hAnsi="宋体"/>
          <w:sz w:val="24"/>
        </w:rPr>
        <w:t>（5）从事内幕交易、操纵证券交易价格及其他不正当的证券交易活动；</w:t>
      </w:r>
    </w:p>
    <w:p w14:paraId="16CCF205">
      <w:pPr>
        <w:spacing w:line="360" w:lineRule="auto"/>
        <w:ind w:firstLine="480" w:firstLineChars="200"/>
        <w:rPr>
          <w:rFonts w:ascii="宋体" w:hAnsi="宋体"/>
          <w:sz w:val="24"/>
        </w:rPr>
      </w:pPr>
      <w:r>
        <w:rPr>
          <w:rFonts w:hint="eastAsia" w:ascii="宋体" w:hAnsi="宋体"/>
          <w:sz w:val="24"/>
        </w:rPr>
        <w:t>（6）法律、行政法规和中国证监会规定禁止的其他活动。</w:t>
      </w:r>
    </w:p>
    <w:p w14:paraId="4F6D7977">
      <w:pPr>
        <w:spacing w:line="360" w:lineRule="auto"/>
        <w:ind w:firstLine="480" w:firstLineChars="200"/>
        <w:rPr>
          <w:rFonts w:ascii="宋体" w:hAnsi="宋体"/>
          <w:sz w:val="24"/>
        </w:rPr>
      </w:pPr>
      <w:r>
        <w:rPr>
          <w:rFonts w:hint="eastAsia" w:ascii="宋体" w:hAnsi="宋体"/>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F65FFBE">
      <w:pPr>
        <w:spacing w:line="360" w:lineRule="auto"/>
        <w:ind w:firstLine="480" w:firstLineChars="200"/>
        <w:rPr>
          <w:rFonts w:ascii="宋体" w:hAnsi="宋体"/>
          <w:sz w:val="24"/>
        </w:rPr>
      </w:pPr>
      <w:r>
        <w:rPr>
          <w:rFonts w:hint="eastAsia" w:ascii="宋体" w:hAnsi="宋体"/>
          <w:sz w:val="24"/>
        </w:rPr>
        <w:t>如法律、行政法规或监管部门取消上述规定，如适用于本基金，基金管理人在履行适当程序后，本基金可不受上述规定的限制。</w:t>
      </w:r>
      <w:bookmarkEnd w:id="14"/>
    </w:p>
    <w:p w14:paraId="67111841">
      <w:pPr>
        <w:spacing w:line="360" w:lineRule="auto"/>
        <w:ind w:firstLine="480" w:firstLineChars="200"/>
        <w:rPr>
          <w:rFonts w:ascii="宋体" w:hAnsi="宋体"/>
          <w:sz w:val="24"/>
        </w:rPr>
      </w:pPr>
      <w:r>
        <w:rPr>
          <w:rFonts w:ascii="宋体" w:hAnsi="宋体"/>
          <w:sz w:val="24"/>
        </w:rPr>
        <w:t>4.</w:t>
      </w:r>
      <w:r>
        <w:rPr>
          <w:rFonts w:hint="eastAsia" w:ascii="宋体" w:hAnsi="宋体"/>
          <w:sz w:val="24"/>
        </w:rPr>
        <w:t>基金管理人应当自基金合同生效日起</w:t>
      </w:r>
      <w:r>
        <w:rPr>
          <w:rFonts w:ascii="宋体" w:hAnsi="宋体"/>
          <w:sz w:val="24"/>
        </w:rPr>
        <w:t>6个月内使基金的投资组合比例符合基金合同的有关约定。</w:t>
      </w:r>
      <w:r>
        <w:rPr>
          <w:rFonts w:hint="eastAsia" w:ascii="宋体" w:hAnsi="宋体"/>
          <w:sz w:val="24"/>
        </w:rPr>
        <w:t>在上述期间内，本基金的投资范围、投资策略应当符合基金合同的约定。基金托管人对基金的投资的监督与检查自基金合同生效之日起开始。</w:t>
      </w:r>
    </w:p>
    <w:p w14:paraId="40CC9C35">
      <w:pPr>
        <w:spacing w:line="360" w:lineRule="auto"/>
        <w:ind w:firstLine="480" w:firstLineChars="200"/>
        <w:rPr>
          <w:rFonts w:ascii="宋体" w:hAnsi="宋体"/>
          <w:sz w:val="24"/>
        </w:rPr>
      </w:pPr>
      <w:r>
        <w:rPr>
          <w:rFonts w:ascii="宋体" w:hAnsi="宋体"/>
          <w:sz w:val="24"/>
        </w:rPr>
        <w:t>5.</w:t>
      </w:r>
      <w:r>
        <w:rPr>
          <w:rFonts w:hint="eastAsia" w:ascii="宋体" w:hAnsi="宋体"/>
          <w:sz w:val="24"/>
        </w:rPr>
        <w:t>法律法规对上述投资组合比例限制进行变更的，以变更后的规定为准。法律法规或监管部门取消上述限制，如适用于本基金，基金管理人在履行适当程序后，则本基金投资不再受相关限制。</w:t>
      </w:r>
    </w:p>
    <w:p w14:paraId="04917DFE">
      <w:pPr>
        <w:spacing w:line="360" w:lineRule="auto"/>
        <w:ind w:firstLine="480" w:firstLineChars="200"/>
        <w:rPr>
          <w:rFonts w:ascii="宋体" w:hAnsi="宋体"/>
          <w:sz w:val="24"/>
        </w:rPr>
      </w:pPr>
      <w:r>
        <w:rPr>
          <w:rFonts w:hint="eastAsia" w:ascii="宋体" w:hAnsi="宋体"/>
          <w:sz w:val="24"/>
        </w:rPr>
        <w:t>（二）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14:paraId="5C9B197E">
      <w:pPr>
        <w:spacing w:line="360" w:lineRule="auto"/>
        <w:ind w:firstLine="480" w:firstLineChars="200"/>
        <w:rPr>
          <w:rFonts w:ascii="宋体" w:hAnsi="宋体"/>
          <w:sz w:val="24"/>
        </w:rPr>
      </w:pPr>
      <w:r>
        <w:rPr>
          <w:rFonts w:hint="eastAsia" w:ascii="宋体" w:hAnsi="宋体"/>
          <w:sz w:val="24"/>
        </w:rPr>
        <w:t>本基金投资银行存款应符合如下规定：</w:t>
      </w:r>
    </w:p>
    <w:p w14:paraId="452DD4A9">
      <w:pPr>
        <w:spacing w:line="360" w:lineRule="auto"/>
        <w:ind w:firstLine="480" w:firstLineChars="200"/>
        <w:rPr>
          <w:rFonts w:ascii="宋体" w:hAnsi="宋体"/>
          <w:sz w:val="24"/>
        </w:rPr>
      </w:pPr>
      <w:r>
        <w:rPr>
          <w:rFonts w:ascii="宋体" w:hAnsi="宋体"/>
          <w:sz w:val="24"/>
        </w:rPr>
        <w:t>1.</w:t>
      </w:r>
      <w:r>
        <w:rPr>
          <w:rFonts w:hint="eastAsia" w:ascii="宋体" w:hAnsi="宋体"/>
          <w:sz w:val="24"/>
        </w:rPr>
        <w:t>本基金投资于有固定期限银行存款的比例，不得超过基金资产净值的</w:t>
      </w:r>
      <w:r>
        <w:rPr>
          <w:rFonts w:ascii="宋体" w:hAnsi="宋体"/>
          <w:sz w:val="24"/>
        </w:rPr>
        <w:t>30%，但投资于有存款期限，根据协议可提前支取的银行存款不受上述比例限制;</w:t>
      </w:r>
      <w:r>
        <w:rPr>
          <w:rFonts w:hint="eastAsia" w:ascii="宋体" w:hAnsi="宋体"/>
          <w:sz w:val="24"/>
        </w:rPr>
        <w:t>本</w:t>
      </w:r>
      <w:r>
        <w:rPr>
          <w:rFonts w:ascii="宋体" w:hAnsi="宋体"/>
          <w:sz w:val="24"/>
        </w:rPr>
        <w:t>基金</w:t>
      </w:r>
      <w:r>
        <w:rPr>
          <w:rFonts w:hint="eastAsia" w:ascii="宋体" w:hAnsi="宋体"/>
          <w:sz w:val="24"/>
        </w:rPr>
        <w:t>投资于具有基金托管人资格的同一商业银行的银行存款、同业存单占基金资产净值的比例合计不得超过</w:t>
      </w:r>
      <w:r>
        <w:rPr>
          <w:rFonts w:ascii="宋体" w:hAnsi="宋体"/>
          <w:sz w:val="24"/>
        </w:rPr>
        <w:t>20%，投资于不具有基金托管人资格的同一商业银行的银行存款、同业存单占基金资产净值的比例合计不得超过5%。</w:t>
      </w:r>
    </w:p>
    <w:p w14:paraId="0A4421BA">
      <w:pPr>
        <w:spacing w:line="360" w:lineRule="auto"/>
        <w:ind w:firstLine="480" w:firstLineChars="200"/>
        <w:rPr>
          <w:rFonts w:ascii="宋体" w:hAnsi="宋体"/>
          <w:sz w:val="24"/>
        </w:rPr>
      </w:pPr>
      <w:r>
        <w:rPr>
          <w:rFonts w:hint="eastAsia" w:ascii="宋体" w:hAnsi="宋体"/>
          <w:sz w:val="24"/>
        </w:rPr>
        <w:t>有关法律法规或监管部门制定或修改新的定期存款投资政策，基金管理人履行适当程序后，可相应调整投资组合限制的规定。</w:t>
      </w:r>
    </w:p>
    <w:p w14:paraId="72CE973D">
      <w:pPr>
        <w:spacing w:line="360" w:lineRule="auto"/>
        <w:ind w:firstLine="480" w:firstLineChars="200"/>
        <w:rPr>
          <w:rFonts w:ascii="宋体" w:hAnsi="宋体"/>
          <w:sz w:val="24"/>
        </w:rPr>
      </w:pPr>
      <w:r>
        <w:rPr>
          <w:rFonts w:ascii="宋体" w:hAnsi="宋体"/>
          <w:sz w:val="24"/>
        </w:rPr>
        <w:t>2.</w:t>
      </w:r>
      <w:r>
        <w:rPr>
          <w:rFonts w:hint="eastAsia" w:ascii="宋体" w:hAnsi="宋体"/>
          <w:sz w:val="24"/>
        </w:rPr>
        <w:t>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14:paraId="7A8CE19D">
      <w:pPr>
        <w:spacing w:line="360" w:lineRule="auto"/>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）基金管理人负责控制信用风险。信用风险主要包括存款银行的信用等级、存款银行的支付能力等涉及到存款银行选择方面的风险。因选择存款银行不当造成基金财产损失的，由基金管理人承担责任。</w:t>
      </w:r>
    </w:p>
    <w:p w14:paraId="09B837F4">
      <w:pPr>
        <w:spacing w:line="360" w:lineRule="auto"/>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14:paraId="7B473F1D">
      <w:pPr>
        <w:spacing w:line="360" w:lineRule="auto"/>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）基金管理人须加强内部风险控制制度的建设。如因基金管理人员工职务行为导致基金财产受到损失的，需由基金管理人承担由此造成的损失。</w:t>
      </w:r>
    </w:p>
    <w:p w14:paraId="774D3391">
      <w:pPr>
        <w:spacing w:line="360" w:lineRule="auto"/>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）基金管理人与基金托管人在开展基金存款业务时，应严格遵守《基金法》、《运作办法》等有关法律法规，以及国家有关账户管理、利率管理、支付结算等的各项规定。</w:t>
      </w:r>
    </w:p>
    <w:p w14:paraId="67C04194">
      <w:pPr>
        <w:spacing w:line="360" w:lineRule="auto"/>
        <w:ind w:firstLine="480" w:firstLineChars="200"/>
        <w:rPr>
          <w:rFonts w:ascii="宋体" w:hAnsi="宋体"/>
          <w:sz w:val="24"/>
        </w:rPr>
      </w:pPr>
      <w:r>
        <w:rPr>
          <w:rFonts w:hint="eastAsia" w:ascii="宋体" w:hAnsi="宋体"/>
          <w:sz w:val="24"/>
        </w:rPr>
        <w:t>（三）基金投资银行存款协议的签订、账户开设与管理、投资指令与资金划付、账目核对、到期兑付、提前支取</w:t>
      </w:r>
    </w:p>
    <w:p w14:paraId="55A0A700">
      <w:pPr>
        <w:spacing w:line="360" w:lineRule="auto"/>
        <w:ind w:firstLine="480" w:firstLineChars="200"/>
        <w:rPr>
          <w:rFonts w:ascii="宋体" w:hAnsi="宋体"/>
          <w:sz w:val="24"/>
        </w:rPr>
      </w:pPr>
      <w:r>
        <w:rPr>
          <w:rFonts w:ascii="宋体" w:hAnsi="宋体"/>
          <w:sz w:val="24"/>
        </w:rPr>
        <w:t>1.基金投资银行存款协议的签订</w:t>
      </w:r>
    </w:p>
    <w:p w14:paraId="0F339BD8">
      <w:pPr>
        <w:spacing w:line="360" w:lineRule="auto"/>
        <w:ind w:firstLine="480" w:firstLineChars="200"/>
        <w:rPr>
          <w:rFonts w:ascii="宋体" w:hAnsi="宋体"/>
          <w:sz w:val="24"/>
        </w:rPr>
      </w:pPr>
      <w:r>
        <w:rPr>
          <w:rFonts w:hint="eastAsia" w:ascii="宋体" w:hAnsi="宋体"/>
          <w:sz w:val="24"/>
        </w:rPr>
        <w:t>（</w:t>
      </w:r>
      <w:r>
        <w:rPr>
          <w:rFonts w:ascii="宋体" w:hAnsi="宋体"/>
          <w:sz w:val="24"/>
        </w:rPr>
        <w:t>1）基金管理人应与</w:t>
      </w:r>
      <w:r>
        <w:rPr>
          <w:rFonts w:hint="eastAsia" w:ascii="宋体" w:hAnsi="宋体"/>
          <w:sz w:val="24"/>
        </w:rPr>
        <w:t>符合资格的存款银行总行或其授权分行签订《基金存款业务总体合作协议》（以下简称《总体合作协议》），确定《存款协议书》的格式范本。《总体合作协议》和《存款协议书》的格式范本由基金托管人与基金管理人共同商定。</w:t>
      </w:r>
    </w:p>
    <w:p w14:paraId="49EE7613">
      <w:pPr>
        <w:spacing w:line="360" w:lineRule="auto"/>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）基金托管人依据相关法规对《总体合作协议》和《存款协议书》的内容进行复核，审查存款银行资格等。</w:t>
      </w:r>
    </w:p>
    <w:p w14:paraId="5C34911D">
      <w:pPr>
        <w:spacing w:line="360" w:lineRule="auto"/>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）基金管理人应在《存款协议书》中明确存款证实书或其他有效存款凭证的办理方式、邮寄地址、联系人和联系电话，以及存款证实书或其他有效凭证在邮寄过程中遗失后，存款余额的确认及兑付办法等。</w:t>
      </w:r>
    </w:p>
    <w:p w14:paraId="67AFFA0C">
      <w:pPr>
        <w:spacing w:line="360" w:lineRule="auto"/>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）由存款银行指定的存放存款的分支机构（以下简称“存款分支机构</w:t>
      </w:r>
      <w:r>
        <w:rPr>
          <w:rFonts w:ascii="宋体" w:hAnsi="宋体"/>
          <w:sz w:val="24"/>
        </w:rPr>
        <w:t>”</w:t>
      </w:r>
      <w:r>
        <w:rPr>
          <w:rFonts w:hint="eastAsia" w:ascii="宋体" w:hAnsi="宋体"/>
          <w:sz w:val="24"/>
        </w:rPr>
        <w:t>）寄送</w:t>
      </w:r>
      <w:r>
        <w:rPr>
          <w:rFonts w:hint="eastAsia" w:ascii="宋体" w:hAnsi="宋体" w:cs="Arial"/>
          <w:sz w:val="24"/>
        </w:rPr>
        <w:t>或</w:t>
      </w:r>
      <w:r>
        <w:rPr>
          <w:rFonts w:hint="eastAsia" w:ascii="宋体" w:hAnsi="宋体"/>
          <w:sz w:val="24"/>
        </w:rPr>
        <w:t>上门交付存款证实书或其他有效存款凭证的，基金托管人可向存款分支机构的上级行发出存款余额询证函，存款分支机构及其上级行应予配合。</w:t>
      </w:r>
    </w:p>
    <w:p w14:paraId="65188981">
      <w:pPr>
        <w:spacing w:line="360" w:lineRule="auto"/>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）基金管理人应在《存款协议书》中规定，基金存放到期或提前兑付的资金应全部划转到指定的基金托管账户，并在《存款协议书》写明账户名称和账号，未划入指定账户的，由存款银行承担一切责任。</w:t>
      </w:r>
    </w:p>
    <w:p w14:paraId="79601052">
      <w:pPr>
        <w:spacing w:line="480" w:lineRule="exact"/>
        <w:ind w:firstLine="480" w:firstLineChars="20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基金管理人应在《存款协议书》中规定，在存期内，如本基金银行账户、预留印鉴发生变更，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14:paraId="755F20A8">
      <w:pPr>
        <w:spacing w:line="360" w:lineRule="auto"/>
        <w:ind w:firstLine="480" w:firstLineChars="200"/>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）基金管理人应在《存款协议书》中规定，因定期存款产生的存单不得被质押或以任何方式被抵押，不得用于转让和背书。</w:t>
      </w:r>
    </w:p>
    <w:p w14:paraId="5D74CB6F">
      <w:pPr>
        <w:spacing w:line="360" w:lineRule="auto"/>
        <w:ind w:firstLine="480" w:firstLineChars="200"/>
        <w:rPr>
          <w:rFonts w:ascii="宋体" w:hAnsi="宋体"/>
          <w:sz w:val="24"/>
        </w:rPr>
      </w:pPr>
      <w:r>
        <w:rPr>
          <w:rFonts w:ascii="宋体" w:hAnsi="宋体"/>
          <w:sz w:val="24"/>
        </w:rPr>
        <w:t>2.</w:t>
      </w:r>
      <w:r>
        <w:rPr>
          <w:rFonts w:hint="eastAsia" w:ascii="宋体" w:hAnsi="宋体"/>
          <w:sz w:val="24"/>
        </w:rPr>
        <w:t>基金投资银行存款时的账户开设与管理</w:t>
      </w:r>
    </w:p>
    <w:p w14:paraId="64AD4BA5">
      <w:pPr>
        <w:spacing w:line="360" w:lineRule="auto"/>
        <w:ind w:firstLine="480" w:firstLineChars="200"/>
        <w:rPr>
          <w:rFonts w:ascii="宋体" w:hAnsi="宋体"/>
          <w:sz w:val="24"/>
        </w:rPr>
      </w:pPr>
      <w:r>
        <w:rPr>
          <w:rFonts w:hint="eastAsia" w:ascii="宋体" w:hAnsi="宋体"/>
          <w:sz w:val="24"/>
        </w:rPr>
        <w:t>（</w:t>
      </w:r>
      <w:r>
        <w:rPr>
          <w:rFonts w:ascii="宋体" w:hAnsi="宋体"/>
          <w:sz w:val="24"/>
        </w:rPr>
        <w:t>1）基金投资于银行存款时，基金</w:t>
      </w:r>
      <w:r>
        <w:rPr>
          <w:rFonts w:hint="eastAsia" w:ascii="宋体" w:hAnsi="宋体"/>
          <w:sz w:val="24"/>
        </w:rPr>
        <w:t>管理人应当依据基金管理人与存款银行签订的《总体合作协议》、《存款协议书》等，以基金的名义在存款银行总行或授权分行指定的分支机构开立银行账户。</w:t>
      </w:r>
    </w:p>
    <w:p w14:paraId="673BEF7A">
      <w:pPr>
        <w:spacing w:line="360" w:lineRule="auto"/>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基金投资于银行存款时的预留印鉴由基金托管人保管和使用。</w:t>
      </w:r>
    </w:p>
    <w:p w14:paraId="015F02CD">
      <w:pPr>
        <w:spacing w:line="360" w:lineRule="auto"/>
        <w:ind w:firstLine="480" w:firstLineChars="200"/>
        <w:rPr>
          <w:rFonts w:ascii="宋体" w:hAnsi="宋体"/>
          <w:sz w:val="24"/>
        </w:rPr>
      </w:pPr>
      <w:r>
        <w:rPr>
          <w:rFonts w:ascii="宋体" w:hAnsi="宋体"/>
          <w:sz w:val="24"/>
        </w:rPr>
        <w:t>3.</w:t>
      </w:r>
      <w:r>
        <w:rPr>
          <w:rFonts w:hint="eastAsia" w:ascii="宋体" w:hAnsi="宋体"/>
          <w:sz w:val="24"/>
        </w:rPr>
        <w:t>存款凭证传递、账目核对及到期兑付</w:t>
      </w:r>
    </w:p>
    <w:p w14:paraId="34FB2008">
      <w:pPr>
        <w:spacing w:line="360" w:lineRule="auto"/>
        <w:ind w:firstLine="480" w:firstLineChars="200"/>
        <w:rPr>
          <w:rFonts w:ascii="宋体" w:hAnsi="宋体"/>
          <w:sz w:val="24"/>
        </w:rPr>
      </w:pPr>
      <w:r>
        <w:rPr>
          <w:rFonts w:hint="eastAsia" w:ascii="宋体" w:hAnsi="宋体"/>
          <w:sz w:val="24"/>
        </w:rPr>
        <w:t>（</w:t>
      </w:r>
      <w:r>
        <w:rPr>
          <w:rFonts w:ascii="宋体" w:hAnsi="宋体"/>
          <w:sz w:val="24"/>
        </w:rPr>
        <w:t>1）存款证实书等存款凭证</w:t>
      </w:r>
      <w:r>
        <w:rPr>
          <w:rFonts w:hint="eastAsia" w:ascii="宋体" w:hAnsi="宋体"/>
          <w:sz w:val="24"/>
        </w:rPr>
        <w:t>传递</w:t>
      </w:r>
    </w:p>
    <w:p w14:paraId="2108972B">
      <w:pPr>
        <w:spacing w:line="360" w:lineRule="auto"/>
        <w:ind w:firstLine="480" w:firstLineChars="200"/>
        <w:rPr>
          <w:rFonts w:ascii="宋体" w:hAnsi="宋体"/>
          <w:sz w:val="24"/>
        </w:rPr>
      </w:pPr>
      <w:r>
        <w:rPr>
          <w:rFonts w:hint="eastAsia" w:ascii="宋体" w:hAnsi="宋体"/>
          <w:sz w:val="24"/>
        </w:rPr>
        <w:t>存款资金只能存放于存款银行总行或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14:paraId="619C1DCE">
      <w:pPr>
        <w:spacing w:line="360" w:lineRule="auto"/>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）存款凭证的遗失补办</w:t>
      </w:r>
    </w:p>
    <w:p w14:paraId="3D304D7A">
      <w:pPr>
        <w:spacing w:line="360" w:lineRule="auto"/>
        <w:ind w:firstLine="480" w:firstLineChars="200"/>
        <w:rPr>
          <w:rFonts w:ascii="宋体" w:hAnsi="宋体"/>
          <w:sz w:val="24"/>
        </w:rPr>
      </w:pPr>
      <w:r>
        <w:rPr>
          <w:rFonts w:hint="eastAsia" w:ascii="宋体" w:hAnsi="宋体"/>
          <w:sz w:val="24"/>
        </w:rPr>
        <w:t>存款凭证在邮寄过程中遗失的，由基金管理人向存款银行提出补办申请，基金管理人应督促存款银行尽快补办存款凭证，并按以上（</w:t>
      </w:r>
      <w:r>
        <w:rPr>
          <w:rFonts w:ascii="宋体" w:hAnsi="宋体"/>
          <w:sz w:val="24"/>
        </w:rPr>
        <w:t>1</w:t>
      </w:r>
      <w:r>
        <w:rPr>
          <w:rFonts w:hint="eastAsia" w:ascii="宋体" w:hAnsi="宋体"/>
          <w:sz w:val="24"/>
        </w:rPr>
        <w:t>）的方式快递或上门交付至托管人，原存款凭证自动作废。</w:t>
      </w:r>
    </w:p>
    <w:p w14:paraId="01191731">
      <w:pPr>
        <w:spacing w:line="360" w:lineRule="auto"/>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）账目核对</w:t>
      </w:r>
    </w:p>
    <w:p w14:paraId="3A9B6C6C">
      <w:pPr>
        <w:spacing w:line="360" w:lineRule="auto"/>
        <w:ind w:firstLine="480" w:firstLineChars="200"/>
        <w:rPr>
          <w:rFonts w:ascii="宋体" w:hAnsi="宋体"/>
          <w:sz w:val="24"/>
        </w:rPr>
      </w:pPr>
      <w:r>
        <w:rPr>
          <w:rFonts w:hint="eastAsia" w:ascii="宋体" w:hAnsi="宋体"/>
          <w:sz w:val="24"/>
        </w:rPr>
        <w:t>每个工作日，基金管理人应与基金托管人核对各项银行存款投资余额及应计利息。</w:t>
      </w:r>
    </w:p>
    <w:p w14:paraId="779B38DC">
      <w:pPr>
        <w:spacing w:line="480" w:lineRule="exact"/>
        <w:ind w:firstLine="480" w:firstLineChars="200"/>
        <w:rPr>
          <w:rFonts w:ascii="宋体" w:hAnsi="宋体"/>
          <w:sz w:val="24"/>
        </w:rPr>
      </w:pPr>
      <w:r>
        <w:rPr>
          <w:rFonts w:hint="eastAsia" w:ascii="宋体" w:hAnsi="宋体"/>
          <w:sz w:val="24"/>
        </w:rPr>
        <w:t>基金管理人应在《存款协议书》中规定，对于存期超过</w:t>
      </w:r>
      <w:r>
        <w:rPr>
          <w:rFonts w:ascii="宋体" w:hAnsi="宋体"/>
          <w:sz w:val="24"/>
        </w:rPr>
        <w:t>3个月的定期存款，存款银行应于每季末后5个工作日内向基金托管人指定人员寄送对账单。因存款银</w:t>
      </w:r>
      <w:r>
        <w:rPr>
          <w:rFonts w:hint="eastAsia" w:ascii="宋体" w:hAnsi="宋体"/>
          <w:sz w:val="24"/>
        </w:rPr>
        <w:t>行未寄送对账单造成的资金被挪用、盗取的责任由存款银行承担。</w:t>
      </w:r>
    </w:p>
    <w:p w14:paraId="18E13C1F">
      <w:pPr>
        <w:spacing w:line="480" w:lineRule="exact"/>
        <w:ind w:firstLine="480" w:firstLineChars="200"/>
        <w:rPr>
          <w:rFonts w:ascii="宋体" w:hAnsi="宋体"/>
          <w:sz w:val="24"/>
        </w:rPr>
      </w:pPr>
      <w:r>
        <w:rPr>
          <w:rFonts w:hint="eastAsia" w:ascii="宋体" w:hAnsi="宋体"/>
          <w:sz w:val="24"/>
        </w:rPr>
        <w:t>存款银行应配合基金托管人对存款凭证的询证，并在询证函上加盖存款银行公章寄送至基金托管人指定联系人。</w:t>
      </w:r>
    </w:p>
    <w:p w14:paraId="13CC2FD4">
      <w:pPr>
        <w:spacing w:line="360" w:lineRule="auto"/>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）到期兑付</w:t>
      </w:r>
    </w:p>
    <w:p w14:paraId="1B53A532">
      <w:pPr>
        <w:spacing w:line="360" w:lineRule="auto"/>
        <w:ind w:firstLine="480" w:firstLineChars="200"/>
        <w:rPr>
          <w:rFonts w:ascii="宋体" w:hAnsi="宋体"/>
          <w:sz w:val="24"/>
        </w:rPr>
      </w:pPr>
      <w:r>
        <w:rPr>
          <w:rFonts w:hint="eastAsia" w:ascii="宋体" w:hAnsi="宋体"/>
          <w:sz w:val="24"/>
        </w:rPr>
        <w:t>基金管理人提前通知基金托管人通过快递将存款凭证原件寄给存款银行分支机构指定的会计主管。存款银行未收到存款凭证原件的，应向基金托管人电话询问。存款到期前基金管理人与存款银行确认存款凭证收到并于到期日兑付存款本息事宜。</w:t>
      </w:r>
    </w:p>
    <w:p w14:paraId="72F52615">
      <w:pPr>
        <w:spacing w:line="360" w:lineRule="auto"/>
        <w:ind w:firstLine="480" w:firstLineChars="200"/>
        <w:rPr>
          <w:rFonts w:ascii="宋体" w:hAnsi="宋体"/>
          <w:sz w:val="24"/>
        </w:rPr>
      </w:pPr>
      <w:r>
        <w:rPr>
          <w:rFonts w:hint="eastAsia" w:ascii="宋体" w:hAnsi="宋体"/>
          <w:sz w:val="24"/>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14:paraId="41C2F94D">
      <w:pPr>
        <w:spacing w:line="360" w:lineRule="auto"/>
        <w:ind w:firstLine="480" w:firstLineChars="200"/>
        <w:rPr>
          <w:rFonts w:ascii="宋体" w:hAnsi="宋体" w:cs="Arial"/>
          <w:szCs w:val="21"/>
        </w:rPr>
      </w:pPr>
      <w:r>
        <w:rPr>
          <w:rFonts w:hint="eastAsia" w:ascii="宋体" w:hAnsi="宋体"/>
          <w:sz w:val="24"/>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w:t>
      </w:r>
    </w:p>
    <w:p w14:paraId="6FE2DA9B">
      <w:pPr>
        <w:spacing w:line="360" w:lineRule="auto"/>
        <w:ind w:firstLine="480" w:firstLineChars="200"/>
        <w:rPr>
          <w:rFonts w:ascii="宋体" w:hAnsi="宋体"/>
          <w:sz w:val="24"/>
        </w:rPr>
      </w:pPr>
      <w:r>
        <w:rPr>
          <w:rFonts w:hint="eastAsia" w:ascii="宋体" w:hAnsi="宋体"/>
          <w:sz w:val="24"/>
        </w:rPr>
        <w:t>如果存款到期日为法定节假日，存款银行顺延至到期后第一个工作日支付，存款银行需按原协议约定利率和实际延期天数支付延期利息。</w:t>
      </w:r>
    </w:p>
    <w:p w14:paraId="6CE97221">
      <w:pPr>
        <w:spacing w:line="360" w:lineRule="auto"/>
        <w:ind w:firstLine="480" w:firstLineChars="200"/>
        <w:rPr>
          <w:rFonts w:ascii="宋体" w:hAnsi="宋体"/>
          <w:sz w:val="24"/>
        </w:rPr>
      </w:pPr>
      <w:r>
        <w:rPr>
          <w:rFonts w:ascii="宋体" w:hAnsi="宋体"/>
          <w:sz w:val="24"/>
        </w:rPr>
        <w:t>4.提前支取</w:t>
      </w:r>
    </w:p>
    <w:p w14:paraId="52CC45B6">
      <w:pPr>
        <w:spacing w:line="360" w:lineRule="auto"/>
        <w:ind w:firstLine="480" w:firstLineChars="200"/>
        <w:rPr>
          <w:rFonts w:ascii="宋体" w:hAnsi="宋体"/>
          <w:sz w:val="24"/>
        </w:rPr>
      </w:pPr>
      <w:r>
        <w:rPr>
          <w:rFonts w:hint="eastAsia" w:ascii="宋体" w:hAnsi="宋体"/>
          <w:sz w:val="24"/>
        </w:rPr>
        <w:t>如果在存款期限内，由于基金规模发生缩减的原因或者出于流动性管理的需要等原因，基金管理人可以提前支取全部或部分资金。</w:t>
      </w:r>
    </w:p>
    <w:p w14:paraId="019B3C59">
      <w:pPr>
        <w:spacing w:line="360" w:lineRule="auto"/>
        <w:ind w:firstLine="480" w:firstLineChars="200"/>
        <w:rPr>
          <w:rFonts w:ascii="宋体" w:hAnsi="宋体"/>
          <w:sz w:val="24"/>
        </w:rPr>
      </w:pPr>
      <w:r>
        <w:rPr>
          <w:rFonts w:hint="eastAsia" w:ascii="宋体" w:hAnsi="宋体"/>
          <w:sz w:val="24"/>
        </w:rPr>
        <w:t>提前支取的具体事项按照基金管理人与存款银行签订的《存款协议书》执行。</w:t>
      </w:r>
    </w:p>
    <w:p w14:paraId="3B66E505">
      <w:pPr>
        <w:spacing w:line="360" w:lineRule="auto"/>
        <w:ind w:firstLine="480" w:firstLineChars="200"/>
        <w:rPr>
          <w:rFonts w:ascii="宋体" w:hAnsi="宋体"/>
          <w:sz w:val="24"/>
        </w:rPr>
      </w:pPr>
      <w:r>
        <w:rPr>
          <w:rFonts w:ascii="宋体" w:hAnsi="宋体"/>
          <w:sz w:val="24"/>
        </w:rPr>
        <w:t>5.</w:t>
      </w:r>
      <w:r>
        <w:rPr>
          <w:rFonts w:hint="eastAsia" w:ascii="宋体" w:hAnsi="宋体"/>
          <w:sz w:val="24"/>
        </w:rPr>
        <w:t>基金投资银行存款的监督</w:t>
      </w:r>
    </w:p>
    <w:p w14:paraId="756CBD9E">
      <w:pPr>
        <w:spacing w:line="360" w:lineRule="auto"/>
        <w:ind w:firstLine="480" w:firstLineChars="200"/>
        <w:rPr>
          <w:rFonts w:ascii="宋体" w:hAnsi="宋体"/>
          <w:sz w:val="24"/>
        </w:rPr>
      </w:pPr>
      <w:r>
        <w:rPr>
          <w:rFonts w:hint="eastAsia" w:ascii="宋体" w:hAnsi="宋体"/>
          <w:sz w:val="24"/>
        </w:rPr>
        <w:t>基金托管人发现基金管理人在进行存款投资时有违反有关法律法规的规定及《基金合同》的约定的行为，应及时以书面形式通知基金管理人在</w:t>
      </w:r>
      <w:r>
        <w:rPr>
          <w:rFonts w:ascii="宋体" w:hAnsi="宋体"/>
          <w:sz w:val="24"/>
        </w:rPr>
        <w:t>10</w:t>
      </w:r>
      <w:r>
        <w:rPr>
          <w:rFonts w:hint="eastAsia" w:ascii="宋体" w:hAnsi="宋体"/>
          <w:sz w:val="24"/>
        </w:rPr>
        <w:t>个工作日内纠正。基金管理人对基金托管人通知的违规事项未能在</w:t>
      </w:r>
      <w:r>
        <w:rPr>
          <w:rFonts w:ascii="宋体" w:hAnsi="宋体"/>
          <w:sz w:val="24"/>
        </w:rPr>
        <w:t>10</w:t>
      </w:r>
      <w:r>
        <w:rPr>
          <w:rFonts w:hint="eastAsia" w:ascii="宋体" w:hAnsi="宋体"/>
          <w:sz w:val="24"/>
        </w:rPr>
        <w:t>个工作日内纠正的，基金托管人应报告中国证监会。基金托管人发现基金管理人有重大违规行为，应立即报告中国证监会，同时通知基金管理人在</w:t>
      </w:r>
      <w:r>
        <w:rPr>
          <w:rFonts w:ascii="宋体" w:hAnsi="宋体"/>
          <w:sz w:val="24"/>
        </w:rPr>
        <w:t>10</w:t>
      </w:r>
      <w:r>
        <w:rPr>
          <w:rFonts w:hint="eastAsia" w:ascii="宋体" w:hAnsi="宋体"/>
          <w:sz w:val="24"/>
        </w:rPr>
        <w:t>个工作日内纠正或拒绝结算，若因基金管理人拒不执行造成基金财产损失的，相关损失由基金管理人承担，基金托管人不承担任何责任。</w:t>
      </w:r>
    </w:p>
    <w:p w14:paraId="67B342AB">
      <w:pPr>
        <w:spacing w:line="360" w:lineRule="auto"/>
        <w:ind w:firstLine="480" w:firstLineChars="200"/>
        <w:rPr>
          <w:rFonts w:ascii="宋体" w:hAnsi="宋体"/>
          <w:sz w:val="24"/>
        </w:rPr>
      </w:pPr>
      <w:r>
        <w:rPr>
          <w:rFonts w:hint="eastAsia" w:ascii="宋体" w:hAnsi="宋体"/>
          <w:sz w:val="24"/>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w:t>
      </w:r>
      <w:r>
        <w:rPr>
          <w:rFonts w:ascii="宋体" w:hAnsi="宋体"/>
          <w:sz w:val="24"/>
        </w:rPr>
        <w:t>3个交易日内与基金托管人协商解决。</w:t>
      </w:r>
    </w:p>
    <w:p w14:paraId="63118617">
      <w:pPr>
        <w:spacing w:line="360" w:lineRule="auto"/>
        <w:ind w:firstLine="480" w:firstLineChars="200"/>
        <w:rPr>
          <w:rFonts w:ascii="宋体" w:hAnsi="宋体"/>
          <w:sz w:val="24"/>
        </w:rPr>
      </w:pPr>
      <w:r>
        <w:rPr>
          <w:rFonts w:hint="eastAsia" w:ascii="宋体" w:hAnsi="宋体"/>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325216BE">
      <w:pPr>
        <w:spacing w:line="360" w:lineRule="auto"/>
        <w:ind w:firstLine="480" w:firstLineChars="200"/>
        <w:rPr>
          <w:rFonts w:ascii="宋体" w:hAnsi="宋体"/>
          <w:sz w:val="24"/>
        </w:rPr>
      </w:pPr>
      <w:r>
        <w:rPr>
          <w:rFonts w:hint="eastAsia" w:ascii="宋体" w:hAnsi="宋体"/>
          <w:sz w:val="24"/>
        </w:rPr>
        <w:t>（五）本基金投资流通受限证券，应遵守《关于基金投资非公开发行股票等流通受限证券有关问题的通知》等有关监管规定。</w:t>
      </w:r>
    </w:p>
    <w:p w14:paraId="123F5091">
      <w:pPr>
        <w:spacing w:line="360" w:lineRule="auto"/>
        <w:ind w:firstLine="480" w:firstLineChars="200"/>
        <w:rPr>
          <w:rFonts w:ascii="宋体" w:hAnsi="宋体"/>
          <w:sz w:val="24"/>
        </w:rPr>
      </w:pPr>
      <w:r>
        <w:rPr>
          <w:rFonts w:ascii="宋体" w:hAnsi="宋体"/>
          <w:sz w:val="24"/>
        </w:rPr>
        <w:t>1.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14:paraId="2202807A">
      <w:pPr>
        <w:spacing w:line="360" w:lineRule="auto"/>
        <w:ind w:firstLine="480" w:firstLineChars="200"/>
        <w:rPr>
          <w:rFonts w:ascii="宋体" w:hAnsi="宋体"/>
          <w:sz w:val="24"/>
        </w:rPr>
      </w:pPr>
      <w:r>
        <w:rPr>
          <w:rFonts w:hint="eastAsia" w:ascii="宋体" w:hAnsi="宋体"/>
          <w:sz w:val="24"/>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14:paraId="55078BD4">
      <w:pPr>
        <w:spacing w:line="360" w:lineRule="auto"/>
        <w:ind w:firstLine="480" w:firstLineChars="200"/>
        <w:rPr>
          <w:rFonts w:ascii="宋体" w:hAnsi="宋体"/>
          <w:sz w:val="24"/>
        </w:rPr>
      </w:pPr>
      <w:r>
        <w:rPr>
          <w:rFonts w:hint="eastAsia" w:ascii="宋体" w:hAnsi="宋体"/>
          <w:sz w:val="24"/>
        </w:rPr>
        <w:t>本基金不得投资未经中国证监会批准的非公开发行证券。</w:t>
      </w:r>
    </w:p>
    <w:p w14:paraId="1D8C371C">
      <w:pPr>
        <w:spacing w:line="360" w:lineRule="auto"/>
        <w:ind w:firstLine="480" w:firstLineChars="200"/>
        <w:rPr>
          <w:rFonts w:ascii="宋体" w:hAnsi="宋体"/>
          <w:sz w:val="24"/>
        </w:rPr>
      </w:pPr>
      <w:r>
        <w:rPr>
          <w:rFonts w:hint="eastAsia" w:ascii="宋体" w:hAnsi="宋体"/>
          <w:sz w:val="24"/>
        </w:rPr>
        <w:t>本基金不得投资有锁定期但锁定期不明确的证券。</w:t>
      </w:r>
    </w:p>
    <w:p w14:paraId="272AE0A6">
      <w:pPr>
        <w:spacing w:line="360" w:lineRule="auto"/>
        <w:ind w:firstLine="480" w:firstLineChars="200"/>
        <w:rPr>
          <w:rFonts w:ascii="宋体" w:hAnsi="宋体"/>
          <w:sz w:val="24"/>
        </w:rPr>
      </w:pPr>
      <w:r>
        <w:rPr>
          <w:rFonts w:ascii="宋体" w:hAnsi="宋体"/>
          <w:sz w:val="24"/>
        </w:rPr>
        <w:t>2.</w:t>
      </w:r>
      <w:r>
        <w:rPr>
          <w:rFonts w:hint="eastAsia" w:ascii="宋体" w:hAnsi="宋体"/>
          <w:sz w:val="24"/>
        </w:rPr>
        <w:t>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32F911FA">
      <w:pPr>
        <w:spacing w:line="360" w:lineRule="auto"/>
        <w:ind w:firstLine="480" w:firstLineChars="200"/>
        <w:rPr>
          <w:rFonts w:ascii="宋体" w:hAnsi="宋体"/>
          <w:sz w:val="24"/>
        </w:rPr>
      </w:pPr>
      <w:r>
        <w:rPr>
          <w:rFonts w:hint="eastAsia" w:ascii="宋体" w:hAnsi="宋体"/>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14:paraId="18337D36">
      <w:pPr>
        <w:spacing w:line="360" w:lineRule="auto"/>
        <w:ind w:firstLine="480" w:firstLineChars="200"/>
        <w:rPr>
          <w:rFonts w:ascii="宋体" w:hAnsi="宋体"/>
          <w:sz w:val="24"/>
        </w:rPr>
      </w:pPr>
      <w:r>
        <w:rPr>
          <w:rFonts w:hint="eastAsia" w:ascii="宋体" w:hAnsi="宋体"/>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14:paraId="0A574ED9">
      <w:pPr>
        <w:spacing w:line="360" w:lineRule="auto"/>
        <w:ind w:firstLine="480" w:firstLineChars="200"/>
        <w:rPr>
          <w:rFonts w:ascii="宋体" w:hAnsi="宋体"/>
          <w:sz w:val="24"/>
        </w:rPr>
      </w:pPr>
      <w:r>
        <w:rPr>
          <w:rFonts w:ascii="宋体" w:hAnsi="宋体"/>
          <w:sz w:val="24"/>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w:t>
      </w:r>
      <w:r>
        <w:rPr>
          <w:rFonts w:hint="eastAsia" w:ascii="宋体" w:hAnsi="宋体"/>
          <w:sz w:val="24"/>
        </w:rPr>
        <w:t>于拟执行投资指令前两个工作日将上述信息书面发至基金托管人，保证基金托管人有足够的时间进行审核。</w:t>
      </w:r>
    </w:p>
    <w:p w14:paraId="52788038">
      <w:pPr>
        <w:spacing w:line="360" w:lineRule="auto"/>
        <w:ind w:firstLine="480" w:firstLineChars="200"/>
        <w:rPr>
          <w:rFonts w:ascii="宋体" w:hAnsi="宋体"/>
          <w:sz w:val="24"/>
        </w:rPr>
      </w:pPr>
      <w:r>
        <w:rPr>
          <w:rFonts w:hint="eastAsia" w:ascii="宋体" w:hAnsi="宋体"/>
          <w:sz w:val="24"/>
        </w:rPr>
        <w:t>由于基金管理人未及时提供有关证券的具体的必要的信息，致使托管人无法审核认购指令而影响认购款项划拨的，基金托管人免于承担责任。</w:t>
      </w:r>
    </w:p>
    <w:p w14:paraId="73DBD6AE">
      <w:pPr>
        <w:spacing w:line="360" w:lineRule="auto"/>
        <w:ind w:firstLine="480" w:firstLineChars="200"/>
        <w:rPr>
          <w:rFonts w:ascii="宋体" w:hAnsi="宋体"/>
          <w:sz w:val="24"/>
        </w:rPr>
      </w:pPr>
      <w:r>
        <w:rPr>
          <w:rFonts w:ascii="宋体" w:hAnsi="宋体"/>
          <w:sz w:val="24"/>
        </w:rPr>
        <w:t>4.基金托管人依照法律法规</w:t>
      </w:r>
      <w:r>
        <w:rPr>
          <w:rFonts w:hint="eastAsia" w:ascii="宋体" w:hAnsi="宋体"/>
          <w:sz w:val="24"/>
        </w:rPr>
        <w:t>、《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14:paraId="53C7D875">
      <w:pPr>
        <w:spacing w:line="360" w:lineRule="auto"/>
        <w:ind w:firstLine="480" w:firstLineChars="200"/>
        <w:rPr>
          <w:rFonts w:ascii="宋体" w:hAnsi="宋体" w:cs="Arial"/>
          <w:szCs w:val="21"/>
        </w:rPr>
      </w:pPr>
      <w:r>
        <w:rPr>
          <w:rFonts w:ascii="宋体" w:hAnsi="宋体"/>
          <w:sz w:val="24"/>
        </w:rPr>
        <w:t>5.基金管理</w:t>
      </w:r>
      <w:r>
        <w:rPr>
          <w:rFonts w:hint="eastAsia" w:ascii="宋体" w:hAnsi="宋体"/>
          <w:sz w:val="24"/>
        </w:rPr>
        <w:t>人</w:t>
      </w:r>
      <w:r>
        <w:rPr>
          <w:rFonts w:ascii="宋体" w:hAnsi="宋体"/>
          <w:sz w:val="24"/>
        </w:rPr>
        <w:t>应在基金投资非公开发行股票后两个交易日内</w:t>
      </w:r>
      <w:r>
        <w:rPr>
          <w:rFonts w:hint="eastAsia" w:ascii="宋体" w:hAnsi="宋体"/>
          <w:sz w:val="24"/>
        </w:rPr>
        <w:t>，</w:t>
      </w:r>
      <w:r>
        <w:rPr>
          <w:rFonts w:ascii="宋体" w:hAnsi="宋体"/>
          <w:sz w:val="24"/>
        </w:rPr>
        <w:t>在中国证监会规定媒介披露所投资非公开发行股票的名称、数量、总成本、账面价值</w:t>
      </w:r>
      <w:r>
        <w:rPr>
          <w:rFonts w:hint="eastAsia" w:ascii="宋体" w:hAnsi="宋体"/>
          <w:sz w:val="24"/>
        </w:rPr>
        <w:t>，</w:t>
      </w:r>
      <w:r>
        <w:rPr>
          <w:rFonts w:ascii="宋体" w:hAnsi="宋体"/>
          <w:sz w:val="24"/>
        </w:rPr>
        <w:t>以及总成本和账面价值占基金资产净值的比例、锁定期等信息。</w:t>
      </w:r>
    </w:p>
    <w:p w14:paraId="34C7D519">
      <w:pPr>
        <w:spacing w:line="360" w:lineRule="auto"/>
        <w:ind w:firstLine="480" w:firstLineChars="200"/>
        <w:rPr>
          <w:rFonts w:ascii="宋体" w:hAnsi="宋体"/>
          <w:sz w:val="24"/>
        </w:rPr>
      </w:pPr>
      <w:r>
        <w:rPr>
          <w:rFonts w:hint="eastAsia" w:ascii="宋体" w:hAnsi="宋体"/>
          <w:sz w:val="24"/>
        </w:rPr>
        <w:t>（六）基金管理人应当对投资中期票据业务进行研究，认真评估中期票据投资业务的风险，本着审慎、勤勉尽责的原则进行中期票据的投资业务，并应符合法律法规及监管机构的相关规定。</w:t>
      </w:r>
    </w:p>
    <w:p w14:paraId="7146FCB1">
      <w:pPr>
        <w:spacing w:line="360" w:lineRule="auto"/>
        <w:ind w:firstLine="480" w:firstLineChars="200"/>
        <w:rPr>
          <w:rFonts w:ascii="宋体" w:hAnsi="宋体"/>
          <w:sz w:val="24"/>
        </w:rPr>
      </w:pPr>
      <w:r>
        <w:rPr>
          <w:rFonts w:hint="eastAsia" w:ascii="宋体" w:hAnsi="宋体"/>
          <w:sz w:val="24"/>
        </w:rPr>
        <w:t>（</w:t>
      </w:r>
      <w:r>
        <w:rPr>
          <w:rFonts w:hint="eastAsia" w:ascii="宋体" w:hAnsi="宋体" w:cs="Arial"/>
          <w:szCs w:val="21"/>
        </w:rPr>
        <w:t>七</w:t>
      </w:r>
      <w:r>
        <w:rPr>
          <w:rFonts w:hint="eastAsia" w:ascii="宋体" w:hAnsi="宋体"/>
          <w:sz w:val="24"/>
        </w:rPr>
        <w:t>）基金托管人根据有关法律法规的规定及《基金合同》的约定，对各类基金份额的基金资产净值计算及基金份额净值计算、基金费用开支及收入确定、基金收益分配、相关信息披露、基金宣传推介材料中登载基金业绩表现数据等进行监督和核查。</w:t>
      </w:r>
    </w:p>
    <w:p w14:paraId="4B58FF9F">
      <w:pPr>
        <w:spacing w:line="360" w:lineRule="auto"/>
        <w:ind w:firstLine="480" w:firstLineChars="200"/>
        <w:rPr>
          <w:rFonts w:ascii="宋体" w:hAnsi="宋体"/>
          <w:sz w:val="24"/>
        </w:rPr>
      </w:pPr>
      <w:r>
        <w:rPr>
          <w:rFonts w:ascii="宋体" w:hAnsi="宋体"/>
          <w:sz w:val="24"/>
        </w:rPr>
        <w:t>（</w:t>
      </w:r>
      <w:r>
        <w:rPr>
          <w:rFonts w:hint="eastAsia" w:ascii="宋体" w:hAnsi="宋体" w:cs="宋体"/>
        </w:rPr>
        <w:t>八</w:t>
      </w:r>
      <w:r>
        <w:rPr>
          <w:rFonts w:ascii="宋体" w:hAnsi="宋体"/>
          <w:sz w:val="24"/>
        </w:rPr>
        <w:t>）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14:paraId="30535134">
      <w:pPr>
        <w:spacing w:line="360" w:lineRule="auto"/>
        <w:ind w:firstLine="480" w:firstLineChars="200"/>
        <w:rPr>
          <w:rFonts w:ascii="宋体" w:hAnsi="宋体"/>
          <w:sz w:val="24"/>
        </w:rPr>
      </w:pPr>
      <w:r>
        <w:rPr>
          <w:rFonts w:hint="eastAsia" w:ascii="宋体" w:hAnsi="宋体"/>
          <w:sz w:val="24"/>
        </w:rPr>
        <w:t>（</w:t>
      </w:r>
      <w:r>
        <w:rPr>
          <w:rFonts w:hint="eastAsia" w:ascii="宋体" w:hAnsi="宋体" w:cs="Arial"/>
          <w:szCs w:val="21"/>
        </w:rPr>
        <w:t>九</w:t>
      </w:r>
      <w:r>
        <w:rPr>
          <w:rFonts w:hint="eastAsia" w:ascii="宋体" w:hAnsi="宋体"/>
          <w:sz w:val="24"/>
        </w:rPr>
        <w:t>）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075EF496">
      <w:pPr>
        <w:spacing w:line="360" w:lineRule="auto"/>
        <w:ind w:firstLine="480" w:firstLineChars="200"/>
        <w:rPr>
          <w:rFonts w:ascii="宋体" w:hAnsi="宋体"/>
          <w:sz w:val="24"/>
        </w:rPr>
      </w:pPr>
      <w:r>
        <w:rPr>
          <w:rFonts w:hint="eastAsia" w:ascii="宋体" w:hAnsi="宋体"/>
          <w:sz w:val="24"/>
        </w:rPr>
        <w:t>（</w:t>
      </w:r>
      <w:r>
        <w:rPr>
          <w:rFonts w:hint="eastAsia" w:ascii="宋体" w:hAnsi="宋体" w:cs="Arial"/>
          <w:szCs w:val="21"/>
        </w:rPr>
        <w:t>十</w:t>
      </w:r>
      <w:r>
        <w:rPr>
          <w:rFonts w:hint="eastAsia" w:ascii="宋体" w:hAnsi="宋体"/>
          <w:sz w:val="24"/>
        </w:rPr>
        <w:t>）若基金托管人发现基金管理人依据交易程序已经生效的指令违反法律、行政法规和其他有关规定，或者违反基金合同约定的，应当立即通知基金管理人及时纠正，由此造成的损失由基金管理人承担，托管人在履行其通知义务后，予以免责。</w:t>
      </w:r>
    </w:p>
    <w:p w14:paraId="5984442A">
      <w:pPr>
        <w:spacing w:line="360" w:lineRule="auto"/>
        <w:ind w:firstLine="480" w:firstLineChars="200"/>
        <w:rPr>
          <w:rFonts w:ascii="宋体" w:hAnsi="宋体"/>
          <w:sz w:val="24"/>
        </w:rPr>
      </w:pPr>
      <w:r>
        <w:rPr>
          <w:rFonts w:hint="eastAsia" w:ascii="宋体" w:hAnsi="宋体"/>
          <w:sz w:val="24"/>
        </w:rPr>
        <w:t>（十一）基金托管人发现基金管理人有重大违规行为，应及时报告中国证监会，同时通知基金管理人限期纠正。</w:t>
      </w:r>
    </w:p>
    <w:p w14:paraId="4BBEE3A0">
      <w:pPr>
        <w:spacing w:line="360" w:lineRule="auto"/>
        <w:ind w:firstLine="480" w:firstLineChars="200"/>
        <w:rPr>
          <w:rFonts w:ascii="宋体" w:hAnsi="宋体"/>
          <w:sz w:val="24"/>
        </w:rPr>
      </w:pPr>
      <w:r>
        <w:rPr>
          <w:rFonts w:hint="eastAsia" w:ascii="宋体" w:hAnsi="宋体"/>
          <w:sz w:val="24"/>
        </w:rPr>
        <w:t>（十二）侧袋机制的实施和投资运作安排</w:t>
      </w:r>
    </w:p>
    <w:p w14:paraId="752F3ED3">
      <w:pPr>
        <w:spacing w:line="360" w:lineRule="auto"/>
        <w:ind w:firstLine="480" w:firstLineChars="200"/>
        <w:rPr>
          <w:rFonts w:ascii="宋体" w:hAnsi="宋体"/>
          <w:sz w:val="24"/>
        </w:rPr>
      </w:pPr>
      <w:r>
        <w:rPr>
          <w:rFonts w:hint="eastAsia" w:ascii="宋体" w:hAnsi="宋体"/>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308A0C5B">
      <w:pPr>
        <w:spacing w:line="360" w:lineRule="auto"/>
        <w:ind w:firstLine="480" w:firstLineChars="200"/>
        <w:rPr>
          <w:rFonts w:ascii="宋体" w:hAnsi="宋体"/>
          <w:sz w:val="24"/>
        </w:rPr>
      </w:pPr>
      <w:r>
        <w:rPr>
          <w:rFonts w:hint="eastAsia" w:ascii="宋体" w:hAnsi="宋体"/>
          <w:sz w:val="24"/>
        </w:rPr>
        <w:t>侧袋机制实施期间，基金</w:t>
      </w:r>
      <w:r>
        <w:rPr>
          <w:rFonts w:ascii="宋体" w:hAnsi="宋体"/>
          <w:sz w:val="24"/>
        </w:rPr>
        <w:t>合同</w:t>
      </w:r>
      <w:r>
        <w:rPr>
          <w:rFonts w:hint="eastAsia" w:ascii="宋体" w:hAnsi="宋体"/>
          <w:sz w:val="24"/>
        </w:rPr>
        <w:t>约定的投资组合比例、投资策略、组合限制、业绩比较基准、风险收益特征等约定仅适用于主袋账户。</w:t>
      </w:r>
    </w:p>
    <w:p w14:paraId="19470FC7">
      <w:pPr>
        <w:spacing w:line="360" w:lineRule="auto"/>
        <w:ind w:firstLine="480" w:firstLineChars="200"/>
        <w:rPr>
          <w:rFonts w:ascii="宋体" w:hAnsi="宋体"/>
          <w:sz w:val="24"/>
        </w:rPr>
      </w:pPr>
      <w:r>
        <w:rPr>
          <w:rFonts w:hint="eastAsia" w:ascii="宋体" w:hAnsi="宋体"/>
          <w:sz w:val="24"/>
        </w:rPr>
        <w:t>侧袋账户的实施条件、实施程序、运作安排、投资安排、特定资产的处置变现和支付等对投资者权益有重大影响的事项详见招募说明书的规定。</w:t>
      </w:r>
    </w:p>
    <w:p w14:paraId="2016A03B">
      <w:pPr>
        <w:pStyle w:val="3"/>
        <w:spacing w:before="312" w:beforeLines="100" w:after="156" w:afterLines="50" w:line="360" w:lineRule="auto"/>
        <w:jc w:val="center"/>
        <w:rPr>
          <w:rFonts w:ascii="宋体" w:hAnsi="宋体"/>
          <w:sz w:val="24"/>
        </w:rPr>
      </w:pPr>
      <w:bookmarkStart w:id="15" w:name="_Toc110761796"/>
      <w:bookmarkStart w:id="16" w:name="_Toc119402710"/>
      <w:bookmarkStart w:id="17" w:name="_Toc86726439"/>
      <w:bookmarkStart w:id="18" w:name="_Toc110830492"/>
      <w:bookmarkStart w:id="19" w:name="_Toc86649722"/>
      <w:bookmarkStart w:id="20" w:name="_Toc86223242"/>
      <w:bookmarkStart w:id="21" w:name="_Toc86737929"/>
      <w:bookmarkStart w:id="22" w:name="_Toc86225291"/>
      <w:bookmarkStart w:id="23" w:name="_Toc118212950"/>
      <w:bookmarkStart w:id="24" w:name="_Toc118774803"/>
      <w:bookmarkStart w:id="25" w:name="_Toc86727355"/>
      <w:bookmarkStart w:id="26" w:name="_Toc110765660"/>
      <w:bookmarkStart w:id="27" w:name="_Toc108512358"/>
      <w:bookmarkStart w:id="28" w:name="_Toc118972648"/>
      <w:bookmarkStart w:id="29" w:name="_Toc89163368"/>
      <w:bookmarkStart w:id="30" w:name="_Toc120435783"/>
      <w:r>
        <w:rPr>
          <w:rFonts w:ascii="宋体" w:hAnsi="宋体"/>
          <w:sz w:val="24"/>
        </w:rPr>
        <w:br w:type="page"/>
      </w:r>
      <w:bookmarkStart w:id="31" w:name="_Toc488938613"/>
      <w:bookmarkStart w:id="32" w:name="_Toc348082032"/>
      <w:bookmarkStart w:id="33" w:name="_Toc384992694"/>
      <w:r>
        <w:rPr>
          <w:rFonts w:hint="eastAsia" w:ascii="宋体" w:hAnsi="宋体"/>
          <w:sz w:val="24"/>
        </w:rPr>
        <w:t>四、基金管理人对基金托管人的业务核查</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1F0DCD61">
      <w:pPr>
        <w:adjustRightInd w:val="0"/>
        <w:snapToGrid w:val="0"/>
        <w:spacing w:line="360" w:lineRule="auto"/>
        <w:ind w:firstLine="480" w:firstLineChars="200"/>
        <w:rPr>
          <w:rFonts w:ascii="宋体" w:hAnsi="宋体"/>
          <w:sz w:val="24"/>
        </w:rPr>
      </w:pPr>
      <w:r>
        <w:rPr>
          <w:rFonts w:hint="eastAsia" w:ascii="宋体" w:hAnsi="宋体"/>
          <w:sz w:val="24"/>
        </w:rPr>
        <w:t>（一）基金管理人对基金托管人履行托管职责情况进行核查，核查事项包括基金托管人安全保管基金财产、开设基金财产的资金账户、证券账户、基金账户等投资所需账户、复核基金管理人计算的各类基金份额的基金资产净值和基金份额净值、根据基金管理人指令办理清算交收、相关信息披露和监督基金投资运作等行为。</w:t>
      </w:r>
    </w:p>
    <w:p w14:paraId="6F8CC2D3">
      <w:pPr>
        <w:adjustRightInd w:val="0"/>
        <w:snapToGrid w:val="0"/>
        <w:spacing w:line="360" w:lineRule="auto"/>
        <w:ind w:firstLine="480" w:firstLineChars="200"/>
        <w:rPr>
          <w:rFonts w:ascii="宋体" w:hAnsi="宋体"/>
          <w:sz w:val="24"/>
        </w:rPr>
      </w:pPr>
      <w:r>
        <w:rPr>
          <w:rFonts w:hint="eastAsia" w:ascii="宋体" w:hAnsi="宋体"/>
          <w:sz w:val="24"/>
        </w:rPr>
        <w:t>（二）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14:paraId="061B0886">
      <w:pPr>
        <w:adjustRightInd w:val="0"/>
        <w:snapToGrid w:val="0"/>
        <w:spacing w:line="360" w:lineRule="auto"/>
        <w:ind w:firstLine="480" w:firstLineChars="200"/>
        <w:rPr>
          <w:rFonts w:ascii="宋体" w:hAnsi="宋体"/>
          <w:sz w:val="24"/>
        </w:rPr>
      </w:pPr>
      <w:r>
        <w:rPr>
          <w:rFonts w:hint="eastAsia" w:ascii="宋体" w:hAnsi="宋体"/>
          <w:sz w:val="24"/>
        </w:rPr>
        <w:t>（三）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14:paraId="5622B77F">
      <w:pPr>
        <w:adjustRightInd w:val="0"/>
        <w:snapToGrid w:val="0"/>
        <w:spacing w:line="360" w:lineRule="auto"/>
        <w:ind w:firstLine="480" w:firstLineChars="200"/>
        <w:rPr>
          <w:rFonts w:ascii="宋体" w:hAnsi="宋体"/>
          <w:sz w:val="24"/>
        </w:rPr>
      </w:pPr>
      <w:r>
        <w:rPr>
          <w:rFonts w:hint="eastAsia" w:ascii="宋体" w:hAnsi="宋体"/>
          <w:sz w:val="24"/>
        </w:rPr>
        <w:t>（四）基金管理人发现基金托管人有重大违规行为，应及时报告中国证监会，同时通知基金托管人限期纠正，并将纠正结果报告中国证监会。</w:t>
      </w:r>
    </w:p>
    <w:p w14:paraId="0CE67388">
      <w:pPr>
        <w:spacing w:line="360" w:lineRule="auto"/>
        <w:rPr>
          <w:rFonts w:ascii="宋体" w:hAnsi="宋体"/>
          <w:sz w:val="24"/>
        </w:rPr>
      </w:pPr>
    </w:p>
    <w:p w14:paraId="7FEAED90">
      <w:pPr>
        <w:pStyle w:val="3"/>
        <w:spacing w:before="312" w:beforeLines="100" w:after="156" w:afterLines="50" w:line="360" w:lineRule="auto"/>
        <w:jc w:val="center"/>
        <w:rPr>
          <w:rFonts w:ascii="宋体" w:hAnsi="宋体"/>
          <w:sz w:val="24"/>
        </w:rPr>
      </w:pPr>
      <w:bookmarkStart w:id="34" w:name="_Toc118972649"/>
      <w:bookmarkStart w:id="35" w:name="_Toc86726440"/>
      <w:bookmarkStart w:id="36" w:name="_Toc120435784"/>
      <w:bookmarkStart w:id="37" w:name="_Toc118212951"/>
      <w:bookmarkStart w:id="38" w:name="_Toc89163369"/>
      <w:bookmarkStart w:id="39" w:name="_Toc110830493"/>
      <w:bookmarkStart w:id="40" w:name="_Toc118774804"/>
      <w:bookmarkStart w:id="41" w:name="_Toc110761797"/>
      <w:bookmarkStart w:id="42" w:name="_Toc86649723"/>
      <w:bookmarkStart w:id="43" w:name="_Toc86737930"/>
      <w:bookmarkStart w:id="44" w:name="_Toc86204789"/>
      <w:bookmarkStart w:id="45" w:name="_Toc84234435"/>
      <w:bookmarkStart w:id="46" w:name="_Toc84133786"/>
      <w:bookmarkStart w:id="47" w:name="_Toc84234388"/>
      <w:bookmarkStart w:id="48" w:name="_Toc110765661"/>
      <w:bookmarkStart w:id="49" w:name="_Toc108512359"/>
      <w:bookmarkStart w:id="50" w:name="_Toc86727356"/>
      <w:bookmarkStart w:id="51" w:name="_Toc86223243"/>
      <w:bookmarkStart w:id="52" w:name="_Toc86225292"/>
      <w:bookmarkStart w:id="53" w:name="_Toc119402711"/>
      <w:r>
        <w:rPr>
          <w:rFonts w:ascii="宋体" w:hAnsi="宋体"/>
          <w:sz w:val="24"/>
        </w:rPr>
        <w:br w:type="page"/>
      </w:r>
      <w:bookmarkStart w:id="54" w:name="_Toc488938614"/>
      <w:bookmarkStart w:id="55" w:name="_Toc348082033"/>
      <w:bookmarkStart w:id="56" w:name="_Toc384992695"/>
      <w:r>
        <w:rPr>
          <w:rFonts w:hint="eastAsia" w:ascii="宋体" w:hAnsi="宋体"/>
          <w:sz w:val="24"/>
        </w:rPr>
        <w:t>五、基金财产的保管</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72A8A040">
      <w:pPr>
        <w:adjustRightInd w:val="0"/>
        <w:snapToGrid w:val="0"/>
        <w:spacing w:line="360" w:lineRule="auto"/>
        <w:ind w:firstLine="480" w:firstLineChars="200"/>
        <w:rPr>
          <w:rFonts w:ascii="宋体" w:hAnsi="宋体"/>
          <w:sz w:val="24"/>
        </w:rPr>
      </w:pPr>
      <w:r>
        <w:rPr>
          <w:rFonts w:hint="eastAsia" w:ascii="宋体" w:hAnsi="宋体"/>
          <w:sz w:val="24"/>
        </w:rPr>
        <w:t>（一）基金财产保管的原则</w:t>
      </w:r>
    </w:p>
    <w:p w14:paraId="4A18A9AA">
      <w:pPr>
        <w:adjustRightInd w:val="0"/>
        <w:snapToGrid w:val="0"/>
        <w:spacing w:line="360" w:lineRule="auto"/>
        <w:ind w:firstLine="480" w:firstLineChars="200"/>
        <w:rPr>
          <w:rFonts w:ascii="宋体" w:hAnsi="宋体"/>
          <w:sz w:val="24"/>
        </w:rPr>
      </w:pPr>
      <w:r>
        <w:rPr>
          <w:rFonts w:ascii="宋体" w:hAnsi="宋体"/>
          <w:sz w:val="24"/>
        </w:rPr>
        <w:t>1.基金财产应独立于基金管理人、基金托管人的固有财产。</w:t>
      </w:r>
    </w:p>
    <w:p w14:paraId="2F31C6AF">
      <w:pPr>
        <w:adjustRightInd w:val="0"/>
        <w:snapToGrid w:val="0"/>
        <w:spacing w:line="360" w:lineRule="auto"/>
        <w:ind w:firstLine="480" w:firstLineChars="200"/>
        <w:rPr>
          <w:rFonts w:ascii="宋体" w:hAnsi="宋体"/>
          <w:sz w:val="24"/>
        </w:rPr>
      </w:pPr>
      <w:r>
        <w:rPr>
          <w:rFonts w:ascii="宋体" w:hAnsi="宋体"/>
          <w:sz w:val="24"/>
        </w:rPr>
        <w:t>2.基金托管人应安全保管基金财产。</w:t>
      </w:r>
    </w:p>
    <w:p w14:paraId="239FFEF1">
      <w:pPr>
        <w:adjustRightInd w:val="0"/>
        <w:snapToGrid w:val="0"/>
        <w:spacing w:line="360" w:lineRule="auto"/>
        <w:ind w:firstLine="480" w:firstLineChars="200"/>
        <w:rPr>
          <w:rFonts w:ascii="宋体" w:hAnsi="宋体"/>
          <w:sz w:val="24"/>
        </w:rPr>
      </w:pPr>
      <w:r>
        <w:rPr>
          <w:rFonts w:ascii="宋体" w:hAnsi="宋体"/>
          <w:sz w:val="24"/>
        </w:rPr>
        <w:t>3.基金托管人按照规定开设基金财产</w:t>
      </w:r>
      <w:r>
        <w:rPr>
          <w:rFonts w:hint="eastAsia" w:ascii="宋体" w:hAnsi="宋体" w:cs="Arial"/>
          <w:sz w:val="24"/>
        </w:rPr>
        <w:t>的</w:t>
      </w:r>
      <w:r>
        <w:rPr>
          <w:rFonts w:ascii="宋体" w:hAnsi="宋体" w:cs="Arial"/>
          <w:sz w:val="24"/>
        </w:rPr>
        <w:t>资金账户</w:t>
      </w:r>
      <w:r>
        <w:rPr>
          <w:rFonts w:hint="eastAsia" w:ascii="宋体" w:hAnsi="宋体" w:cs="Arial"/>
          <w:sz w:val="24"/>
        </w:rPr>
        <w:t>、</w:t>
      </w:r>
      <w:r>
        <w:rPr>
          <w:rFonts w:ascii="宋体" w:hAnsi="宋体" w:cs="Arial"/>
          <w:sz w:val="24"/>
        </w:rPr>
        <w:t>证券账户</w:t>
      </w:r>
      <w:r>
        <w:rPr>
          <w:rFonts w:hint="eastAsia" w:ascii="宋体" w:hAnsi="宋体" w:cs="Arial"/>
          <w:sz w:val="24"/>
        </w:rPr>
        <w:t>和基金账户等</w:t>
      </w:r>
      <w:r>
        <w:rPr>
          <w:rFonts w:hint="eastAsia" w:ascii="宋体" w:hAnsi="宋体"/>
          <w:sz w:val="24"/>
        </w:rPr>
        <w:t>投资所需的相关账户。</w:t>
      </w:r>
    </w:p>
    <w:p w14:paraId="4C043572">
      <w:pPr>
        <w:adjustRightInd w:val="0"/>
        <w:snapToGrid w:val="0"/>
        <w:spacing w:line="360" w:lineRule="auto"/>
        <w:ind w:firstLine="480" w:firstLineChars="200"/>
        <w:rPr>
          <w:rFonts w:ascii="宋体" w:hAnsi="宋体"/>
          <w:sz w:val="24"/>
        </w:rPr>
      </w:pPr>
      <w:r>
        <w:rPr>
          <w:rFonts w:ascii="宋体" w:hAnsi="宋体"/>
          <w:sz w:val="24"/>
        </w:rPr>
        <w:t>4.基金托管人对所托管的不同基金财产分别设置账户，确保基金财产的完整与独立。</w:t>
      </w:r>
    </w:p>
    <w:p w14:paraId="588344B5">
      <w:pPr>
        <w:adjustRightInd w:val="0"/>
        <w:snapToGrid w:val="0"/>
        <w:spacing w:line="360" w:lineRule="auto"/>
        <w:ind w:firstLine="480" w:firstLineChars="200"/>
        <w:rPr>
          <w:rFonts w:ascii="宋体" w:hAnsi="宋体"/>
          <w:sz w:val="24"/>
        </w:rPr>
      </w:pPr>
      <w:r>
        <w:rPr>
          <w:rFonts w:ascii="宋体" w:hAnsi="宋体"/>
          <w:sz w:val="24"/>
        </w:rPr>
        <w:t>5.基金托管人根据基金管理人的指令，按照基金合同和本协议的约定保管基金财产。</w:t>
      </w:r>
      <w:r>
        <w:rPr>
          <w:rFonts w:hint="eastAsia" w:ascii="宋体" w:hAnsi="宋体"/>
          <w:sz w:val="24"/>
        </w:rPr>
        <w:t>未经基金管理人的正当指令，不得自行运用、处分、分配基金的任何资产。不属于基金托管人实际有效控制下的资产及实物证券等在基金托管人保管期间的损坏、灭失，基金托管人不承担由此产生的责任。</w:t>
      </w:r>
    </w:p>
    <w:p w14:paraId="3EEFBBFB">
      <w:pPr>
        <w:adjustRightInd w:val="0"/>
        <w:snapToGrid w:val="0"/>
        <w:spacing w:line="360" w:lineRule="auto"/>
        <w:ind w:firstLine="480" w:firstLineChars="200"/>
        <w:rPr>
          <w:rFonts w:ascii="宋体" w:hAnsi="宋体"/>
          <w:sz w:val="24"/>
        </w:rPr>
      </w:pPr>
      <w:r>
        <w:rPr>
          <w:rFonts w:ascii="宋体" w:hAnsi="宋体"/>
          <w:sz w:val="24"/>
        </w:rPr>
        <w:t>6.对于因为基金投资产生的应收资产，应由基金管理人负责与有关当事人确定到账日期并通知基金托管人，到账日基金财产没有到达基金</w:t>
      </w:r>
      <w:r>
        <w:rPr>
          <w:rFonts w:hint="eastAsia" w:ascii="宋体" w:hAnsi="宋体"/>
          <w:sz w:val="24"/>
        </w:rPr>
        <w:t>资金账户的，基金托管人应及时通知基金管理人采取措施进行催收，基金管理人应负责向有关当事人追偿基金财产的损失。</w:t>
      </w:r>
    </w:p>
    <w:p w14:paraId="0E0B5910">
      <w:pPr>
        <w:adjustRightInd w:val="0"/>
        <w:snapToGrid w:val="0"/>
        <w:spacing w:line="360" w:lineRule="auto"/>
        <w:ind w:firstLine="480" w:firstLineChars="200"/>
        <w:rPr>
          <w:rFonts w:ascii="宋体" w:hAnsi="宋体"/>
          <w:sz w:val="24"/>
        </w:rPr>
      </w:pPr>
      <w:r>
        <w:rPr>
          <w:rFonts w:ascii="宋体" w:hAnsi="宋体"/>
          <w:sz w:val="24"/>
        </w:rPr>
        <w:t>7.</w:t>
      </w:r>
      <w:r>
        <w:rPr>
          <w:rFonts w:hint="eastAsia" w:ascii="宋体" w:hAnsi="宋体"/>
          <w:sz w:val="24"/>
        </w:rPr>
        <w:t>基金托管人对因为基金管理人投资产生的存放或存管在基金托管人以外机构的基金资产，或交由证券公司负责清算交收的基金资产及其收益，由于该等机构或该机构会员单位等本协议当事人外第三方的欺诈、疏忽、过失或破产等原因给基金资产造成的损失等不承担责任。</w:t>
      </w:r>
    </w:p>
    <w:p w14:paraId="64647C39">
      <w:pPr>
        <w:adjustRightInd w:val="0"/>
        <w:snapToGrid w:val="0"/>
        <w:spacing w:line="360" w:lineRule="auto"/>
        <w:ind w:firstLine="480" w:firstLineChars="200"/>
        <w:rPr>
          <w:rFonts w:ascii="宋体" w:hAnsi="宋体"/>
          <w:sz w:val="24"/>
        </w:rPr>
      </w:pPr>
      <w:r>
        <w:rPr>
          <w:rFonts w:ascii="宋体" w:hAnsi="宋体"/>
          <w:sz w:val="24"/>
        </w:rPr>
        <w:t>8.</w:t>
      </w:r>
      <w:r>
        <w:rPr>
          <w:rFonts w:hint="eastAsia" w:ascii="宋体" w:hAnsi="宋体"/>
          <w:sz w:val="24"/>
        </w:rPr>
        <w:t>除依据法律法规和基金合同的规定外，基金托管人不得委托第三人托管基金财产。</w:t>
      </w:r>
    </w:p>
    <w:p w14:paraId="7DFE867F">
      <w:pPr>
        <w:adjustRightInd w:val="0"/>
        <w:snapToGrid w:val="0"/>
        <w:spacing w:line="360" w:lineRule="auto"/>
        <w:ind w:firstLine="480" w:firstLineChars="200"/>
        <w:rPr>
          <w:rFonts w:ascii="宋体" w:hAnsi="宋体"/>
          <w:sz w:val="24"/>
        </w:rPr>
      </w:pPr>
      <w:r>
        <w:rPr>
          <w:rFonts w:hint="eastAsia" w:ascii="宋体" w:hAnsi="宋体"/>
          <w:sz w:val="24"/>
        </w:rPr>
        <w:t>（二）基金募集期间及募集资金的验资</w:t>
      </w:r>
    </w:p>
    <w:p w14:paraId="287AB6A4">
      <w:pPr>
        <w:adjustRightInd w:val="0"/>
        <w:snapToGrid w:val="0"/>
        <w:spacing w:line="360" w:lineRule="auto"/>
        <w:ind w:firstLine="480" w:firstLineChars="200"/>
        <w:rPr>
          <w:rFonts w:ascii="宋体" w:hAnsi="宋体"/>
          <w:sz w:val="24"/>
        </w:rPr>
      </w:pPr>
      <w:r>
        <w:rPr>
          <w:rFonts w:ascii="宋体" w:hAnsi="宋体"/>
          <w:sz w:val="24"/>
        </w:rPr>
        <w:t>1.基金募集期间募集</w:t>
      </w:r>
      <w:r>
        <w:rPr>
          <w:rFonts w:ascii="宋体" w:hAnsi="宋体" w:cs="Arial"/>
          <w:sz w:val="24"/>
        </w:rPr>
        <w:t>认购款项</w:t>
      </w:r>
      <w:r>
        <w:rPr>
          <w:rFonts w:ascii="宋体" w:hAnsi="宋体"/>
          <w:sz w:val="24"/>
        </w:rPr>
        <w:t>应</w:t>
      </w:r>
      <w:r>
        <w:rPr>
          <w:rFonts w:hint="eastAsia" w:ascii="宋体" w:hAnsi="宋体"/>
          <w:sz w:val="24"/>
        </w:rPr>
        <w:t>开立“基金募集专户”</w:t>
      </w:r>
      <w:r>
        <w:rPr>
          <w:rFonts w:ascii="宋体" w:hAnsi="宋体"/>
          <w:sz w:val="24"/>
        </w:rPr>
        <w:t>。该账户由基金管理人</w:t>
      </w:r>
      <w:r>
        <w:rPr>
          <w:rFonts w:ascii="宋体" w:hAnsi="宋体" w:cs="Arial"/>
          <w:sz w:val="24"/>
        </w:rPr>
        <w:t>或基金管理人委托的登记机构</w:t>
      </w:r>
      <w:r>
        <w:rPr>
          <w:rFonts w:ascii="宋体" w:hAnsi="宋体"/>
          <w:sz w:val="24"/>
        </w:rPr>
        <w:t>开立并管理。</w:t>
      </w:r>
    </w:p>
    <w:p w14:paraId="06BD78D7">
      <w:pPr>
        <w:adjustRightInd w:val="0"/>
        <w:snapToGrid w:val="0"/>
        <w:spacing w:line="360" w:lineRule="auto"/>
        <w:ind w:firstLine="480" w:firstLineChars="200"/>
        <w:rPr>
          <w:rFonts w:ascii="宋体" w:hAnsi="宋体"/>
          <w:sz w:val="24"/>
        </w:rPr>
      </w:pPr>
      <w:r>
        <w:rPr>
          <w:rFonts w:ascii="宋体" w:hAnsi="宋体"/>
          <w:sz w:val="24"/>
        </w:rPr>
        <w:t>2.基金募集期满或基金停止募集时，募集的基金份额总额、基金募集金额、基金份额持有人人数符合《基金法》、《运作办法》等有关规定后，基金管理人应将属于基金财产的全部资金划入基金托管人</w:t>
      </w:r>
      <w:r>
        <w:rPr>
          <w:rFonts w:hint="eastAsia" w:ascii="宋体" w:hAnsi="宋体"/>
          <w:sz w:val="24"/>
        </w:rPr>
        <w:t>为基金开立的基金资金账户，同时在规定时间内，基金管理人应聘请</w:t>
      </w:r>
      <w:r>
        <w:rPr>
          <w:rFonts w:hint="eastAsia"/>
          <w:bCs/>
          <w:sz w:val="24"/>
        </w:rPr>
        <w:t>符合《中华人民共和国证券法》规定</w:t>
      </w:r>
      <w:r>
        <w:rPr>
          <w:rFonts w:hint="eastAsia" w:ascii="宋体" w:hAnsi="宋体"/>
          <w:sz w:val="24"/>
        </w:rPr>
        <w:t>的会计师事务所进行验资，出具验资报告。出具的验资报告由参加验资的</w:t>
      </w:r>
      <w:r>
        <w:rPr>
          <w:rFonts w:ascii="宋体" w:hAnsi="宋体"/>
          <w:sz w:val="24"/>
        </w:rPr>
        <w:t>2名或2名以上中国注册会计师签字方为有效。</w:t>
      </w:r>
    </w:p>
    <w:p w14:paraId="2DD1799E">
      <w:pPr>
        <w:adjustRightInd w:val="0"/>
        <w:snapToGrid w:val="0"/>
        <w:spacing w:line="360" w:lineRule="auto"/>
        <w:ind w:firstLine="480" w:firstLineChars="200"/>
        <w:rPr>
          <w:rFonts w:ascii="宋体" w:hAnsi="宋体"/>
          <w:sz w:val="24"/>
        </w:rPr>
      </w:pPr>
      <w:r>
        <w:rPr>
          <w:rFonts w:ascii="宋体" w:hAnsi="宋体"/>
          <w:sz w:val="24"/>
        </w:rPr>
        <w:t>3.若基金募集期限届满，未能达到基金备案的条件，由基金管理人按规定办理退款等事宜</w:t>
      </w:r>
      <w:r>
        <w:rPr>
          <w:rFonts w:hint="eastAsia" w:ascii="宋体" w:hAnsi="宋体"/>
          <w:sz w:val="24"/>
        </w:rPr>
        <w:t>。</w:t>
      </w:r>
    </w:p>
    <w:p w14:paraId="58336E00">
      <w:pPr>
        <w:adjustRightInd w:val="0"/>
        <w:snapToGrid w:val="0"/>
        <w:spacing w:line="360" w:lineRule="auto"/>
        <w:ind w:firstLine="480" w:firstLineChars="200"/>
        <w:rPr>
          <w:rFonts w:ascii="宋体" w:hAnsi="宋体"/>
          <w:sz w:val="24"/>
        </w:rPr>
      </w:pPr>
      <w:r>
        <w:rPr>
          <w:rFonts w:hint="eastAsia" w:ascii="宋体" w:hAnsi="宋体"/>
          <w:sz w:val="24"/>
        </w:rPr>
        <w:t>（三）基金资金账户的开立和管理</w:t>
      </w:r>
    </w:p>
    <w:p w14:paraId="480FDA67">
      <w:pPr>
        <w:adjustRightInd w:val="0"/>
        <w:snapToGrid w:val="0"/>
        <w:spacing w:line="360" w:lineRule="auto"/>
        <w:ind w:firstLine="480" w:firstLineChars="200"/>
        <w:rPr>
          <w:rFonts w:ascii="宋体" w:hAnsi="宋体"/>
          <w:sz w:val="24"/>
        </w:rPr>
      </w:pPr>
      <w:r>
        <w:rPr>
          <w:rFonts w:ascii="宋体" w:hAnsi="宋体"/>
          <w:sz w:val="24"/>
        </w:rPr>
        <w:t>1.基金托管人以</w:t>
      </w:r>
      <w:r>
        <w:rPr>
          <w:rFonts w:hint="eastAsia" w:ascii="宋体" w:hAnsi="宋体"/>
          <w:sz w:val="24"/>
        </w:rPr>
        <w:t>本基金的名义在其营业机构开立基金的资金账户（也可称为“托管账户”），保管基金的银行存款，并根据基金管理人的指令办理资金收付。托管账户名称应为“</w:t>
      </w:r>
      <w:r>
        <w:rPr>
          <w:rFonts w:hint="eastAsia"/>
          <w:bCs/>
          <w:sz w:val="24"/>
        </w:rPr>
        <w:t>交银施罗德招享一年持有期混合型基金中基金（FOF）</w:t>
      </w:r>
      <w:r>
        <w:rPr>
          <w:rFonts w:hint="eastAsia" w:ascii="宋体" w:hAnsi="宋体"/>
          <w:sz w:val="24"/>
        </w:rPr>
        <w:t>”，预留印鉴为基金托管人印章。</w:t>
      </w:r>
    </w:p>
    <w:p w14:paraId="233A8A8B">
      <w:pPr>
        <w:adjustRightInd w:val="0"/>
        <w:snapToGrid w:val="0"/>
        <w:spacing w:line="360" w:lineRule="auto"/>
        <w:ind w:firstLine="480" w:firstLineChars="200"/>
        <w:rPr>
          <w:rFonts w:ascii="宋体" w:hAnsi="宋体"/>
          <w:sz w:val="24"/>
        </w:rPr>
      </w:pPr>
      <w:r>
        <w:rPr>
          <w:rFonts w:ascii="宋体" w:hAnsi="宋体"/>
          <w:sz w:val="24"/>
        </w:rPr>
        <w:t>2.基金</w:t>
      </w:r>
      <w:r>
        <w:rPr>
          <w:rFonts w:hint="eastAsia" w:ascii="宋体" w:hAnsi="宋体"/>
          <w:sz w:val="24"/>
        </w:rPr>
        <w:t>资金账户的开立和使用，限于满足开展本基金业务的需要。基金托管人和基金管理人不得假借本基金的名义开立任何其他银行账户；亦不得使用基金的任何账户进行本基金业务以外的活动。</w:t>
      </w:r>
    </w:p>
    <w:p w14:paraId="17E1CA45">
      <w:pPr>
        <w:adjustRightInd w:val="0"/>
        <w:snapToGrid w:val="0"/>
        <w:spacing w:line="360" w:lineRule="auto"/>
        <w:ind w:firstLine="480" w:firstLineChars="200"/>
        <w:rPr>
          <w:rFonts w:ascii="宋体" w:hAnsi="宋体"/>
          <w:sz w:val="24"/>
        </w:rPr>
      </w:pPr>
      <w:r>
        <w:rPr>
          <w:rFonts w:ascii="宋体" w:hAnsi="宋体"/>
          <w:sz w:val="24"/>
        </w:rPr>
        <w:t>3.基金</w:t>
      </w:r>
      <w:r>
        <w:rPr>
          <w:rFonts w:hint="eastAsia" w:ascii="宋体" w:hAnsi="宋体"/>
          <w:sz w:val="24"/>
        </w:rPr>
        <w:t>资金账户的开立和管理应符合法律法规及银行业监督管理机构的有关规定。</w:t>
      </w:r>
    </w:p>
    <w:p w14:paraId="4C196F64">
      <w:pPr>
        <w:adjustRightInd w:val="0"/>
        <w:snapToGrid w:val="0"/>
        <w:spacing w:line="360" w:lineRule="auto"/>
        <w:ind w:firstLine="480" w:firstLineChars="200"/>
        <w:rPr>
          <w:rFonts w:ascii="宋体" w:hAnsi="宋体"/>
          <w:sz w:val="24"/>
        </w:rPr>
      </w:pPr>
      <w:r>
        <w:rPr>
          <w:rFonts w:hint="eastAsia" w:ascii="宋体" w:hAnsi="宋体"/>
          <w:sz w:val="24"/>
        </w:rPr>
        <w:t>（四）基金证券账户和结算备付金账户的开立和管理</w:t>
      </w:r>
    </w:p>
    <w:p w14:paraId="06D31D42">
      <w:pPr>
        <w:adjustRightInd w:val="0"/>
        <w:snapToGrid w:val="0"/>
        <w:spacing w:line="360" w:lineRule="auto"/>
        <w:ind w:firstLine="480" w:firstLineChars="200"/>
        <w:rPr>
          <w:rFonts w:ascii="宋体" w:hAnsi="宋体"/>
          <w:sz w:val="24"/>
        </w:rPr>
      </w:pPr>
      <w:r>
        <w:rPr>
          <w:rFonts w:ascii="宋体" w:hAnsi="宋体"/>
          <w:sz w:val="24"/>
        </w:rPr>
        <w:t>1.基金托管人在中国证券登记结算有限责任公司上海分公司、深圳分公司为基金开立基金托管人与基金联名的证券账户。</w:t>
      </w:r>
    </w:p>
    <w:p w14:paraId="6C161CDA">
      <w:pPr>
        <w:adjustRightInd w:val="0"/>
        <w:snapToGrid w:val="0"/>
        <w:spacing w:line="360" w:lineRule="auto"/>
        <w:ind w:firstLine="480" w:firstLineChars="200"/>
        <w:rPr>
          <w:rFonts w:ascii="宋体" w:hAnsi="宋体"/>
          <w:sz w:val="24"/>
        </w:rPr>
      </w:pPr>
      <w:r>
        <w:rPr>
          <w:rFonts w:ascii="宋体" w:hAnsi="宋体"/>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275DDA06">
      <w:pPr>
        <w:adjustRightInd w:val="0"/>
        <w:snapToGrid w:val="0"/>
        <w:spacing w:line="360" w:lineRule="auto"/>
        <w:ind w:firstLine="480" w:firstLineChars="200"/>
        <w:rPr>
          <w:rFonts w:ascii="宋体" w:hAnsi="宋体"/>
          <w:sz w:val="24"/>
        </w:rPr>
      </w:pPr>
      <w:r>
        <w:rPr>
          <w:rFonts w:ascii="宋体" w:hAnsi="宋体"/>
          <w:sz w:val="24"/>
        </w:rPr>
        <w:t>3.基金证券账户的开立和证券账户卡的保管由基金托管人负责，账户资产的管理和运用由基金管理人负责。</w:t>
      </w:r>
    </w:p>
    <w:p w14:paraId="5681D159">
      <w:pPr>
        <w:adjustRightInd w:val="0"/>
        <w:snapToGrid w:val="0"/>
        <w:spacing w:line="360" w:lineRule="auto"/>
        <w:ind w:firstLine="480" w:firstLineChars="200"/>
        <w:rPr>
          <w:rFonts w:ascii="宋体" w:hAnsi="宋体"/>
          <w:sz w:val="24"/>
        </w:rPr>
      </w:pPr>
      <w:r>
        <w:rPr>
          <w:rFonts w:ascii="宋体" w:hAnsi="宋体"/>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w:t>
      </w:r>
      <w:r>
        <w:rPr>
          <w:rFonts w:hint="eastAsia" w:ascii="宋体" w:hAnsi="宋体"/>
          <w:sz w:val="24"/>
        </w:rPr>
        <w:t>结算保证金等的收取按照中国证券登记结算有限责任公司的规定执行。</w:t>
      </w:r>
    </w:p>
    <w:p w14:paraId="4D4933E0">
      <w:pPr>
        <w:adjustRightInd w:val="0"/>
        <w:snapToGrid w:val="0"/>
        <w:spacing w:line="360" w:lineRule="auto"/>
        <w:ind w:firstLine="480" w:firstLineChars="200"/>
        <w:rPr>
          <w:rFonts w:ascii="宋体" w:hAnsi="宋体"/>
          <w:sz w:val="24"/>
        </w:rPr>
      </w:pPr>
      <w:r>
        <w:rPr>
          <w:rFonts w:ascii="宋体" w:hAnsi="宋体"/>
          <w:sz w:val="24"/>
        </w:rPr>
        <w:t>5.若中国证监会或其他监管机构在本托管协议订立日之后允许基金从事其他投资品种的投资业务，涉及相关账户的开立、使用的，</w:t>
      </w:r>
      <w:r>
        <w:rPr>
          <w:rFonts w:hint="eastAsia" w:ascii="宋体" w:hAnsi="宋体"/>
          <w:color w:val="000000"/>
          <w:sz w:val="24"/>
        </w:rPr>
        <w:t>按有关规定开立、使用并管理；</w:t>
      </w:r>
      <w:r>
        <w:rPr>
          <w:rFonts w:hint="eastAsia" w:ascii="宋体" w:hAnsi="宋体"/>
          <w:sz w:val="24"/>
        </w:rPr>
        <w:t>若无相关规定，则基金托管人比照上述关于账户开立、使用的规定执行。</w:t>
      </w:r>
    </w:p>
    <w:p w14:paraId="0C57EB79">
      <w:pPr>
        <w:adjustRightInd w:val="0"/>
        <w:snapToGrid w:val="0"/>
        <w:spacing w:line="360" w:lineRule="auto"/>
        <w:ind w:firstLine="480" w:firstLineChars="200"/>
        <w:rPr>
          <w:rFonts w:ascii="宋体" w:hAnsi="宋体"/>
          <w:sz w:val="24"/>
        </w:rPr>
      </w:pPr>
      <w:r>
        <w:rPr>
          <w:rFonts w:hint="eastAsia" w:ascii="宋体" w:hAnsi="宋体"/>
          <w:sz w:val="24"/>
        </w:rPr>
        <w:t>（五）债券托管账户的开设和管理</w:t>
      </w:r>
    </w:p>
    <w:p w14:paraId="23F1454B">
      <w:pPr>
        <w:adjustRightInd w:val="0"/>
        <w:snapToGrid w:val="0"/>
        <w:spacing w:line="360" w:lineRule="auto"/>
        <w:ind w:firstLine="480" w:firstLineChars="200"/>
        <w:rPr>
          <w:rFonts w:ascii="宋体" w:hAnsi="宋体"/>
          <w:sz w:val="24"/>
        </w:rPr>
      </w:pPr>
      <w:r>
        <w:rPr>
          <w:rFonts w:hint="eastAsia" w:ascii="宋体" w:hAnsi="宋体"/>
          <w:sz w:val="24"/>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14:paraId="79FC1AE5">
      <w:pPr>
        <w:adjustRightInd w:val="0"/>
        <w:snapToGrid w:val="0"/>
        <w:spacing w:line="360" w:lineRule="auto"/>
        <w:ind w:firstLine="480" w:firstLineChars="200"/>
        <w:rPr>
          <w:rFonts w:ascii="宋体" w:hAnsi="宋体"/>
          <w:sz w:val="24"/>
        </w:rPr>
      </w:pPr>
      <w:r>
        <w:rPr>
          <w:rFonts w:hint="eastAsia" w:ascii="宋体" w:hAnsi="宋体"/>
          <w:sz w:val="24"/>
        </w:rPr>
        <w:t>（六）其他账户的开立和管理</w:t>
      </w:r>
    </w:p>
    <w:p w14:paraId="051BD017">
      <w:pPr>
        <w:adjustRightInd w:val="0"/>
        <w:snapToGrid w:val="0"/>
        <w:spacing w:line="360" w:lineRule="auto"/>
        <w:ind w:firstLine="480" w:firstLineChars="200"/>
        <w:rPr>
          <w:rFonts w:ascii="宋体" w:hAnsi="宋体"/>
          <w:sz w:val="24"/>
        </w:rPr>
      </w:pPr>
      <w:r>
        <w:rPr>
          <w:rFonts w:ascii="宋体" w:hAnsi="宋体"/>
          <w:sz w:val="24"/>
        </w:rPr>
        <w:t>1.</w:t>
      </w:r>
      <w:r>
        <w:rPr>
          <w:rFonts w:hint="eastAsia" w:ascii="宋体" w:hAnsi="宋体"/>
          <w:sz w:val="24"/>
        </w:rPr>
        <w:t>因业务发展需要而开立的其他账户，可以根据法律法规和基金合同的规定，由基金管理人协助基金托管人按照有关法律法规和本协议的约定协商后开立。新账户按有关规定使用并管理。</w:t>
      </w:r>
    </w:p>
    <w:p w14:paraId="170AA580">
      <w:pPr>
        <w:adjustRightInd w:val="0"/>
        <w:snapToGrid w:val="0"/>
        <w:spacing w:line="360" w:lineRule="auto"/>
        <w:ind w:firstLine="480" w:firstLineChars="200"/>
        <w:rPr>
          <w:rFonts w:ascii="宋体" w:hAnsi="宋体"/>
          <w:sz w:val="24"/>
        </w:rPr>
      </w:pPr>
      <w:r>
        <w:rPr>
          <w:rFonts w:ascii="宋体" w:hAnsi="宋体"/>
          <w:sz w:val="24"/>
        </w:rPr>
        <w:t>2.法律法规等有关规定对相关账户的开立和管理另有规定的，从其规定办理。</w:t>
      </w:r>
    </w:p>
    <w:p w14:paraId="0E7BDA3F">
      <w:pPr>
        <w:adjustRightInd w:val="0"/>
        <w:snapToGrid w:val="0"/>
        <w:spacing w:line="360" w:lineRule="auto"/>
        <w:ind w:firstLine="480" w:firstLineChars="200"/>
        <w:rPr>
          <w:rFonts w:ascii="宋体" w:hAnsi="宋体"/>
          <w:sz w:val="24"/>
        </w:rPr>
      </w:pPr>
      <w:r>
        <w:rPr>
          <w:rFonts w:hint="eastAsia" w:ascii="宋体" w:hAnsi="宋体"/>
          <w:sz w:val="24"/>
        </w:rPr>
        <w:t>（七）基金财产投资的有关有价凭证等的保管</w:t>
      </w:r>
    </w:p>
    <w:p w14:paraId="407065F3">
      <w:pPr>
        <w:adjustRightInd w:val="0"/>
        <w:snapToGrid w:val="0"/>
        <w:spacing w:line="360" w:lineRule="auto"/>
        <w:ind w:firstLine="480" w:firstLineChars="200"/>
        <w:rPr>
          <w:rFonts w:ascii="宋体" w:hAnsi="宋体"/>
          <w:sz w:val="24"/>
        </w:rPr>
      </w:pPr>
      <w:r>
        <w:rPr>
          <w:rFonts w:hint="eastAsia" w:ascii="宋体" w:hAnsi="宋体"/>
          <w:sz w:val="24"/>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14:paraId="3303E48F">
      <w:pPr>
        <w:adjustRightInd w:val="0"/>
        <w:snapToGrid w:val="0"/>
        <w:spacing w:line="360" w:lineRule="auto"/>
        <w:ind w:firstLine="480" w:firstLineChars="200"/>
        <w:rPr>
          <w:rFonts w:ascii="宋体" w:hAnsi="宋体"/>
          <w:sz w:val="24"/>
        </w:rPr>
      </w:pPr>
      <w:r>
        <w:rPr>
          <w:rFonts w:hint="eastAsia" w:ascii="宋体" w:hAnsi="宋体"/>
          <w:sz w:val="24"/>
        </w:rPr>
        <w:t>（八）与基金财产有关的重大合同的保管</w:t>
      </w:r>
    </w:p>
    <w:p w14:paraId="37640E27">
      <w:pPr>
        <w:adjustRightInd w:val="0"/>
        <w:snapToGrid w:val="0"/>
        <w:spacing w:line="360" w:lineRule="auto"/>
        <w:ind w:firstLine="480" w:firstLineChars="200"/>
        <w:rPr>
          <w:rFonts w:ascii="宋体" w:hAnsi="宋体"/>
          <w:sz w:val="24"/>
        </w:rPr>
      </w:pPr>
      <w:r>
        <w:rPr>
          <w:rFonts w:hint="eastAsia" w:ascii="宋体" w:hAnsi="宋体"/>
          <w:sz w:val="24"/>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为基金合同终止后不低于法律法规规定的最低期限</w:t>
      </w:r>
      <w:r>
        <w:rPr>
          <w:rFonts w:ascii="宋体" w:hAnsi="宋体"/>
          <w:sz w:val="24"/>
        </w:rPr>
        <w:t>。</w:t>
      </w:r>
    </w:p>
    <w:p w14:paraId="147FBD98">
      <w:pPr>
        <w:adjustRightInd w:val="0"/>
        <w:snapToGrid w:val="0"/>
        <w:spacing w:line="360" w:lineRule="auto"/>
        <w:ind w:firstLine="480" w:firstLineChars="200"/>
        <w:rPr>
          <w:rFonts w:ascii="宋体" w:hAnsi="宋体"/>
          <w:sz w:val="24"/>
        </w:rPr>
      </w:pPr>
      <w:r>
        <w:rPr>
          <w:rFonts w:hint="eastAsia" w:ascii="宋体" w:hAnsi="宋体"/>
          <w:sz w:val="24"/>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14:paraId="03993861">
      <w:pPr>
        <w:spacing w:line="360" w:lineRule="auto"/>
        <w:ind w:firstLine="420"/>
        <w:rPr>
          <w:rFonts w:ascii="宋体" w:hAnsi="宋体"/>
          <w:sz w:val="24"/>
        </w:rPr>
      </w:pPr>
    </w:p>
    <w:p w14:paraId="281491A5">
      <w:pPr>
        <w:pStyle w:val="3"/>
        <w:spacing w:before="312" w:beforeLines="100" w:after="156" w:afterLines="50" w:line="360" w:lineRule="auto"/>
        <w:jc w:val="center"/>
        <w:rPr>
          <w:rFonts w:ascii="宋体" w:hAnsi="宋体"/>
          <w:sz w:val="24"/>
        </w:rPr>
      </w:pPr>
      <w:bookmarkStart w:id="57" w:name="_Toc110761798"/>
      <w:bookmarkStart w:id="58" w:name="_Toc89163370"/>
      <w:bookmarkStart w:id="59" w:name="_Toc86726441"/>
      <w:bookmarkStart w:id="60" w:name="_Toc84234436"/>
      <w:bookmarkStart w:id="61" w:name="_Toc110765662"/>
      <w:bookmarkStart w:id="62" w:name="_Toc84133787"/>
      <w:bookmarkStart w:id="63" w:name="_Toc118212952"/>
      <w:bookmarkStart w:id="64" w:name="_Toc120435785"/>
      <w:bookmarkStart w:id="65" w:name="_Toc86649724"/>
      <w:bookmarkStart w:id="66" w:name="_Toc84234389"/>
      <w:bookmarkStart w:id="67" w:name="_Toc86727357"/>
      <w:bookmarkStart w:id="68" w:name="_Toc86204790"/>
      <w:bookmarkStart w:id="69" w:name="_Toc86737931"/>
      <w:bookmarkStart w:id="70" w:name="_Toc118774805"/>
      <w:bookmarkStart w:id="71" w:name="_Toc108512360"/>
      <w:bookmarkStart w:id="72" w:name="_Toc86223244"/>
      <w:bookmarkStart w:id="73" w:name="_Toc86225293"/>
      <w:bookmarkStart w:id="74" w:name="_Toc118972650"/>
      <w:bookmarkStart w:id="75" w:name="_Toc119402712"/>
      <w:bookmarkStart w:id="76" w:name="_Toc110830494"/>
      <w:r>
        <w:rPr>
          <w:rFonts w:ascii="宋体" w:hAnsi="宋体"/>
          <w:sz w:val="24"/>
        </w:rPr>
        <w:br w:type="page"/>
      </w:r>
      <w:bookmarkStart w:id="77" w:name="_Toc384992696"/>
      <w:bookmarkStart w:id="78" w:name="_Toc488938615"/>
      <w:bookmarkStart w:id="79" w:name="_Toc348082034"/>
      <w:r>
        <w:rPr>
          <w:rFonts w:hint="eastAsia" w:ascii="宋体" w:hAnsi="宋体"/>
          <w:sz w:val="24"/>
        </w:rPr>
        <w:t>六、指令的发送、确认及执行</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38242775">
      <w:pPr>
        <w:adjustRightInd w:val="0"/>
        <w:snapToGrid w:val="0"/>
        <w:spacing w:line="360" w:lineRule="auto"/>
        <w:ind w:firstLine="480" w:firstLineChars="200"/>
        <w:rPr>
          <w:rFonts w:ascii="宋体" w:hAnsi="宋体"/>
          <w:sz w:val="24"/>
        </w:rPr>
      </w:pPr>
      <w:r>
        <w:rPr>
          <w:rFonts w:hint="eastAsia" w:ascii="宋体" w:hAnsi="宋体"/>
          <w:sz w:val="24"/>
        </w:rPr>
        <w:t>基金管理人在运用基金财产时向基金托管人发送资金划拨及其他款项付款指令，基金托管人执行基金管理人的指令、办理基金名下的资金往来等有关事项。</w:t>
      </w:r>
    </w:p>
    <w:p w14:paraId="5E0A760A">
      <w:pPr>
        <w:adjustRightInd w:val="0"/>
        <w:snapToGrid w:val="0"/>
        <w:spacing w:line="360" w:lineRule="auto"/>
        <w:ind w:firstLine="567"/>
        <w:jc w:val="left"/>
        <w:rPr>
          <w:rFonts w:ascii="宋体" w:hAnsi="宋体"/>
          <w:sz w:val="24"/>
        </w:rPr>
      </w:pPr>
      <w:r>
        <w:rPr>
          <w:rFonts w:hint="eastAsia" w:ascii="宋体" w:hAnsi="宋体"/>
          <w:sz w:val="24"/>
        </w:rPr>
        <w:t>基金管理人发送的指令包括电子指令和纸质指令。</w:t>
      </w:r>
    </w:p>
    <w:p w14:paraId="525F42DC">
      <w:pPr>
        <w:adjustRightInd w:val="0"/>
        <w:snapToGrid w:val="0"/>
        <w:spacing w:line="360" w:lineRule="auto"/>
        <w:ind w:firstLine="560"/>
        <w:jc w:val="left"/>
        <w:rPr>
          <w:rFonts w:ascii="宋体" w:hAnsi="宋体"/>
          <w:sz w:val="24"/>
        </w:rPr>
      </w:pPr>
      <w:r>
        <w:rPr>
          <w:rFonts w:hint="eastAsia" w:ascii="宋体" w:hAnsi="宋体"/>
          <w:sz w:val="24"/>
        </w:rPr>
        <w:t>电子指令包括基金管理人发送的电子指令（采用电子报文传送的电子指令、网上托管银行管理人客户端录入的电子指令）、自动产生的电子指令（网上托管银行托管人端根据预先设定的业务规则自动产生的电子指令）。基金管理人在启用电子指令前应使用传真或其他与基金托管人协商一致的方式向基金托管人发出启用函。启用函应注明启用的业务类型、启用日期等。启用函应加盖基金管理人公司公章。</w:t>
      </w:r>
    </w:p>
    <w:p w14:paraId="3CC13C85">
      <w:pPr>
        <w:adjustRightInd w:val="0"/>
        <w:snapToGrid w:val="0"/>
        <w:spacing w:line="360" w:lineRule="auto"/>
        <w:ind w:firstLine="560"/>
        <w:jc w:val="left"/>
        <w:rPr>
          <w:rFonts w:ascii="宋体" w:hAnsi="宋体"/>
          <w:sz w:val="24"/>
        </w:rPr>
      </w:pPr>
      <w:r>
        <w:rPr>
          <w:rFonts w:hint="eastAsia" w:ascii="宋体" w:hAnsi="宋体"/>
          <w:sz w:val="24"/>
        </w:rPr>
        <w:t>基金管理人在发送纸质指令前，应出具传真指令启用函，注明发送传真的传真号、发送指令附件的邮箱地址以及指令确认人员及其联系方式。</w:t>
      </w:r>
    </w:p>
    <w:p w14:paraId="2B94DAF9">
      <w:pPr>
        <w:adjustRightInd w:val="0"/>
        <w:snapToGrid w:val="0"/>
        <w:spacing w:line="360" w:lineRule="auto"/>
        <w:ind w:firstLine="480" w:firstLineChars="200"/>
        <w:rPr>
          <w:rFonts w:ascii="宋体" w:hAnsi="宋体"/>
          <w:sz w:val="24"/>
        </w:rPr>
      </w:pPr>
      <w:r>
        <w:rPr>
          <w:rFonts w:hint="eastAsia" w:ascii="宋体" w:hAnsi="宋体"/>
          <w:sz w:val="24"/>
        </w:rPr>
        <w:t>（一）基金管理人对发送指令人员的书面授权</w:t>
      </w:r>
    </w:p>
    <w:p w14:paraId="08A14F43">
      <w:pPr>
        <w:autoSpaceDE w:val="0"/>
        <w:autoSpaceDN w:val="0"/>
        <w:adjustRightInd w:val="0"/>
        <w:snapToGrid w:val="0"/>
        <w:spacing w:line="360" w:lineRule="auto"/>
        <w:ind w:firstLine="480" w:firstLineChars="200"/>
        <w:rPr>
          <w:rFonts w:ascii="宋体" w:hAnsi="宋体"/>
          <w:sz w:val="24"/>
        </w:rPr>
      </w:pPr>
      <w:r>
        <w:rPr>
          <w:rFonts w:hint="eastAsia" w:ascii="宋体" w:hAnsi="宋体"/>
          <w:sz w:val="24"/>
        </w:rPr>
        <w:t>授权通知的内容：基金管理人应事先向基金托管人提供书面授权通知（以下称“授权通知”），指定指令的被授权人员及被授权印鉴，授权通知的内容包括被授权人的名单、签章样本、权限和预留印鉴。授权通知应加盖基金管理人公司公章并写明生效时间。基金管理人应使用传真或其他与基金托管人协商一致的方式向基金托管人发出授权通知，同时电话通知基金托管人。授权通知经基金管理人与基金托管人以电话方式或其他基金管理人和基金托管人认可的方式确认后，于授权通知载明的生效时间生效，未注明生效时间的以授权通知的落款日期为生效日期。基金管理人在此后三个工作日内将授权通知的正本送交基金托管人。授权通知书正本内容与基金托管人收到的传真不一致的，以基金托管人收到的传真为准。</w:t>
      </w:r>
    </w:p>
    <w:p w14:paraId="2F6A77C9">
      <w:pPr>
        <w:tabs>
          <w:tab w:val="left" w:pos="1260"/>
        </w:tabs>
        <w:adjustRightInd w:val="0"/>
        <w:snapToGrid w:val="0"/>
        <w:spacing w:line="360" w:lineRule="auto"/>
        <w:ind w:firstLine="480" w:firstLineChars="200"/>
        <w:rPr>
          <w:rFonts w:ascii="宋体" w:hAnsi="宋体"/>
          <w:sz w:val="24"/>
        </w:rPr>
      </w:pPr>
      <w:r>
        <w:rPr>
          <w:rFonts w:hint="eastAsia" w:ascii="宋体" w:hAnsi="宋体"/>
          <w:sz w:val="24"/>
        </w:rPr>
        <w:t>基金管理人和基金托管人对授权通知负有保密义务，其内容不得向授权人、被授权人及相关操作人员以外的任何人泄露，但法律法规规定或有权机关另有要求的除外。</w:t>
      </w:r>
    </w:p>
    <w:p w14:paraId="22822793">
      <w:pPr>
        <w:adjustRightInd w:val="0"/>
        <w:snapToGrid w:val="0"/>
        <w:spacing w:line="360" w:lineRule="auto"/>
        <w:ind w:firstLine="480" w:firstLineChars="200"/>
        <w:rPr>
          <w:rFonts w:ascii="宋体" w:hAnsi="宋体"/>
          <w:sz w:val="24"/>
        </w:rPr>
      </w:pPr>
      <w:r>
        <w:rPr>
          <w:rFonts w:hint="eastAsia" w:ascii="宋体" w:hAnsi="宋体"/>
          <w:sz w:val="24"/>
        </w:rPr>
        <w:t>（二）指令的内容</w:t>
      </w:r>
    </w:p>
    <w:p w14:paraId="7634E5CD">
      <w:pPr>
        <w:adjustRightInd w:val="0"/>
        <w:snapToGrid w:val="0"/>
        <w:spacing w:line="360" w:lineRule="auto"/>
        <w:ind w:firstLine="480" w:firstLineChars="200"/>
        <w:rPr>
          <w:rFonts w:ascii="宋体" w:hAnsi="宋体"/>
          <w:sz w:val="24"/>
        </w:rPr>
      </w:pPr>
      <w:r>
        <w:rPr>
          <w:rFonts w:hint="eastAsia" w:ascii="宋体" w:hAnsi="宋体"/>
          <w:sz w:val="24"/>
        </w:rPr>
        <w:t>投资指令是在管理本基金时，基金管理人向基金托管人发出的交易成交单、交易指令及资金划拨类指令（以下简称“指令”）。指令应加盖预留印鉴并由被授权人签章。基金管理人发给基金托管人的资金划拨类指令应写明款项事由、时间、金额、出款和收款账户信息等。</w:t>
      </w:r>
    </w:p>
    <w:p w14:paraId="6660DA8A">
      <w:pPr>
        <w:adjustRightInd w:val="0"/>
        <w:snapToGrid w:val="0"/>
        <w:spacing w:line="360" w:lineRule="auto"/>
        <w:ind w:firstLine="480" w:firstLineChars="200"/>
        <w:rPr>
          <w:rFonts w:ascii="宋体" w:hAnsi="宋体"/>
          <w:sz w:val="24"/>
        </w:rPr>
      </w:pPr>
      <w:r>
        <w:rPr>
          <w:rFonts w:hint="eastAsia" w:ascii="宋体" w:hAnsi="宋体"/>
          <w:sz w:val="24"/>
        </w:rPr>
        <w:t>（三）指令的发送、确认及执行的时间和程序</w:t>
      </w:r>
    </w:p>
    <w:p w14:paraId="2CACBDB8">
      <w:pPr>
        <w:adjustRightInd w:val="0"/>
        <w:snapToGrid w:val="0"/>
        <w:spacing w:line="360" w:lineRule="auto"/>
        <w:ind w:firstLine="480" w:firstLineChars="200"/>
        <w:rPr>
          <w:rFonts w:ascii="宋体" w:hAnsi="宋体"/>
          <w:sz w:val="24"/>
        </w:rPr>
      </w:pPr>
      <w:r>
        <w:rPr>
          <w:rFonts w:ascii="宋体" w:hAnsi="宋体"/>
          <w:sz w:val="24"/>
        </w:rPr>
        <w:t>1.指令的发送</w:t>
      </w:r>
      <w:r>
        <w:rPr>
          <w:rFonts w:hint="eastAsia" w:ascii="宋体" w:hAnsi="宋体"/>
          <w:sz w:val="24"/>
        </w:rPr>
        <w:t>：基金管理人应按照相关法律法规以及本协议的规定，在其合法的经营权限和交易权限内依照授权通知的授权用传真方式或其他基金托管人和基金管理人认可的方式向基金托管人发送。基金管理人在发送指令时，应确保相关出款账户有足够的资金余额，并为基金托管人留出执行指令所必需的时间。</w:t>
      </w:r>
    </w:p>
    <w:p w14:paraId="79F710A9">
      <w:pPr>
        <w:adjustRightInd w:val="0"/>
        <w:snapToGrid w:val="0"/>
        <w:spacing w:line="360" w:lineRule="auto"/>
        <w:ind w:firstLine="480" w:firstLineChars="200"/>
        <w:rPr>
          <w:rFonts w:ascii="宋体" w:hAnsi="宋体"/>
          <w:sz w:val="24"/>
        </w:rPr>
      </w:pPr>
      <w:r>
        <w:rPr>
          <w:rFonts w:hint="eastAsia" w:ascii="宋体" w:hAnsi="宋体"/>
          <w:sz w:val="24"/>
        </w:rPr>
        <w:t>对于新股</w:t>
      </w:r>
      <w:r>
        <w:rPr>
          <w:rFonts w:hint="eastAsia" w:ascii="宋体" w:hAnsi="宋体"/>
          <w:szCs w:val="21"/>
        </w:rPr>
        <w:t>、</w:t>
      </w:r>
      <w:r>
        <w:rPr>
          <w:rFonts w:hint="eastAsia" w:ascii="宋体" w:hAnsi="宋体"/>
          <w:sz w:val="24"/>
        </w:rPr>
        <w:t>新债申购等网下公开发行业务，基金管理人应于网下申购缴款日的</w:t>
      </w:r>
      <w:r>
        <w:rPr>
          <w:rFonts w:ascii="宋体" w:hAnsi="宋体"/>
          <w:sz w:val="24"/>
        </w:rPr>
        <w:t>10:00前将指令发送给</w:t>
      </w:r>
      <w:r>
        <w:rPr>
          <w:rFonts w:hint="eastAsia" w:ascii="宋体" w:hAnsi="宋体"/>
          <w:sz w:val="24"/>
        </w:rPr>
        <w:t>基金托管人。</w:t>
      </w:r>
    </w:p>
    <w:p w14:paraId="3FFA0FAD">
      <w:pPr>
        <w:adjustRightInd w:val="0"/>
        <w:snapToGrid w:val="0"/>
        <w:spacing w:line="360" w:lineRule="auto"/>
        <w:ind w:firstLine="480" w:firstLineChars="200"/>
        <w:rPr>
          <w:rFonts w:ascii="宋体" w:hAnsi="宋体"/>
          <w:sz w:val="24"/>
        </w:rPr>
      </w:pPr>
      <w:r>
        <w:rPr>
          <w:rFonts w:hint="eastAsia" w:ascii="宋体" w:hAnsi="宋体"/>
          <w:sz w:val="24"/>
        </w:rPr>
        <w:t>对于场内业务，首次进行场内交易前基金管理人应与基金托管人确认已完成交易单元和股东代码设置后方可进行。</w:t>
      </w:r>
    </w:p>
    <w:p w14:paraId="7738424D">
      <w:pPr>
        <w:adjustRightInd w:val="0"/>
        <w:snapToGrid w:val="0"/>
        <w:spacing w:line="360" w:lineRule="auto"/>
        <w:ind w:firstLine="480" w:firstLineChars="200"/>
        <w:rPr>
          <w:rFonts w:ascii="宋体" w:hAnsi="宋体"/>
          <w:sz w:val="24"/>
        </w:rPr>
      </w:pPr>
      <w:r>
        <w:rPr>
          <w:rFonts w:hint="eastAsia" w:ascii="宋体" w:hAnsi="宋体"/>
          <w:sz w:val="24"/>
        </w:rPr>
        <w:t>对于银行间业务，如需发送银行间成交单或者划款指令的，基金管理人应于交易日</w:t>
      </w:r>
      <w:r>
        <w:rPr>
          <w:rFonts w:ascii="宋体" w:hAnsi="宋体"/>
          <w:sz w:val="24"/>
        </w:rPr>
        <w:t>15:00前将银行间成交单及相关划款指令发送至</w:t>
      </w:r>
      <w:r>
        <w:rPr>
          <w:rFonts w:hint="eastAsia" w:ascii="宋体" w:hAnsi="宋体"/>
          <w:sz w:val="24"/>
        </w:rPr>
        <w:t>基金托管人。基金管理人应与基金托管人确认基金托管人已完成证书和权限设置后方可进行本基金的银行间交易。</w:t>
      </w:r>
    </w:p>
    <w:p w14:paraId="7782598F">
      <w:pPr>
        <w:adjustRightInd w:val="0"/>
        <w:snapToGrid w:val="0"/>
        <w:spacing w:line="360" w:lineRule="auto"/>
        <w:ind w:firstLine="480" w:firstLineChars="200"/>
        <w:rPr>
          <w:rFonts w:ascii="宋体" w:hAnsi="宋体"/>
          <w:sz w:val="24"/>
        </w:rPr>
      </w:pPr>
      <w:r>
        <w:rPr>
          <w:rFonts w:hint="eastAsia" w:ascii="宋体" w:hAnsi="宋体"/>
          <w:sz w:val="24"/>
        </w:rPr>
        <w:t>对于指定时间出款的交易指令，基金管理人应提前</w:t>
      </w:r>
      <w:r>
        <w:rPr>
          <w:rFonts w:ascii="宋体" w:hAnsi="宋体"/>
          <w:sz w:val="24"/>
        </w:rPr>
        <w:t>2小时将指令发送至</w:t>
      </w:r>
      <w:r>
        <w:rPr>
          <w:rFonts w:hint="eastAsia" w:ascii="宋体" w:hAnsi="宋体"/>
          <w:sz w:val="24"/>
        </w:rPr>
        <w:t>基金托管人；对于基金管理人于</w:t>
      </w:r>
      <w:r>
        <w:rPr>
          <w:rFonts w:ascii="宋体" w:hAnsi="宋体"/>
          <w:sz w:val="24"/>
        </w:rPr>
        <w:t>15:00以后发送至</w:t>
      </w:r>
      <w:r>
        <w:rPr>
          <w:rFonts w:hint="eastAsia" w:ascii="宋体" w:hAnsi="宋体"/>
          <w:sz w:val="24"/>
        </w:rPr>
        <w:t>基金托管人的指令，基金托管人不保证当日出款。</w:t>
      </w:r>
    </w:p>
    <w:p w14:paraId="5EB2C33A">
      <w:pPr>
        <w:adjustRightInd w:val="0"/>
        <w:snapToGrid w:val="0"/>
        <w:spacing w:line="360" w:lineRule="auto"/>
        <w:ind w:firstLine="480" w:firstLineChars="200"/>
        <w:rPr>
          <w:rFonts w:ascii="宋体" w:hAnsi="宋体"/>
          <w:sz w:val="24"/>
        </w:rPr>
      </w:pPr>
      <w:r>
        <w:rPr>
          <w:rFonts w:ascii="宋体" w:hAnsi="宋体"/>
          <w:sz w:val="24"/>
        </w:rPr>
        <w:t>2.指令的确认</w:t>
      </w:r>
      <w:r>
        <w:rPr>
          <w:rFonts w:hint="eastAsia" w:ascii="宋体" w:hAnsi="宋体"/>
          <w:sz w:val="24"/>
        </w:rPr>
        <w:t>：基金管理人有义务在发送指令后与基金托管人进行电话确认。对于依照“授权通知”发出的指令，基金管理人不得否认其效力。</w:t>
      </w:r>
    </w:p>
    <w:p w14:paraId="0AF860B7">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指令的执行：基金托管人确认收到基金管理人发送的指令后，应对指令进行形式审查，验证指令的要素是否齐全，传真指令还应审核印鉴和签章是否和预留印鉴和签章样本相符，指令复核无误后应在规定期限内及时执行。</w:t>
      </w:r>
    </w:p>
    <w:p w14:paraId="0A75F11A">
      <w:pPr>
        <w:adjustRightInd w:val="0"/>
        <w:snapToGrid w:val="0"/>
        <w:spacing w:line="360" w:lineRule="auto"/>
        <w:ind w:firstLine="480" w:firstLineChars="200"/>
        <w:rPr>
          <w:rFonts w:ascii="宋体" w:hAnsi="宋体"/>
          <w:sz w:val="24"/>
        </w:rPr>
      </w:pPr>
      <w:r>
        <w:rPr>
          <w:rFonts w:hint="eastAsia" w:ascii="宋体" w:hAnsi="宋体"/>
          <w:sz w:val="24"/>
        </w:rPr>
        <w:t>在指令未执行的前提下，若基金管理人撤销指令，基金管理人应在原指令上注明“作废”、“废”等字样并加盖预留印鉴及被授权人签章后传真给基金托管人，并电话通知基金托管人。</w:t>
      </w:r>
    </w:p>
    <w:p w14:paraId="69AF35BB">
      <w:pPr>
        <w:pStyle w:val="9"/>
        <w:spacing w:line="360" w:lineRule="auto"/>
        <w:rPr>
          <w:rFonts w:ascii="宋体" w:hAnsi="宋体"/>
        </w:rPr>
      </w:pPr>
      <w:r>
        <w:rPr>
          <w:rFonts w:hint="eastAsia" w:ascii="宋体" w:hAnsi="宋体"/>
        </w:rPr>
        <w:t>（四）基金管理人发送错误指令的情形和处理程序</w:t>
      </w:r>
    </w:p>
    <w:p w14:paraId="01AD251F">
      <w:pPr>
        <w:adjustRightInd w:val="0"/>
        <w:snapToGrid w:val="0"/>
        <w:spacing w:line="360" w:lineRule="auto"/>
        <w:ind w:firstLine="480" w:firstLineChars="200"/>
        <w:rPr>
          <w:rFonts w:ascii="宋体" w:hAnsi="宋体"/>
          <w:sz w:val="24"/>
        </w:rPr>
      </w:pPr>
      <w:r>
        <w:rPr>
          <w:rFonts w:ascii="宋体" w:hAnsi="宋体"/>
          <w:sz w:val="24"/>
        </w:rPr>
        <w:t>1、</w:t>
      </w:r>
      <w:r>
        <w:rPr>
          <w:rFonts w:hint="eastAsia" w:ascii="宋体" w:hAnsi="宋体"/>
          <w:sz w:val="24"/>
        </w:rPr>
        <w:t>基金管理人发送错误指令的情形包括指令发送人员无权或超越权限发送指令，指令不能辨识或要素不全导致无法执行等情形。</w:t>
      </w:r>
    </w:p>
    <w:p w14:paraId="6A75D619">
      <w:pPr>
        <w:adjustRightInd w:val="0"/>
        <w:snapToGrid w:val="0"/>
        <w:spacing w:line="360" w:lineRule="auto"/>
        <w:ind w:firstLine="480" w:firstLineChars="200"/>
        <w:rPr>
          <w:rFonts w:ascii="宋体" w:hAnsi="宋体"/>
          <w:sz w:val="24"/>
        </w:rPr>
      </w:pPr>
      <w:r>
        <w:rPr>
          <w:rFonts w:ascii="宋体" w:hAnsi="宋体"/>
          <w:sz w:val="24"/>
        </w:rPr>
        <w:t>2、当</w:t>
      </w:r>
      <w:r>
        <w:rPr>
          <w:rFonts w:hint="eastAsia" w:ascii="宋体" w:hAnsi="宋体"/>
          <w:sz w:val="24"/>
        </w:rPr>
        <w:t>基金托管人认为所接受指令为错误指令时，应及时与基金管理人进行电话确认，暂停指令的执行并要求基金管理人重新发送指令。基金托管人有权要求基金管理人提供相关交易凭证、合同或其他有效会计资料，以确保基金托管人有足够的资料来判断指令的有效性。基金托管人待收齐相关资料并判断指令有效后重新开始执行指令。基金管理人应在合理时间内补充相关资料，并给基金托管人预留必要的执行时间，否则基金托管人对因此造成的延误不承担责任。</w:t>
      </w:r>
    </w:p>
    <w:p w14:paraId="45A373FF">
      <w:pPr>
        <w:adjustRightInd w:val="0"/>
        <w:snapToGrid w:val="0"/>
        <w:spacing w:line="360" w:lineRule="auto"/>
        <w:ind w:firstLine="480" w:firstLineChars="200"/>
        <w:rPr>
          <w:rFonts w:ascii="宋体" w:hAnsi="宋体"/>
          <w:sz w:val="24"/>
        </w:rPr>
      </w:pPr>
      <w:r>
        <w:rPr>
          <w:rFonts w:hint="eastAsia" w:ascii="宋体" w:hAnsi="宋体"/>
          <w:sz w:val="24"/>
        </w:rPr>
        <w:t>（五）基金托管人依照法律法规暂缓、拒绝执行指令的情形和处理程序</w:t>
      </w:r>
    </w:p>
    <w:p w14:paraId="2AA5D23B">
      <w:pPr>
        <w:adjustRightInd w:val="0"/>
        <w:snapToGrid w:val="0"/>
        <w:spacing w:line="360" w:lineRule="auto"/>
        <w:ind w:firstLine="480" w:firstLineChars="200"/>
        <w:rPr>
          <w:rFonts w:ascii="宋体" w:hAnsi="宋体"/>
          <w:sz w:val="24"/>
        </w:rPr>
      </w:pPr>
      <w:r>
        <w:rPr>
          <w:rFonts w:hint="eastAsia" w:ascii="宋体" w:hAnsi="宋体"/>
          <w:sz w:val="24"/>
        </w:rPr>
        <w:t>基金托管人发现基金管理人发送的指令有可能违反《基金法》、《运作办法》、《基金合同》、本协议或其他有关法律法规的规定时，应暂缓执行指令，并及时通知基金管理人，基金管理人收到通知后应及时核对并纠正；如相关交易已生效，则应通知基金管理人在</w:t>
      </w:r>
      <w:r>
        <w:rPr>
          <w:rFonts w:ascii="宋体" w:hAnsi="宋体"/>
          <w:sz w:val="24"/>
        </w:rPr>
        <w:t>10个工作日内纠正，并报告中国证监会</w:t>
      </w:r>
      <w:r>
        <w:rPr>
          <w:rFonts w:hint="eastAsia" w:ascii="宋体" w:hAnsi="宋体"/>
          <w:sz w:val="24"/>
        </w:rPr>
        <w:t>。对于基金托管人事前难以监督的交易行为，基金托管人在事后履行了对基金管理人的通知以及向中国证监会的报告义务后，即视为完全履行了其投资监督职责。对于基金管理人违反《基金法》、《运作办法》、《基金合同》、本协议或其他有关法律法规的规定造成基金财产损失的，由基金管理人承担全部责任，基金托管人免于承担责任。</w:t>
      </w:r>
    </w:p>
    <w:p w14:paraId="367EFE0C">
      <w:pPr>
        <w:adjustRightInd w:val="0"/>
        <w:snapToGrid w:val="0"/>
        <w:spacing w:line="360" w:lineRule="auto"/>
        <w:ind w:firstLine="480" w:firstLineChars="200"/>
        <w:rPr>
          <w:rFonts w:ascii="宋体" w:hAnsi="宋体"/>
          <w:sz w:val="24"/>
        </w:rPr>
      </w:pPr>
      <w:r>
        <w:rPr>
          <w:rFonts w:hint="eastAsia" w:ascii="宋体" w:hAnsi="宋体"/>
          <w:sz w:val="24"/>
        </w:rPr>
        <w:t>（六）基金托管人未按照基金管理人指令执行的处理方法</w:t>
      </w:r>
    </w:p>
    <w:p w14:paraId="40E4D951">
      <w:pPr>
        <w:adjustRightInd w:val="0"/>
        <w:snapToGrid w:val="0"/>
        <w:spacing w:line="360" w:lineRule="auto"/>
        <w:ind w:firstLine="480" w:firstLineChars="200"/>
        <w:rPr>
          <w:rFonts w:ascii="宋体" w:hAnsi="宋体"/>
          <w:sz w:val="24"/>
        </w:rPr>
      </w:pPr>
      <w:r>
        <w:rPr>
          <w:rFonts w:hint="eastAsia" w:ascii="宋体" w:hAnsi="宋体"/>
          <w:sz w:val="24"/>
        </w:rPr>
        <w:t>对于基金管理人的有效指令和通知，除非违反法律法规、基金合同、托管协议或具有第（四）项所述错误，基金托管人不得无故拒绝或拖延执行，否则应就基金或基金管理人由此产生的损失负赔偿责任。</w:t>
      </w:r>
    </w:p>
    <w:p w14:paraId="2671D2CB">
      <w:pPr>
        <w:adjustRightInd w:val="0"/>
        <w:snapToGrid w:val="0"/>
        <w:spacing w:line="360" w:lineRule="auto"/>
        <w:ind w:firstLine="480" w:firstLineChars="200"/>
        <w:rPr>
          <w:rFonts w:ascii="宋体" w:hAnsi="宋体"/>
          <w:sz w:val="24"/>
        </w:rPr>
      </w:pPr>
      <w:r>
        <w:rPr>
          <w:rFonts w:hint="eastAsia" w:ascii="宋体" w:hAnsi="宋体"/>
          <w:sz w:val="24"/>
        </w:rPr>
        <w:t>除因故意或过失致使基金</w:t>
      </w:r>
      <w:r>
        <w:rPr>
          <w:rFonts w:ascii="宋体" w:hAnsi="宋体" w:cs="Arial"/>
          <w:sz w:val="24"/>
        </w:rPr>
        <w:t>财产</w:t>
      </w:r>
      <w:r>
        <w:rPr>
          <w:rFonts w:hint="eastAsia" w:ascii="宋体" w:hAnsi="宋体" w:cs="Arial"/>
          <w:sz w:val="24"/>
        </w:rPr>
        <w:t>、基金份额</w:t>
      </w:r>
      <w:r>
        <w:rPr>
          <w:rFonts w:ascii="宋体" w:hAnsi="宋体" w:cs="Arial"/>
          <w:sz w:val="24"/>
        </w:rPr>
        <w:t>持有人</w:t>
      </w:r>
      <w:r>
        <w:rPr>
          <w:rFonts w:hint="eastAsia" w:ascii="宋体" w:hAnsi="宋体"/>
          <w:sz w:val="24"/>
        </w:rPr>
        <w:t>、基金管理人的利益受到损害而负赔偿责任外，基金托管人对执行基金管理人的合法指令对基金财产造成的损失不承担赔偿责任。</w:t>
      </w:r>
    </w:p>
    <w:p w14:paraId="77B06B77">
      <w:pPr>
        <w:adjustRightInd w:val="0"/>
        <w:snapToGrid w:val="0"/>
        <w:spacing w:line="360" w:lineRule="auto"/>
        <w:ind w:firstLine="480" w:firstLineChars="200"/>
        <w:rPr>
          <w:rFonts w:ascii="宋体" w:hAnsi="宋体"/>
          <w:sz w:val="24"/>
        </w:rPr>
      </w:pPr>
      <w:r>
        <w:rPr>
          <w:rFonts w:hint="eastAsia" w:ascii="宋体" w:hAnsi="宋体"/>
          <w:sz w:val="24"/>
        </w:rPr>
        <w:t>（七）更换被授权人员的程序</w:t>
      </w:r>
    </w:p>
    <w:p w14:paraId="4617BD80">
      <w:pPr>
        <w:autoSpaceDE w:val="0"/>
        <w:autoSpaceDN w:val="0"/>
        <w:adjustRightInd w:val="0"/>
        <w:snapToGrid w:val="0"/>
        <w:spacing w:line="360" w:lineRule="auto"/>
        <w:ind w:firstLine="480" w:firstLineChars="200"/>
        <w:rPr>
          <w:rFonts w:ascii="宋体" w:hAnsi="宋体"/>
          <w:sz w:val="24"/>
        </w:rPr>
      </w:pPr>
      <w:r>
        <w:rPr>
          <w:rFonts w:hint="eastAsia" w:ascii="宋体" w:hAnsi="宋体"/>
          <w:sz w:val="24"/>
        </w:rPr>
        <w:t>基金管理人撤换被授权人员或改变被授权人员的权限，必须提前至少一个交易日，使用传真方式或其他基金管理人和基金托管人认可的方式向基金托管人发出加盖基金管理人公司公章的书面变更通知，同时电话通知基金托管人。被授权人变更通知，经基金管理人与基金托管人以电话方式或其他基金管理人和基金托管人认可的方式确认后，于授权通知载明的生效时间生效，同时原授权通知失效。基金管理人在此后三个工作日内将被授权人变更通知的正本送交基金托管人。变更通知书书面正本内容与基金托管人收到的传真不一致的，以基金托管人收到的传真为准。</w:t>
      </w:r>
    </w:p>
    <w:p w14:paraId="17CDA85A">
      <w:pPr>
        <w:adjustRightInd w:val="0"/>
        <w:snapToGrid w:val="0"/>
        <w:spacing w:line="360" w:lineRule="auto"/>
        <w:ind w:firstLine="480" w:firstLineChars="200"/>
        <w:rPr>
          <w:rFonts w:ascii="宋体" w:hAnsi="宋体"/>
          <w:sz w:val="24"/>
        </w:rPr>
      </w:pPr>
      <w:r>
        <w:rPr>
          <w:rFonts w:hint="eastAsia" w:ascii="宋体" w:hAnsi="宋体"/>
          <w:sz w:val="24"/>
        </w:rPr>
        <w:t>基金托管人更换接收基金管理人指令的人员，应提前通知基金管理人。</w:t>
      </w:r>
    </w:p>
    <w:p w14:paraId="47C037CC">
      <w:pPr>
        <w:autoSpaceDE w:val="0"/>
        <w:autoSpaceDN w:val="0"/>
        <w:adjustRightInd w:val="0"/>
        <w:snapToGrid w:val="0"/>
        <w:spacing w:line="360" w:lineRule="auto"/>
        <w:ind w:firstLine="480" w:firstLineChars="200"/>
        <w:rPr>
          <w:rFonts w:ascii="宋体" w:hAnsi="宋体"/>
          <w:sz w:val="24"/>
        </w:rPr>
      </w:pPr>
      <w:r>
        <w:rPr>
          <w:rFonts w:hint="eastAsia" w:ascii="宋体" w:hAnsi="宋体"/>
          <w:sz w:val="24"/>
        </w:rPr>
        <w:t>（八）指令的保管</w:t>
      </w:r>
    </w:p>
    <w:p w14:paraId="3429624E">
      <w:pPr>
        <w:autoSpaceDE w:val="0"/>
        <w:autoSpaceDN w:val="0"/>
        <w:adjustRightInd w:val="0"/>
        <w:snapToGrid w:val="0"/>
        <w:spacing w:line="360" w:lineRule="auto"/>
        <w:ind w:firstLine="480" w:firstLineChars="200"/>
        <w:rPr>
          <w:rFonts w:ascii="宋体" w:hAnsi="宋体"/>
          <w:sz w:val="24"/>
        </w:rPr>
      </w:pPr>
      <w:r>
        <w:rPr>
          <w:rFonts w:hint="eastAsia" w:ascii="宋体" w:hAnsi="宋体"/>
          <w:sz w:val="24"/>
        </w:rPr>
        <w:t>指令若以传真形式发出，则正本由基金管理人保管，基金托管人保管指令传真件。当两者不一致时，以基金托管人收到的指令传真件为准。</w:t>
      </w:r>
    </w:p>
    <w:p w14:paraId="32AD11F8">
      <w:pPr>
        <w:autoSpaceDE w:val="0"/>
        <w:autoSpaceDN w:val="0"/>
        <w:adjustRightInd w:val="0"/>
        <w:snapToGrid w:val="0"/>
        <w:spacing w:line="360" w:lineRule="auto"/>
        <w:ind w:firstLine="480" w:firstLineChars="200"/>
        <w:rPr>
          <w:rFonts w:ascii="宋体" w:hAnsi="宋体"/>
          <w:sz w:val="24"/>
        </w:rPr>
      </w:pPr>
      <w:r>
        <w:rPr>
          <w:rFonts w:hint="eastAsia" w:ascii="宋体" w:hAnsi="宋体"/>
          <w:sz w:val="24"/>
        </w:rPr>
        <w:t>（九）相关责任</w:t>
      </w:r>
    </w:p>
    <w:p w14:paraId="34972372">
      <w:pPr>
        <w:autoSpaceDE w:val="0"/>
        <w:autoSpaceDN w:val="0"/>
        <w:adjustRightInd w:val="0"/>
        <w:snapToGrid w:val="0"/>
        <w:spacing w:line="360" w:lineRule="auto"/>
        <w:ind w:firstLine="480" w:firstLineChars="200"/>
        <w:rPr>
          <w:rFonts w:ascii="宋体" w:hAnsi="宋体"/>
          <w:sz w:val="24"/>
        </w:rPr>
      </w:pPr>
      <w:r>
        <w:rPr>
          <w:rFonts w:hint="eastAsia" w:ascii="宋体" w:hAnsi="宋体"/>
          <w:sz w:val="24"/>
        </w:rPr>
        <w:t>对基金管理人在没有充足资金的情况下向基金托管人发出的指令致使资金未能及时清算所造成的损失由基金管理人承担。因基金管理人原因造成的传输不及时、未能留出足够执行时间、未能及时与基金托管人进行指令确认致使资金未能及时清算或交易失败所造成的损失由基金管理人承担。基金托管人正确执行基金管理人发送的有效指令，基金财产发生损失的，基金托管人不承担任何形式的责任。在正常业务受理渠道和指令规定的时间内，因基金托管人原因造成未能及时或正确执行合法合规的指令而导致基金财产受损的，基金托管人应承担相应的责任，但如遇到不可抗力的情况除外。</w:t>
      </w:r>
    </w:p>
    <w:p w14:paraId="2537A9C7">
      <w:pPr>
        <w:adjustRightInd w:val="0"/>
        <w:snapToGrid w:val="0"/>
        <w:spacing w:line="360" w:lineRule="auto"/>
        <w:ind w:firstLine="480" w:firstLineChars="200"/>
        <w:rPr>
          <w:rFonts w:ascii="宋体" w:hAnsi="宋体"/>
          <w:sz w:val="24"/>
        </w:rPr>
      </w:pPr>
      <w:r>
        <w:rPr>
          <w:rFonts w:hint="eastAsia" w:ascii="宋体" w:hAnsi="宋体"/>
          <w:sz w:val="24"/>
        </w:rPr>
        <w:t>基金托管人根据本协议相关规定履行形式审核职责，如果基金管理人的指令存在事实上未经授权、欺诈、伪造或未能及时提供授权通知等情形，基金托管人不承担因执行有关指令或拒绝执行有关指令而给基金管理人或基金资产或任何第三方带来的损失，全部责任由基金管理人承担，但基金托管人未按托管协议约定尽形式审核义务执行指令而造成损失的情形除外。</w:t>
      </w:r>
    </w:p>
    <w:p w14:paraId="6378F734">
      <w:pPr>
        <w:pStyle w:val="3"/>
        <w:spacing w:before="312" w:beforeLines="100" w:after="156" w:afterLines="50" w:line="360" w:lineRule="auto"/>
        <w:jc w:val="center"/>
        <w:rPr>
          <w:rFonts w:ascii="宋体" w:hAnsi="宋体"/>
          <w:sz w:val="24"/>
        </w:rPr>
      </w:pPr>
      <w:bookmarkStart w:id="80" w:name="_Toc86223245"/>
      <w:bookmarkStart w:id="81" w:name="_Toc86737932"/>
      <w:bookmarkStart w:id="82" w:name="_Toc86649725"/>
      <w:bookmarkStart w:id="83" w:name="_Toc118212953"/>
      <w:bookmarkStart w:id="84" w:name="_Toc120435786"/>
      <w:bookmarkStart w:id="85" w:name="_Toc86727358"/>
      <w:bookmarkStart w:id="86" w:name="_Toc108512361"/>
      <w:bookmarkStart w:id="87" w:name="_Toc84234437"/>
      <w:bookmarkStart w:id="88" w:name="_Toc110761799"/>
      <w:bookmarkStart w:id="89" w:name="_Toc89163371"/>
      <w:bookmarkStart w:id="90" w:name="_Toc110830495"/>
      <w:bookmarkStart w:id="91" w:name="_Toc110765663"/>
      <w:bookmarkStart w:id="92" w:name="_Toc86225294"/>
      <w:bookmarkStart w:id="93" w:name="_Toc119402713"/>
      <w:bookmarkStart w:id="94" w:name="_Toc84234390"/>
      <w:bookmarkStart w:id="95" w:name="_Toc86204791"/>
      <w:bookmarkStart w:id="96" w:name="_Toc118774806"/>
      <w:bookmarkStart w:id="97" w:name="_Toc118972651"/>
      <w:bookmarkStart w:id="98" w:name="_Toc86726442"/>
      <w:bookmarkStart w:id="99" w:name="_Toc84133788"/>
      <w:r>
        <w:rPr>
          <w:rFonts w:ascii="宋体" w:hAnsi="宋体"/>
          <w:sz w:val="24"/>
        </w:rPr>
        <w:br w:type="page"/>
      </w:r>
      <w:bookmarkStart w:id="100" w:name="_Toc348082035"/>
      <w:bookmarkStart w:id="101" w:name="_Toc384992697"/>
      <w:bookmarkStart w:id="102" w:name="_Toc488938616"/>
      <w:r>
        <w:rPr>
          <w:rFonts w:hint="eastAsia" w:ascii="宋体" w:hAnsi="宋体"/>
          <w:sz w:val="24"/>
        </w:rPr>
        <w:t>七、交易及清算交收安排</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32B083C5">
      <w:pPr>
        <w:adjustRightInd w:val="0"/>
        <w:snapToGrid w:val="0"/>
        <w:spacing w:line="360" w:lineRule="auto"/>
        <w:ind w:firstLine="480" w:firstLineChars="200"/>
        <w:rPr>
          <w:rFonts w:ascii="宋体" w:hAnsi="宋体"/>
          <w:sz w:val="24"/>
        </w:rPr>
      </w:pPr>
      <w:r>
        <w:rPr>
          <w:rFonts w:hint="eastAsia" w:ascii="宋体" w:hAnsi="宋体"/>
          <w:sz w:val="24"/>
        </w:rPr>
        <w:t>（一）选择代理证券买卖的证券经营机构</w:t>
      </w:r>
    </w:p>
    <w:p w14:paraId="38BBFC67">
      <w:pPr>
        <w:adjustRightInd w:val="0"/>
        <w:snapToGrid w:val="0"/>
        <w:spacing w:line="360" w:lineRule="auto"/>
        <w:ind w:firstLine="480" w:firstLineChars="200"/>
        <w:rPr>
          <w:rFonts w:ascii="宋体" w:hAnsi="宋体"/>
          <w:sz w:val="24"/>
        </w:rPr>
      </w:pPr>
      <w:r>
        <w:rPr>
          <w:rFonts w:hint="eastAsia" w:ascii="宋体" w:hAnsi="宋体"/>
          <w:sz w:val="24"/>
        </w:rPr>
        <w:t>基金管理人应设计选择代理证券买卖的证券经营机构的标准和程序，并按照有关合同和规定行使基金财产投资权利而应承担的义务，包括但不限于选择经纪商及投资标的等。基金管理人负责选择代理本基金证券买卖的证券经营机构，使用其交易单元作为基金的交易单元。基金管理人和被选中的证券经营机构签订委托协议，基金管理人应提前通知基金托管人，并将交易单元租用协议及相关文件及时送达基金托管人，确保基金托管人申请接收结算数据。基金管理人应根据有关规定，在基金的中期报告和年度报告中将所选证券经营机构的有关情况、基金通过该证券经营机构买卖证券的成交量、回购成交量和支付的佣金等予以披露，并将该等情况及基金交易单元号、佣金费率等基本信息以及变更情况及时以书面形式通知基金托管人。</w:t>
      </w:r>
    </w:p>
    <w:p w14:paraId="534B85DC">
      <w:pPr>
        <w:adjustRightInd w:val="0"/>
        <w:snapToGrid w:val="0"/>
        <w:spacing w:line="360" w:lineRule="auto"/>
        <w:ind w:firstLine="480" w:firstLineChars="200"/>
        <w:rPr>
          <w:rFonts w:ascii="宋体" w:hAnsi="宋体"/>
          <w:sz w:val="24"/>
        </w:rPr>
      </w:pPr>
      <w:r>
        <w:rPr>
          <w:rFonts w:hint="eastAsia" w:ascii="宋体" w:hAnsi="宋体"/>
          <w:sz w:val="24"/>
        </w:rPr>
        <w:t>（二）基金投资证券后的清算交收安排</w:t>
      </w:r>
    </w:p>
    <w:p w14:paraId="135B2B88">
      <w:pPr>
        <w:adjustRightInd w:val="0"/>
        <w:snapToGrid w:val="0"/>
        <w:spacing w:line="360" w:lineRule="auto"/>
        <w:ind w:firstLine="480" w:firstLineChars="200"/>
        <w:rPr>
          <w:rFonts w:ascii="宋体" w:hAnsi="宋体"/>
          <w:sz w:val="24"/>
        </w:rPr>
      </w:pPr>
      <w:r>
        <w:rPr>
          <w:rFonts w:hint="eastAsia" w:ascii="宋体" w:hAnsi="宋体"/>
          <w:color w:val="000000"/>
          <w:sz w:val="24"/>
        </w:rPr>
        <w:t>基金管理人和基金托管人在基金财产场内清算交收及相关风险控制方面的职责按照附件《托管银行证券资金结算规定》的要求执行。</w:t>
      </w:r>
    </w:p>
    <w:p w14:paraId="2BA1B562">
      <w:pPr>
        <w:adjustRightInd w:val="0"/>
        <w:snapToGrid w:val="0"/>
        <w:spacing w:line="360" w:lineRule="auto"/>
        <w:ind w:firstLine="480" w:firstLineChars="200"/>
        <w:rPr>
          <w:rFonts w:ascii="宋体" w:hAnsi="宋体"/>
          <w:sz w:val="24"/>
        </w:rPr>
      </w:pPr>
      <w:r>
        <w:rPr>
          <w:rFonts w:hint="eastAsia" w:ascii="宋体" w:hAnsi="宋体"/>
          <w:sz w:val="24"/>
        </w:rPr>
        <w:t>（三）基金申购、赎回和转换业务处理的基本规定</w:t>
      </w:r>
    </w:p>
    <w:p w14:paraId="75B8342F">
      <w:pPr>
        <w:adjustRightInd w:val="0"/>
        <w:snapToGrid w:val="0"/>
        <w:spacing w:line="360" w:lineRule="auto"/>
        <w:ind w:firstLine="480" w:firstLineChars="200"/>
        <w:rPr>
          <w:rFonts w:ascii="宋体" w:hAnsi="宋体"/>
          <w:sz w:val="24"/>
        </w:rPr>
      </w:pPr>
      <w:r>
        <w:rPr>
          <w:rFonts w:ascii="宋体" w:hAnsi="宋体"/>
          <w:sz w:val="24"/>
        </w:rPr>
        <w:t>1.基金份额申购、赎回</w:t>
      </w:r>
      <w:r>
        <w:rPr>
          <w:rFonts w:hint="eastAsia" w:ascii="宋体" w:hAnsi="宋体"/>
          <w:sz w:val="24"/>
        </w:rPr>
        <w:t>、转换的确认、清算由基金管理人或其委托的登记机构负责。</w:t>
      </w:r>
    </w:p>
    <w:p w14:paraId="36B6E922">
      <w:pPr>
        <w:adjustRightInd w:val="0"/>
        <w:snapToGrid w:val="0"/>
        <w:spacing w:line="360" w:lineRule="auto"/>
        <w:ind w:firstLine="480" w:firstLineChars="200"/>
        <w:rPr>
          <w:rFonts w:ascii="宋体" w:hAnsi="宋体"/>
          <w:sz w:val="24"/>
        </w:rPr>
      </w:pPr>
      <w:r>
        <w:rPr>
          <w:rFonts w:ascii="宋体" w:hAnsi="宋体"/>
          <w:sz w:val="24"/>
        </w:rPr>
        <w:t>2.基金管理人应将每个开放日的申购、赎回、转换</w:t>
      </w:r>
      <w:r>
        <w:rPr>
          <w:rFonts w:hint="eastAsia" w:ascii="宋体" w:hAnsi="宋体"/>
          <w:sz w:val="24"/>
        </w:rPr>
        <w:t>本</w:t>
      </w:r>
      <w:r>
        <w:rPr>
          <w:rFonts w:ascii="宋体" w:hAnsi="宋体"/>
          <w:sz w:val="24"/>
        </w:rPr>
        <w:t>基金的数据传送给基金托管人。基金管理人应对传递的申购、赎回、转换</w:t>
      </w:r>
      <w:r>
        <w:rPr>
          <w:rFonts w:hint="eastAsia" w:ascii="宋体" w:hAnsi="宋体"/>
          <w:sz w:val="24"/>
        </w:rPr>
        <w:t>本</w:t>
      </w:r>
      <w:r>
        <w:rPr>
          <w:rFonts w:ascii="宋体" w:hAnsi="宋体"/>
          <w:sz w:val="24"/>
        </w:rPr>
        <w:t>基金的数据真实性</w:t>
      </w:r>
      <w:r>
        <w:rPr>
          <w:rFonts w:hint="eastAsia" w:ascii="宋体" w:hAnsi="宋体"/>
          <w:sz w:val="24"/>
        </w:rPr>
        <w:t>和准确性负责。基金托管人应及时查收申购及转入资金的到账情况并根据基金管理人指令及时划付赎回及转出款项。</w:t>
      </w:r>
    </w:p>
    <w:p w14:paraId="221A9326">
      <w:pPr>
        <w:adjustRightInd w:val="0"/>
        <w:snapToGrid w:val="0"/>
        <w:spacing w:line="360" w:lineRule="auto"/>
        <w:ind w:firstLine="480" w:firstLineChars="200"/>
        <w:rPr>
          <w:rFonts w:ascii="宋体" w:hAnsi="宋体"/>
          <w:sz w:val="24"/>
        </w:rPr>
      </w:pPr>
      <w:r>
        <w:rPr>
          <w:rFonts w:ascii="宋体" w:hAnsi="宋体"/>
          <w:sz w:val="24"/>
        </w:rPr>
        <w:t>3.基金管理人应保证本基金（或本基金管理人委托）的</w:t>
      </w:r>
      <w:r>
        <w:rPr>
          <w:rFonts w:hint="eastAsia" w:ascii="宋体" w:hAnsi="宋体"/>
          <w:sz w:val="24"/>
        </w:rPr>
        <w:t>注册登记机构每个工作日</w:t>
      </w:r>
      <w:r>
        <w:rPr>
          <w:rFonts w:ascii="宋体" w:hAnsi="宋体"/>
          <w:sz w:val="24"/>
        </w:rPr>
        <w:t>15:00前向基金托管人发送前一开放日上述有关数据，并保证相关数据的准确、完整。</w:t>
      </w:r>
    </w:p>
    <w:p w14:paraId="708BCB74">
      <w:pPr>
        <w:adjustRightInd w:val="0"/>
        <w:snapToGrid w:val="0"/>
        <w:spacing w:line="360" w:lineRule="auto"/>
        <w:ind w:firstLine="480" w:firstLineChars="200"/>
        <w:rPr>
          <w:rFonts w:ascii="宋体" w:hAnsi="宋体"/>
          <w:sz w:val="24"/>
        </w:rPr>
      </w:pPr>
      <w:r>
        <w:rPr>
          <w:rFonts w:ascii="宋体" w:hAnsi="宋体"/>
          <w:sz w:val="24"/>
        </w:rPr>
        <w:t>4.</w:t>
      </w:r>
      <w:r>
        <w:rPr>
          <w:rFonts w:hint="eastAsia" w:ascii="宋体" w:hAnsi="宋体"/>
          <w:sz w:val="24"/>
        </w:rPr>
        <w:t>注册登记机构应通过与基金管理人建立的系统发送有关数据，由基金管理人向基金托管人发送有关数据，如因各种原因，该系统无法正常发送，双方可协商解决处理方式。基金管理人向基金托管人发送的数据，双方各自按有关规定保存。</w:t>
      </w:r>
    </w:p>
    <w:p w14:paraId="3E091940">
      <w:pPr>
        <w:adjustRightInd w:val="0"/>
        <w:snapToGrid w:val="0"/>
        <w:spacing w:line="360" w:lineRule="auto"/>
        <w:ind w:firstLine="480" w:firstLineChars="200"/>
        <w:rPr>
          <w:rFonts w:ascii="宋体" w:hAnsi="宋体"/>
          <w:sz w:val="24"/>
        </w:rPr>
      </w:pPr>
      <w:r>
        <w:rPr>
          <w:rFonts w:ascii="宋体" w:hAnsi="宋体"/>
          <w:sz w:val="24"/>
        </w:rPr>
        <w:t>5.如基金管理人委托其他机构办理本基金的</w:t>
      </w:r>
      <w:r>
        <w:rPr>
          <w:rFonts w:hint="eastAsia" w:ascii="宋体" w:hAnsi="宋体"/>
          <w:sz w:val="24"/>
        </w:rPr>
        <w:t>注册登记业务，应保证上述相关事宜按时进行。否则，由基金管理人承担相应的责任。</w:t>
      </w:r>
    </w:p>
    <w:p w14:paraId="7E1A8CAE">
      <w:pPr>
        <w:adjustRightInd w:val="0"/>
        <w:snapToGrid w:val="0"/>
        <w:spacing w:line="360" w:lineRule="auto"/>
        <w:ind w:firstLine="480" w:firstLineChars="200"/>
        <w:rPr>
          <w:rFonts w:ascii="宋体" w:hAnsi="宋体"/>
          <w:sz w:val="24"/>
        </w:rPr>
      </w:pPr>
      <w:r>
        <w:rPr>
          <w:rFonts w:ascii="宋体" w:hAnsi="宋体"/>
          <w:sz w:val="24"/>
        </w:rPr>
        <w:t>6.关于清算专用账户的设立和管理</w:t>
      </w:r>
    </w:p>
    <w:p w14:paraId="5B93E6A5">
      <w:pPr>
        <w:adjustRightInd w:val="0"/>
        <w:snapToGrid w:val="0"/>
        <w:spacing w:line="360" w:lineRule="auto"/>
        <w:ind w:firstLine="480" w:firstLineChars="200"/>
        <w:rPr>
          <w:rFonts w:ascii="宋体" w:hAnsi="宋体"/>
          <w:sz w:val="24"/>
        </w:rPr>
      </w:pPr>
      <w:r>
        <w:rPr>
          <w:rFonts w:hint="eastAsia" w:ascii="宋体" w:hAnsi="宋体"/>
          <w:sz w:val="24"/>
        </w:rPr>
        <w:t>为满足申购、赎回、转换及分红资金汇划的需要，由基金管理人开立资金清算的专用账户，该账户由注册登记机构管理。</w:t>
      </w:r>
    </w:p>
    <w:p w14:paraId="54043676">
      <w:pPr>
        <w:adjustRightInd w:val="0"/>
        <w:snapToGrid w:val="0"/>
        <w:spacing w:line="360" w:lineRule="auto"/>
        <w:ind w:firstLine="480" w:firstLineChars="200"/>
        <w:rPr>
          <w:rFonts w:ascii="宋体" w:hAnsi="宋体"/>
          <w:sz w:val="24"/>
        </w:rPr>
      </w:pPr>
      <w:r>
        <w:rPr>
          <w:rFonts w:ascii="宋体" w:hAnsi="宋体"/>
          <w:sz w:val="24"/>
        </w:rPr>
        <w:t>7.对于基金申购</w:t>
      </w:r>
      <w:r>
        <w:rPr>
          <w:rFonts w:hint="eastAsia" w:ascii="宋体" w:hAnsi="宋体"/>
          <w:sz w:val="24"/>
        </w:rPr>
        <w:t>、转换过程中产生的应收款，应由基金管理人负责与有关当事人确定到账日期并通知基金托管人，到账日应收款没有到达基金资金账户的，基金托管人应及时通知基金管理人采取措施进行催收，由此造成基金损失的，基金管理人应负责向有关当事人追偿基金的损失。</w:t>
      </w:r>
    </w:p>
    <w:p w14:paraId="40AA23A2">
      <w:pPr>
        <w:adjustRightInd w:val="0"/>
        <w:snapToGrid w:val="0"/>
        <w:spacing w:line="360" w:lineRule="auto"/>
        <w:ind w:firstLine="480" w:firstLineChars="200"/>
        <w:rPr>
          <w:rFonts w:ascii="宋体" w:hAnsi="宋体"/>
          <w:sz w:val="24"/>
        </w:rPr>
      </w:pPr>
      <w:r>
        <w:rPr>
          <w:rFonts w:ascii="宋体" w:hAnsi="宋体"/>
          <w:sz w:val="24"/>
        </w:rPr>
        <w:t>8.赎回</w:t>
      </w:r>
      <w:r>
        <w:rPr>
          <w:rFonts w:hint="eastAsia" w:ascii="宋体" w:hAnsi="宋体"/>
          <w:sz w:val="24"/>
        </w:rPr>
        <w:t>、转换资金划付规定</w:t>
      </w:r>
    </w:p>
    <w:p w14:paraId="5A25E4BA">
      <w:pPr>
        <w:adjustRightInd w:val="0"/>
        <w:snapToGrid w:val="0"/>
        <w:spacing w:line="360" w:lineRule="auto"/>
        <w:ind w:firstLine="480" w:firstLineChars="200"/>
        <w:rPr>
          <w:rFonts w:ascii="宋体" w:hAnsi="宋体"/>
          <w:sz w:val="24"/>
        </w:rPr>
      </w:pPr>
      <w:r>
        <w:rPr>
          <w:rFonts w:hint="eastAsia" w:ascii="宋体" w:hAnsi="宋体"/>
          <w:sz w:val="24"/>
        </w:rPr>
        <w:t>划付赎回款、转换转出款时，如基金资金账户有足够的资金，基金托管人应按时划付；因基金资金账户没有足够的资金，导致基金托管人不能按时划付，基金托管人不承担责任，也不承担垫款义务。</w:t>
      </w:r>
    </w:p>
    <w:p w14:paraId="7AC49C77">
      <w:pPr>
        <w:adjustRightInd w:val="0"/>
        <w:snapToGrid w:val="0"/>
        <w:spacing w:line="360" w:lineRule="auto"/>
        <w:ind w:firstLine="480" w:firstLineChars="200"/>
        <w:rPr>
          <w:rFonts w:ascii="宋体" w:hAnsi="宋体"/>
          <w:sz w:val="24"/>
        </w:rPr>
      </w:pPr>
      <w:r>
        <w:rPr>
          <w:rFonts w:ascii="宋体" w:hAnsi="宋体"/>
          <w:sz w:val="24"/>
        </w:rPr>
        <w:t>9.资金指令</w:t>
      </w:r>
    </w:p>
    <w:p w14:paraId="63B38CD2">
      <w:pPr>
        <w:adjustRightInd w:val="0"/>
        <w:snapToGrid w:val="0"/>
        <w:spacing w:line="360" w:lineRule="auto"/>
        <w:ind w:firstLine="480" w:firstLineChars="200"/>
        <w:rPr>
          <w:rFonts w:ascii="宋体" w:hAnsi="宋体"/>
          <w:sz w:val="24"/>
        </w:rPr>
      </w:pPr>
      <w:r>
        <w:rPr>
          <w:rFonts w:hint="eastAsia" w:ascii="宋体" w:hAnsi="宋体"/>
          <w:sz w:val="24"/>
        </w:rPr>
        <w:t>除申购款项到达基金资金账户需双方按约定方式对账外，与投资有关的付款、赎回和分红资金划拨时，基金管理人需向基金托管人下达指令。</w:t>
      </w:r>
    </w:p>
    <w:p w14:paraId="7A2E3D69">
      <w:pPr>
        <w:adjustRightInd w:val="0"/>
        <w:snapToGrid w:val="0"/>
        <w:spacing w:line="360" w:lineRule="auto"/>
        <w:ind w:firstLine="480" w:firstLineChars="200"/>
        <w:rPr>
          <w:rFonts w:ascii="宋体" w:hAnsi="宋体"/>
          <w:sz w:val="24"/>
        </w:rPr>
      </w:pPr>
      <w:r>
        <w:rPr>
          <w:rFonts w:hint="eastAsia" w:ascii="宋体" w:hAnsi="宋体"/>
          <w:sz w:val="24"/>
        </w:rPr>
        <w:t>资金指令的格式、内容、发送、接收和确认方式等与投资指令相同。</w:t>
      </w:r>
    </w:p>
    <w:p w14:paraId="5AF6DF47">
      <w:pPr>
        <w:adjustRightInd w:val="0"/>
        <w:snapToGrid w:val="0"/>
        <w:spacing w:line="360" w:lineRule="auto"/>
        <w:ind w:firstLine="480" w:firstLineChars="200"/>
        <w:rPr>
          <w:rFonts w:ascii="宋体" w:hAnsi="宋体"/>
          <w:sz w:val="24"/>
        </w:rPr>
      </w:pPr>
      <w:r>
        <w:rPr>
          <w:rFonts w:hint="eastAsia" w:ascii="宋体" w:hAnsi="宋体"/>
          <w:sz w:val="24"/>
        </w:rPr>
        <w:t>（四）资金净额结算</w:t>
      </w:r>
    </w:p>
    <w:p w14:paraId="4BE083A1">
      <w:pPr>
        <w:adjustRightInd w:val="0"/>
        <w:snapToGrid w:val="0"/>
        <w:spacing w:line="360" w:lineRule="auto"/>
        <w:ind w:firstLine="480" w:firstLineChars="200"/>
        <w:rPr>
          <w:rFonts w:ascii="宋体" w:hAnsi="宋体"/>
          <w:sz w:val="24"/>
        </w:rPr>
      </w:pPr>
      <w:r>
        <w:rPr>
          <w:rFonts w:hint="eastAsia" w:ascii="宋体" w:hAnsi="宋体"/>
          <w:sz w:val="24"/>
        </w:rPr>
        <w:t>基金资金账户与“基金清算账户”间的资金结算遵循“全额清算、净额交收”的原则，每日按照资金账户应收资金与应付资金的差额来确定资金账户净应收额或净应付额，以此确定资金交收额，基金托管人应当为基金管理人提供适当方式，便于基金管理人进行查询和账务管理。当存在资金账户净应收额时，基金管理人应在</w:t>
      </w:r>
      <w:r>
        <w:rPr>
          <w:rFonts w:ascii="宋体" w:hAnsi="宋体"/>
          <w:sz w:val="24"/>
        </w:rPr>
        <w:t>交收日</w:t>
      </w:r>
      <w:r>
        <w:rPr>
          <w:rFonts w:hint="eastAsia" w:ascii="宋体" w:hAnsi="宋体"/>
          <w:sz w:val="24"/>
        </w:rPr>
        <w:t>1</w:t>
      </w:r>
      <w:r>
        <w:rPr>
          <w:rFonts w:ascii="宋体" w:hAnsi="宋体"/>
          <w:sz w:val="24"/>
        </w:rPr>
        <w:t>5:00</w:t>
      </w:r>
      <w:r>
        <w:rPr>
          <w:rFonts w:hint="eastAsia" w:ascii="宋体" w:hAnsi="宋体"/>
          <w:sz w:val="24"/>
        </w:rPr>
        <w:t>前从基金清算账户划往基金资金账户，基金管理人通过基金托管人提供的方式查询结果；当存在资金账户净应付额时，基金托管人按照基金管理人的划款指令将托管账户净应付额在交收日及时划往基金清算账户，基金管理人通过基金托管人提供的方式查询结果。</w:t>
      </w:r>
    </w:p>
    <w:p w14:paraId="7F269359">
      <w:pPr>
        <w:adjustRightInd w:val="0"/>
        <w:snapToGrid w:val="0"/>
        <w:spacing w:line="360" w:lineRule="auto"/>
        <w:ind w:firstLine="480" w:firstLineChars="200"/>
        <w:rPr>
          <w:rFonts w:ascii="宋体" w:hAnsi="宋体"/>
          <w:i/>
          <w:sz w:val="24"/>
        </w:rPr>
      </w:pPr>
      <w:r>
        <w:rPr>
          <w:rFonts w:hint="eastAsia" w:ascii="宋体" w:hAnsi="宋体"/>
          <w:sz w:val="24"/>
        </w:rPr>
        <w:t>当存在资金账户净应付额时，如基金</w:t>
      </w:r>
      <w:r>
        <w:rPr>
          <w:rFonts w:hint="eastAsia" w:ascii="宋体" w:hAnsi="宋体" w:cs="Arial"/>
          <w:sz w:val="24"/>
        </w:rPr>
        <w:t>资金</w:t>
      </w:r>
      <w:r>
        <w:rPr>
          <w:rFonts w:hint="eastAsia" w:ascii="宋体" w:hAnsi="宋体"/>
          <w:sz w:val="24"/>
        </w:rPr>
        <w:t>账户有足够的资金，基金托管人应按时划付；因基金资金账户没有足够的资金，导致基金托管人不能按时划付，基金托管人应及时通知基金管理人，基金托管人不承担责任；如系基金管理人的原因造成，基金托管人不承担垫款义务。</w:t>
      </w:r>
    </w:p>
    <w:p w14:paraId="05EFB1B3">
      <w:pPr>
        <w:adjustRightInd w:val="0"/>
        <w:snapToGrid w:val="0"/>
        <w:spacing w:line="360" w:lineRule="auto"/>
        <w:ind w:firstLine="480" w:firstLineChars="200"/>
        <w:rPr>
          <w:rFonts w:ascii="宋体" w:hAnsi="宋体"/>
          <w:sz w:val="24"/>
        </w:rPr>
      </w:pPr>
      <w:r>
        <w:rPr>
          <w:rFonts w:hint="eastAsia" w:ascii="宋体" w:hAnsi="宋体"/>
          <w:sz w:val="24"/>
        </w:rPr>
        <w:t>（五）基金现金分红</w:t>
      </w:r>
    </w:p>
    <w:p w14:paraId="5780D6F3">
      <w:pPr>
        <w:adjustRightInd w:val="0"/>
        <w:snapToGrid w:val="0"/>
        <w:spacing w:line="360" w:lineRule="auto"/>
        <w:ind w:firstLine="480" w:firstLineChars="200"/>
        <w:rPr>
          <w:rFonts w:ascii="宋体" w:hAnsi="宋体"/>
          <w:sz w:val="24"/>
        </w:rPr>
      </w:pPr>
      <w:r>
        <w:rPr>
          <w:rFonts w:ascii="宋体" w:hAnsi="宋体"/>
          <w:sz w:val="24"/>
        </w:rPr>
        <w:t>1.基金管理人确定分红方案通知基金托管人，双方核定后依照《信息披露办法》的有关规定在中国证监会规定媒介</w:t>
      </w:r>
      <w:r>
        <w:rPr>
          <w:rFonts w:hint="eastAsia" w:ascii="宋体" w:hAnsi="宋体"/>
          <w:sz w:val="24"/>
        </w:rPr>
        <w:t>上公告。</w:t>
      </w:r>
    </w:p>
    <w:p w14:paraId="04C30797">
      <w:pPr>
        <w:adjustRightInd w:val="0"/>
        <w:snapToGrid w:val="0"/>
        <w:spacing w:line="360" w:lineRule="auto"/>
        <w:ind w:firstLine="480" w:firstLineChars="200"/>
        <w:rPr>
          <w:rFonts w:ascii="宋体" w:hAnsi="宋体"/>
          <w:sz w:val="24"/>
        </w:rPr>
      </w:pPr>
      <w:r>
        <w:rPr>
          <w:rFonts w:ascii="宋体" w:hAnsi="宋体"/>
          <w:sz w:val="24"/>
        </w:rPr>
        <w:t>2.基金托管人和基金管理人对基金分红进行账务处理并核对后，基金管理人向基金托管人发送现金红利的划款指令，基金托管人应</w:t>
      </w:r>
      <w:r>
        <w:rPr>
          <w:rFonts w:hint="eastAsia" w:ascii="宋体" w:hAnsi="宋体"/>
          <w:sz w:val="24"/>
        </w:rPr>
        <w:t>根据指令及时将分红款划往基金清算账户。</w:t>
      </w:r>
    </w:p>
    <w:p w14:paraId="4906E121">
      <w:pPr>
        <w:adjustRightInd w:val="0"/>
        <w:snapToGrid w:val="0"/>
        <w:spacing w:line="360" w:lineRule="auto"/>
        <w:ind w:firstLine="480" w:firstLineChars="200"/>
        <w:rPr>
          <w:rFonts w:ascii="宋体" w:hAnsi="宋体"/>
          <w:sz w:val="24"/>
        </w:rPr>
      </w:pPr>
      <w:r>
        <w:rPr>
          <w:rFonts w:ascii="宋体" w:hAnsi="宋体"/>
          <w:sz w:val="24"/>
        </w:rPr>
        <w:t>3.基金管理人在下达指令时，应给基金托管人留出必需的划款时间。</w:t>
      </w:r>
    </w:p>
    <w:p w14:paraId="27F78E73">
      <w:pPr>
        <w:spacing w:line="360" w:lineRule="auto"/>
        <w:ind w:firstLine="480"/>
        <w:rPr>
          <w:rFonts w:ascii="宋体" w:hAnsi="宋体"/>
          <w:sz w:val="24"/>
        </w:rPr>
      </w:pPr>
    </w:p>
    <w:p w14:paraId="5F2094FD">
      <w:pPr>
        <w:adjustRightInd w:val="0"/>
        <w:snapToGrid w:val="0"/>
        <w:spacing w:line="360" w:lineRule="auto"/>
        <w:rPr>
          <w:rFonts w:ascii="宋体" w:hAnsi="宋体"/>
          <w:sz w:val="24"/>
        </w:rPr>
      </w:pPr>
    </w:p>
    <w:p w14:paraId="00008522">
      <w:pPr>
        <w:pStyle w:val="3"/>
        <w:spacing w:before="312" w:beforeLines="100" w:after="156" w:afterLines="50" w:line="360" w:lineRule="auto"/>
        <w:jc w:val="center"/>
        <w:rPr>
          <w:rFonts w:ascii="宋体" w:hAnsi="宋体"/>
          <w:sz w:val="24"/>
        </w:rPr>
      </w:pPr>
      <w:r>
        <w:rPr>
          <w:rFonts w:ascii="宋体" w:hAnsi="宋体"/>
          <w:sz w:val="24"/>
        </w:rPr>
        <w:br w:type="page"/>
      </w:r>
      <w:bookmarkStart w:id="103" w:name="_Toc348082036"/>
      <w:bookmarkStart w:id="104" w:name="_Toc488938617"/>
      <w:bookmarkStart w:id="105" w:name="_Toc384992698"/>
      <w:r>
        <w:rPr>
          <w:rFonts w:hint="eastAsia" w:ascii="宋体" w:hAnsi="宋体"/>
          <w:sz w:val="24"/>
        </w:rPr>
        <w:t>八、基金资产净值计算、估值和会计核算</w:t>
      </w:r>
      <w:bookmarkEnd w:id="103"/>
      <w:bookmarkEnd w:id="104"/>
      <w:bookmarkEnd w:id="105"/>
    </w:p>
    <w:p w14:paraId="2F0006F3">
      <w:pPr>
        <w:adjustRightInd w:val="0"/>
        <w:snapToGrid w:val="0"/>
        <w:spacing w:line="360" w:lineRule="auto"/>
        <w:ind w:firstLine="480" w:firstLineChars="200"/>
        <w:rPr>
          <w:rFonts w:ascii="宋体" w:hAnsi="宋体"/>
          <w:sz w:val="24"/>
        </w:rPr>
      </w:pPr>
      <w:r>
        <w:rPr>
          <w:rFonts w:hint="eastAsia" w:ascii="宋体" w:hAnsi="宋体"/>
          <w:sz w:val="24"/>
        </w:rPr>
        <w:t>（一）基金资产净值的计算、复核与完成的时间及程序</w:t>
      </w:r>
    </w:p>
    <w:p w14:paraId="2F176874">
      <w:pPr>
        <w:adjustRightInd w:val="0"/>
        <w:snapToGrid w:val="0"/>
        <w:spacing w:line="360" w:lineRule="auto"/>
        <w:ind w:firstLine="480" w:firstLineChars="200"/>
        <w:rPr>
          <w:rFonts w:ascii="宋体" w:hAnsi="宋体"/>
          <w:sz w:val="24"/>
        </w:rPr>
      </w:pPr>
      <w:r>
        <w:rPr>
          <w:rFonts w:ascii="宋体" w:hAnsi="宋体"/>
          <w:sz w:val="24"/>
        </w:rPr>
        <w:t>1.基金资产净值</w:t>
      </w:r>
    </w:p>
    <w:p w14:paraId="300EF90B">
      <w:pPr>
        <w:adjustRightInd w:val="0"/>
        <w:snapToGrid w:val="0"/>
        <w:spacing w:line="360" w:lineRule="auto"/>
        <w:ind w:firstLine="480" w:firstLineChars="200"/>
        <w:rPr>
          <w:rFonts w:ascii="宋体" w:hAnsi="宋体"/>
          <w:sz w:val="24"/>
        </w:rPr>
      </w:pPr>
      <w:r>
        <w:rPr>
          <w:rFonts w:hint="eastAsia" w:ascii="宋体" w:hAnsi="宋体"/>
          <w:sz w:val="24"/>
        </w:rPr>
        <w:t>基金资产净值是指基金资产总值减去基金负债后的价值。</w:t>
      </w:r>
    </w:p>
    <w:p w14:paraId="5E7F8598">
      <w:pPr>
        <w:adjustRightInd w:val="0"/>
        <w:snapToGrid w:val="0"/>
        <w:spacing w:line="360" w:lineRule="auto"/>
        <w:ind w:firstLine="480" w:firstLineChars="200"/>
        <w:rPr>
          <w:rFonts w:ascii="宋体" w:hAnsi="宋体"/>
          <w:sz w:val="24"/>
        </w:rPr>
      </w:pPr>
      <w:r>
        <w:rPr>
          <w:rFonts w:hint="eastAsia"/>
          <w:bCs/>
          <w:sz w:val="24"/>
        </w:rPr>
        <w:t>各类基金份额的基金份额净值是按照每个估值日，该类基金份额的基金资产净值除以估值日该类基金份额的余额数量计算，精确到0.0001元，小数点后第5位四舍五入。基金管理人可以设立大额赎回情形下的净值精度应急调整机制，具体可参见相关公告。国家另有规定的，从其规定</w:t>
      </w:r>
      <w:r>
        <w:rPr>
          <w:rFonts w:hint="eastAsia" w:ascii="宋体" w:hAnsi="宋体"/>
          <w:sz w:val="24"/>
        </w:rPr>
        <w:t>。</w:t>
      </w:r>
    </w:p>
    <w:p w14:paraId="22AB97EA">
      <w:pPr>
        <w:adjustRightInd w:val="0"/>
        <w:snapToGrid w:val="0"/>
        <w:spacing w:line="360" w:lineRule="auto"/>
        <w:ind w:firstLine="480" w:firstLineChars="200"/>
        <w:rPr>
          <w:rFonts w:ascii="宋体" w:hAnsi="宋体"/>
          <w:sz w:val="24"/>
        </w:rPr>
      </w:pPr>
      <w:r>
        <w:rPr>
          <w:rFonts w:hint="eastAsia" w:ascii="宋体" w:hAnsi="宋体"/>
          <w:sz w:val="24"/>
        </w:rPr>
        <w:t>基金管理人于每个工作日分别计算</w:t>
      </w:r>
      <w:r>
        <w:rPr>
          <w:rFonts w:hint="eastAsia" w:ascii="宋体" w:hAnsi="宋体"/>
          <w:sz w:val="24"/>
          <w:lang w:val="en-US" w:eastAsia="zh-CN"/>
        </w:rPr>
        <w:t>各类</w:t>
      </w:r>
      <w:r>
        <w:rPr>
          <w:rFonts w:hint="eastAsia" w:ascii="宋体" w:hAnsi="宋体"/>
          <w:sz w:val="24"/>
        </w:rPr>
        <w:t>基金份额的基金资产净值及基金份额净值，并按规定公告。</w:t>
      </w:r>
      <w:r>
        <w:rPr>
          <w:rFonts w:hint="eastAsia" w:ascii="宋体" w:hAnsi="宋体"/>
          <w:bCs/>
          <w:sz w:val="24"/>
        </w:rPr>
        <w:t>如遇特殊情况，经履行适当程序，可以适当延迟计算或公告。</w:t>
      </w:r>
      <w:r>
        <w:rPr>
          <w:rFonts w:ascii="宋体" w:hAnsi="宋体" w:cs="Arial"/>
          <w:bCs/>
          <w:sz w:val="24"/>
        </w:rPr>
        <w:t>基金管理人应每个工作日对基金资产估值。</w:t>
      </w:r>
      <w:r>
        <w:rPr>
          <w:rFonts w:ascii="宋体" w:hAnsi="宋体" w:cs="Arial"/>
          <w:sz w:val="24"/>
        </w:rPr>
        <w:t>但基金管理人根据法律法规或基金合同的规定暂停估值时除外</w:t>
      </w:r>
      <w:r>
        <w:rPr>
          <w:rFonts w:ascii="宋体" w:hAnsi="宋体"/>
          <w:sz w:val="24"/>
        </w:rPr>
        <w:t>。</w:t>
      </w:r>
    </w:p>
    <w:p w14:paraId="2BEFA9E6">
      <w:pPr>
        <w:adjustRightInd w:val="0"/>
        <w:snapToGrid w:val="0"/>
        <w:spacing w:line="360" w:lineRule="auto"/>
        <w:ind w:firstLine="480" w:firstLineChars="200"/>
        <w:rPr>
          <w:rFonts w:ascii="宋体" w:hAnsi="宋体"/>
          <w:sz w:val="24"/>
        </w:rPr>
      </w:pPr>
      <w:r>
        <w:rPr>
          <w:rFonts w:ascii="宋体" w:hAnsi="宋体"/>
          <w:sz w:val="24"/>
        </w:rPr>
        <w:t>2.复核程序</w:t>
      </w:r>
    </w:p>
    <w:p w14:paraId="2455B7BF">
      <w:pPr>
        <w:adjustRightInd w:val="0"/>
        <w:snapToGrid w:val="0"/>
        <w:spacing w:line="360" w:lineRule="auto"/>
        <w:ind w:firstLine="480" w:firstLineChars="200"/>
        <w:rPr>
          <w:rFonts w:ascii="宋体" w:hAnsi="宋体"/>
          <w:sz w:val="24"/>
        </w:rPr>
      </w:pPr>
      <w:r>
        <w:rPr>
          <w:rFonts w:hint="eastAsia" w:ascii="宋体" w:hAnsi="宋体"/>
          <w:sz w:val="24"/>
        </w:rPr>
        <w:t>基金管理人每个工作日对基金资产进行估值后，将各类基金份额的基金资产净值、基金份额净值发送基金托管人，经基金托管人复核无误后，由基金管理人依据基金合同和相关法律法规的规定对外公布。</w:t>
      </w:r>
    </w:p>
    <w:p w14:paraId="0776D00A">
      <w:pPr>
        <w:adjustRightInd w:val="0"/>
        <w:snapToGrid w:val="0"/>
        <w:spacing w:line="360" w:lineRule="auto"/>
        <w:ind w:firstLine="480" w:firstLineChars="200"/>
        <w:rPr>
          <w:rFonts w:ascii="宋体" w:hAnsi="宋体"/>
          <w:sz w:val="24"/>
        </w:rPr>
      </w:pPr>
      <w:r>
        <w:rPr>
          <w:rFonts w:ascii="宋体" w:hAnsi="宋体"/>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p>
    <w:p w14:paraId="7417C534">
      <w:pPr>
        <w:adjustRightInd w:val="0"/>
        <w:snapToGrid w:val="0"/>
        <w:spacing w:line="360" w:lineRule="auto"/>
        <w:ind w:firstLine="480" w:firstLineChars="200"/>
        <w:rPr>
          <w:rFonts w:ascii="宋体" w:hAnsi="宋体"/>
          <w:sz w:val="24"/>
        </w:rPr>
      </w:pPr>
      <w:r>
        <w:rPr>
          <w:rFonts w:hint="eastAsia" w:ascii="宋体" w:hAnsi="宋体"/>
          <w:sz w:val="24"/>
        </w:rPr>
        <w:t>（二）基金资产的估值</w:t>
      </w:r>
    </w:p>
    <w:p w14:paraId="4EF55739">
      <w:pPr>
        <w:adjustRightInd w:val="0"/>
        <w:snapToGrid w:val="0"/>
        <w:spacing w:line="360" w:lineRule="auto"/>
        <w:ind w:firstLine="480" w:firstLineChars="200"/>
        <w:rPr>
          <w:rStyle w:val="34"/>
          <w:rFonts w:ascii="宋体" w:hAnsi="宋体"/>
          <w:sz w:val="24"/>
        </w:rPr>
      </w:pPr>
      <w:r>
        <w:rPr>
          <w:rFonts w:hint="eastAsia"/>
          <w:sz w:val="24"/>
        </w:rPr>
        <w:t>基金管理人及基金托管人应当按照《基金合同》的约定进行估值。</w:t>
      </w:r>
    </w:p>
    <w:p w14:paraId="351FFEF3">
      <w:pPr>
        <w:adjustRightInd w:val="0"/>
        <w:snapToGrid w:val="0"/>
        <w:spacing w:line="360" w:lineRule="auto"/>
        <w:ind w:firstLine="480" w:firstLineChars="200"/>
        <w:rPr>
          <w:rFonts w:ascii="宋体" w:hAnsi="宋体"/>
          <w:sz w:val="24"/>
        </w:rPr>
      </w:pPr>
      <w:r>
        <w:rPr>
          <w:rFonts w:hint="eastAsia" w:ascii="宋体" w:hAnsi="宋体"/>
          <w:sz w:val="24"/>
        </w:rPr>
        <w:t>（三）基金份额净值错误的处理方式</w:t>
      </w:r>
    </w:p>
    <w:p w14:paraId="27847091">
      <w:pPr>
        <w:adjustRightInd w:val="0"/>
        <w:snapToGrid w:val="0"/>
        <w:spacing w:line="360" w:lineRule="auto"/>
        <w:ind w:firstLine="480" w:firstLineChars="200"/>
        <w:rPr>
          <w:rFonts w:ascii="宋体" w:hAnsi="宋体"/>
          <w:sz w:val="24"/>
        </w:rPr>
      </w:pPr>
      <w:r>
        <w:rPr>
          <w:rFonts w:hint="eastAsia"/>
          <w:sz w:val="24"/>
        </w:rPr>
        <w:t>基金管理人及基金托管人应当按照《基金合同》的约定处理份额净值错误。</w:t>
      </w:r>
    </w:p>
    <w:p w14:paraId="1EDF3EAC">
      <w:pPr>
        <w:adjustRightInd w:val="0"/>
        <w:snapToGrid w:val="0"/>
        <w:spacing w:line="360" w:lineRule="auto"/>
        <w:ind w:firstLine="480" w:firstLineChars="200"/>
        <w:rPr>
          <w:rFonts w:ascii="宋体" w:hAnsi="宋体"/>
          <w:sz w:val="24"/>
        </w:rPr>
      </w:pPr>
      <w:r>
        <w:rPr>
          <w:rFonts w:hint="eastAsia" w:ascii="宋体" w:hAnsi="宋体"/>
          <w:sz w:val="24"/>
        </w:rPr>
        <w:t>（四）基金会计制度</w:t>
      </w:r>
    </w:p>
    <w:p w14:paraId="757417B6">
      <w:pPr>
        <w:adjustRightInd w:val="0"/>
        <w:snapToGrid w:val="0"/>
        <w:spacing w:line="360" w:lineRule="auto"/>
        <w:ind w:firstLine="480" w:firstLineChars="200"/>
        <w:rPr>
          <w:rFonts w:ascii="宋体" w:hAnsi="宋体"/>
          <w:sz w:val="24"/>
        </w:rPr>
      </w:pPr>
      <w:r>
        <w:rPr>
          <w:rFonts w:hint="eastAsia" w:ascii="宋体" w:hAnsi="宋体"/>
          <w:sz w:val="24"/>
        </w:rPr>
        <w:t>按国家有关部门规定的会计制度执行。</w:t>
      </w:r>
    </w:p>
    <w:p w14:paraId="01BE890C">
      <w:pPr>
        <w:adjustRightInd w:val="0"/>
        <w:snapToGrid w:val="0"/>
        <w:spacing w:line="360" w:lineRule="auto"/>
        <w:ind w:firstLine="480" w:firstLineChars="200"/>
        <w:rPr>
          <w:rFonts w:ascii="宋体" w:hAnsi="宋体"/>
          <w:sz w:val="24"/>
        </w:rPr>
      </w:pPr>
      <w:r>
        <w:rPr>
          <w:rFonts w:hint="eastAsia" w:ascii="宋体" w:hAnsi="宋体"/>
          <w:sz w:val="24"/>
        </w:rPr>
        <w:t>（五）基金账册的建立</w:t>
      </w:r>
    </w:p>
    <w:p w14:paraId="059C4271">
      <w:pPr>
        <w:adjustRightInd w:val="0"/>
        <w:snapToGrid w:val="0"/>
        <w:spacing w:line="360" w:lineRule="auto"/>
        <w:ind w:firstLine="480" w:firstLineChars="200"/>
        <w:rPr>
          <w:rFonts w:ascii="宋体" w:hAnsi="宋体"/>
          <w:sz w:val="24"/>
        </w:rPr>
      </w:pPr>
      <w:r>
        <w:rPr>
          <w:rFonts w:hint="eastAsia" w:ascii="宋体" w:hAnsi="宋体"/>
          <w:sz w:val="24"/>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14:paraId="56AD9B8E">
      <w:pPr>
        <w:adjustRightInd w:val="0"/>
        <w:snapToGrid w:val="0"/>
        <w:spacing w:line="360" w:lineRule="auto"/>
        <w:ind w:firstLine="480" w:firstLineChars="200"/>
        <w:rPr>
          <w:rFonts w:ascii="宋体" w:hAnsi="宋体"/>
          <w:sz w:val="24"/>
        </w:rPr>
      </w:pPr>
      <w:r>
        <w:rPr>
          <w:rFonts w:hint="eastAsia" w:ascii="宋体" w:hAnsi="宋体"/>
          <w:sz w:val="24"/>
        </w:rPr>
        <w:t>（六）基金财务报表与报告的编制和复核</w:t>
      </w:r>
    </w:p>
    <w:p w14:paraId="5D357163">
      <w:pPr>
        <w:adjustRightInd w:val="0"/>
        <w:snapToGrid w:val="0"/>
        <w:spacing w:line="360" w:lineRule="auto"/>
        <w:ind w:firstLine="480" w:firstLineChars="200"/>
        <w:rPr>
          <w:rFonts w:ascii="宋体" w:hAnsi="宋体"/>
          <w:sz w:val="24"/>
        </w:rPr>
      </w:pPr>
      <w:r>
        <w:rPr>
          <w:rFonts w:ascii="宋体" w:hAnsi="宋体"/>
          <w:sz w:val="24"/>
        </w:rPr>
        <w:t>1.财务报表的编制</w:t>
      </w:r>
    </w:p>
    <w:p w14:paraId="664BD993">
      <w:pPr>
        <w:adjustRightInd w:val="0"/>
        <w:snapToGrid w:val="0"/>
        <w:spacing w:line="360" w:lineRule="auto"/>
        <w:ind w:firstLine="480" w:firstLineChars="200"/>
        <w:rPr>
          <w:rFonts w:ascii="宋体" w:hAnsi="宋体"/>
          <w:sz w:val="24"/>
        </w:rPr>
      </w:pPr>
      <w:r>
        <w:rPr>
          <w:rFonts w:hint="eastAsia" w:ascii="宋体" w:hAnsi="宋体"/>
          <w:sz w:val="24"/>
        </w:rPr>
        <w:t>基金财务报表由基金管理人编制，基金托管人复核。</w:t>
      </w:r>
    </w:p>
    <w:p w14:paraId="06E6CADA">
      <w:pPr>
        <w:adjustRightInd w:val="0"/>
        <w:snapToGrid w:val="0"/>
        <w:spacing w:line="360" w:lineRule="auto"/>
        <w:ind w:firstLine="480" w:firstLineChars="200"/>
        <w:rPr>
          <w:rFonts w:ascii="宋体" w:hAnsi="宋体"/>
          <w:sz w:val="24"/>
        </w:rPr>
      </w:pPr>
      <w:r>
        <w:rPr>
          <w:rFonts w:ascii="宋体" w:hAnsi="宋体"/>
          <w:sz w:val="24"/>
        </w:rPr>
        <w:t>2.报表复核</w:t>
      </w:r>
    </w:p>
    <w:p w14:paraId="5F00B6A1">
      <w:pPr>
        <w:adjustRightInd w:val="0"/>
        <w:snapToGrid w:val="0"/>
        <w:spacing w:line="360" w:lineRule="auto"/>
        <w:ind w:firstLine="480" w:firstLineChars="200"/>
        <w:rPr>
          <w:rFonts w:ascii="宋体" w:hAnsi="宋体"/>
          <w:sz w:val="24"/>
        </w:rPr>
      </w:pPr>
      <w:r>
        <w:rPr>
          <w:rFonts w:hint="eastAsia" w:ascii="宋体" w:hAnsi="宋体"/>
          <w:sz w:val="24"/>
        </w:rPr>
        <w:t>基金托管人在收到基金管理人编制的基金财务报表后，进行独立的复核。核对不符时，应及时通知基金管理人共同查出原因，进行调整，直至双方数据完全一致。</w:t>
      </w:r>
    </w:p>
    <w:p w14:paraId="396B297D">
      <w:pPr>
        <w:adjustRightInd w:val="0"/>
        <w:snapToGrid w:val="0"/>
        <w:spacing w:line="360" w:lineRule="auto"/>
        <w:ind w:firstLine="480" w:firstLineChars="200"/>
        <w:rPr>
          <w:rFonts w:ascii="宋体" w:hAnsi="宋体"/>
          <w:sz w:val="24"/>
        </w:rPr>
      </w:pPr>
      <w:r>
        <w:rPr>
          <w:rFonts w:ascii="宋体" w:hAnsi="宋体"/>
          <w:sz w:val="24"/>
        </w:rPr>
        <w:t>3.财务报表的编制与复核时间安排</w:t>
      </w:r>
    </w:p>
    <w:p w14:paraId="5F236292">
      <w:pPr>
        <w:adjustRightInd w:val="0"/>
        <w:snapToGrid w:val="0"/>
        <w:spacing w:line="360" w:lineRule="auto"/>
        <w:ind w:firstLine="480" w:firstLineChars="200"/>
        <w:rPr>
          <w:rFonts w:ascii="宋体" w:hAnsi="宋体"/>
          <w:sz w:val="24"/>
        </w:rPr>
      </w:pPr>
      <w:r>
        <w:rPr>
          <w:rFonts w:hint="eastAsia" w:ascii="宋体" w:hAnsi="宋体"/>
          <w:sz w:val="24"/>
        </w:rPr>
        <w:t>基金管理人、基金托管人应当在每月结束后</w:t>
      </w:r>
      <w:r>
        <w:rPr>
          <w:rFonts w:ascii="宋体" w:hAnsi="宋体"/>
          <w:sz w:val="24"/>
        </w:rPr>
        <w:t>5</w:t>
      </w:r>
      <w:r>
        <w:rPr>
          <w:rFonts w:hint="eastAsia" w:ascii="宋体" w:hAnsi="宋体"/>
          <w:sz w:val="24"/>
        </w:rPr>
        <w:t>个工作日内完成月度报表的编制及复核；在季度结束之日起</w:t>
      </w:r>
      <w:r>
        <w:rPr>
          <w:rFonts w:ascii="宋体" w:hAnsi="宋体"/>
          <w:sz w:val="24"/>
        </w:rPr>
        <w:t>15</w:t>
      </w:r>
      <w:r>
        <w:rPr>
          <w:rFonts w:hint="eastAsia" w:ascii="宋体" w:hAnsi="宋体"/>
          <w:sz w:val="24"/>
        </w:rPr>
        <w:t>个工作日内完成基金季度报告的编制及复核；在上半年结束之日起两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中的财务会计报告应当经过符合《中华人民共和国证券法》规定的会计师事务所审计。基金合同生效不足两个月的，基金管理人可以不编制当期季度报告、中期报告或者年度报告。</w:t>
      </w:r>
    </w:p>
    <w:p w14:paraId="5DB775BD">
      <w:pPr>
        <w:adjustRightInd w:val="0"/>
        <w:snapToGrid w:val="0"/>
        <w:spacing w:line="360" w:lineRule="auto"/>
        <w:ind w:firstLine="480" w:firstLineChars="200"/>
        <w:rPr>
          <w:rFonts w:ascii="宋体" w:hAnsi="宋体"/>
          <w:sz w:val="24"/>
        </w:rPr>
      </w:pPr>
      <w:r>
        <w:rPr>
          <w:rFonts w:hint="eastAsia" w:ascii="宋体" w:hAnsi="宋体"/>
          <w:sz w:val="24"/>
        </w:rPr>
        <w:t>（七）在有需要时，基金管理人应每季度向基金托管人提供基金业绩比较基准的基础数据和编制结果。</w:t>
      </w:r>
    </w:p>
    <w:p w14:paraId="02AF33C2">
      <w:pPr>
        <w:adjustRightInd w:val="0"/>
        <w:snapToGrid w:val="0"/>
        <w:spacing w:line="360" w:lineRule="auto"/>
        <w:ind w:firstLine="480" w:firstLineChars="200"/>
        <w:rPr>
          <w:rFonts w:ascii="宋体" w:hAnsi="宋体"/>
          <w:sz w:val="24"/>
        </w:rPr>
      </w:pPr>
      <w:r>
        <w:rPr>
          <w:rFonts w:hint="eastAsia" w:ascii="宋体" w:hAnsi="宋体"/>
          <w:sz w:val="24"/>
        </w:rPr>
        <w:t>（八）实施侧袋机制期间的基金资产估值</w:t>
      </w:r>
    </w:p>
    <w:p w14:paraId="10C613AD">
      <w:pPr>
        <w:adjustRightInd w:val="0"/>
        <w:snapToGrid w:val="0"/>
        <w:spacing w:line="360" w:lineRule="auto"/>
        <w:ind w:firstLine="480" w:firstLineChars="200"/>
        <w:rPr>
          <w:rFonts w:ascii="宋体" w:hAnsi="宋体"/>
          <w:sz w:val="24"/>
        </w:rPr>
      </w:pPr>
      <w:r>
        <w:rPr>
          <w:rFonts w:hint="eastAsia" w:ascii="宋体" w:hAnsi="宋体"/>
          <w:sz w:val="24"/>
        </w:rPr>
        <w:t>本基金实施侧袋机制的，应根据基金合同的约定对主袋账户资产进行估值并披露主袋账户的基金净值信息，暂停披露侧袋账户份额净值。</w:t>
      </w:r>
    </w:p>
    <w:p w14:paraId="19ED9EDB">
      <w:pPr>
        <w:adjustRightInd w:val="0"/>
        <w:snapToGrid w:val="0"/>
        <w:spacing w:line="360" w:lineRule="auto"/>
        <w:ind w:firstLine="480" w:firstLineChars="200"/>
        <w:rPr>
          <w:rFonts w:ascii="宋体" w:hAnsi="宋体"/>
          <w:sz w:val="24"/>
        </w:rPr>
      </w:pPr>
    </w:p>
    <w:p w14:paraId="4BF3E437">
      <w:pPr>
        <w:pStyle w:val="3"/>
        <w:spacing w:before="312" w:beforeLines="100" w:after="156" w:afterLines="50" w:line="360" w:lineRule="auto"/>
        <w:jc w:val="center"/>
        <w:rPr>
          <w:rFonts w:ascii="宋体" w:hAnsi="宋体"/>
          <w:sz w:val="24"/>
        </w:rPr>
      </w:pPr>
      <w:r>
        <w:rPr>
          <w:rFonts w:ascii="宋体" w:hAnsi="宋体"/>
          <w:sz w:val="24"/>
        </w:rPr>
        <w:br w:type="page"/>
      </w:r>
      <w:bookmarkStart w:id="106" w:name="_Toc488938618"/>
      <w:bookmarkStart w:id="107" w:name="_Toc348082037"/>
      <w:bookmarkStart w:id="108" w:name="_Toc384992699"/>
      <w:r>
        <w:rPr>
          <w:rFonts w:hint="eastAsia" w:ascii="宋体" w:hAnsi="宋体"/>
          <w:sz w:val="24"/>
        </w:rPr>
        <w:t>九、基金收益分配</w:t>
      </w:r>
      <w:bookmarkEnd w:id="106"/>
      <w:bookmarkEnd w:id="107"/>
      <w:bookmarkEnd w:id="108"/>
    </w:p>
    <w:p w14:paraId="6686F5B5">
      <w:pPr>
        <w:adjustRightInd w:val="0"/>
        <w:snapToGrid w:val="0"/>
        <w:spacing w:line="360" w:lineRule="auto"/>
        <w:ind w:firstLine="480" w:firstLineChars="200"/>
        <w:rPr>
          <w:rFonts w:ascii="宋体" w:hAnsi="宋体"/>
          <w:sz w:val="24"/>
        </w:rPr>
      </w:pPr>
      <w:r>
        <w:rPr>
          <w:rFonts w:hint="eastAsia"/>
          <w:sz w:val="24"/>
        </w:rPr>
        <w:t>基金管理人与基金托管人按照《基金合同》的约定处理基金收益分配。</w:t>
      </w:r>
    </w:p>
    <w:p w14:paraId="628D17E3">
      <w:pPr>
        <w:adjustRightInd w:val="0"/>
        <w:snapToGrid w:val="0"/>
        <w:spacing w:line="360" w:lineRule="auto"/>
        <w:rPr>
          <w:rFonts w:ascii="宋体" w:hAnsi="宋体"/>
          <w:sz w:val="24"/>
        </w:rPr>
      </w:pPr>
    </w:p>
    <w:p w14:paraId="59DA5853">
      <w:pPr>
        <w:pStyle w:val="3"/>
        <w:spacing w:before="312" w:beforeLines="100" w:after="156" w:afterLines="50" w:line="360" w:lineRule="auto"/>
        <w:jc w:val="center"/>
        <w:rPr>
          <w:rFonts w:ascii="宋体" w:hAnsi="宋体"/>
          <w:sz w:val="24"/>
        </w:rPr>
      </w:pPr>
      <w:r>
        <w:rPr>
          <w:rFonts w:ascii="宋体" w:hAnsi="宋体"/>
          <w:sz w:val="24"/>
        </w:rPr>
        <w:br w:type="page"/>
      </w:r>
      <w:bookmarkStart w:id="109" w:name="_Toc488938619"/>
      <w:bookmarkStart w:id="110" w:name="_Toc348082038"/>
      <w:bookmarkStart w:id="111" w:name="_Toc384992700"/>
      <w:r>
        <w:rPr>
          <w:rFonts w:hint="eastAsia" w:ascii="宋体" w:hAnsi="宋体"/>
          <w:sz w:val="24"/>
        </w:rPr>
        <w:t>十、基金信息披露</w:t>
      </w:r>
      <w:bookmarkEnd w:id="109"/>
      <w:bookmarkEnd w:id="110"/>
      <w:bookmarkEnd w:id="111"/>
    </w:p>
    <w:p w14:paraId="287B4178">
      <w:pPr>
        <w:adjustRightInd w:val="0"/>
        <w:snapToGrid w:val="0"/>
        <w:spacing w:line="360" w:lineRule="auto"/>
        <w:ind w:firstLine="480" w:firstLineChars="200"/>
        <w:rPr>
          <w:rFonts w:ascii="宋体" w:hAnsi="宋体"/>
          <w:sz w:val="24"/>
        </w:rPr>
      </w:pPr>
      <w:r>
        <w:rPr>
          <w:rFonts w:hint="eastAsia" w:ascii="宋体" w:hAnsi="宋体"/>
          <w:sz w:val="24"/>
        </w:rPr>
        <w:t>（一）保密义务</w:t>
      </w:r>
    </w:p>
    <w:p w14:paraId="1B8B5FDA">
      <w:pPr>
        <w:adjustRightInd w:val="0"/>
        <w:snapToGrid w:val="0"/>
        <w:spacing w:line="360" w:lineRule="auto"/>
        <w:ind w:firstLine="480" w:firstLineChars="200"/>
        <w:rPr>
          <w:rFonts w:ascii="宋体" w:hAnsi="宋体"/>
          <w:sz w:val="24"/>
        </w:rPr>
      </w:pPr>
      <w:r>
        <w:rPr>
          <w:rFonts w:hint="eastAsia" w:ascii="宋体" w:hAnsi="宋体"/>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4CE8FE12">
      <w:pPr>
        <w:adjustRightInd w:val="0"/>
        <w:snapToGrid w:val="0"/>
        <w:spacing w:line="360" w:lineRule="auto"/>
        <w:ind w:firstLine="480" w:firstLineChars="200"/>
        <w:rPr>
          <w:rFonts w:ascii="宋体" w:hAnsi="宋体"/>
          <w:sz w:val="24"/>
        </w:rPr>
      </w:pPr>
      <w:r>
        <w:rPr>
          <w:rFonts w:ascii="宋体" w:hAnsi="宋体"/>
          <w:sz w:val="24"/>
        </w:rPr>
        <w:t>1.非因基金管理人和基金托管人的原因导致保密信息被披露、泄露或公开；</w:t>
      </w:r>
    </w:p>
    <w:p w14:paraId="2167C425">
      <w:pPr>
        <w:adjustRightInd w:val="0"/>
        <w:snapToGrid w:val="0"/>
        <w:spacing w:line="360" w:lineRule="auto"/>
        <w:ind w:firstLine="480" w:firstLineChars="200"/>
        <w:rPr>
          <w:rFonts w:ascii="宋体" w:hAnsi="宋体"/>
          <w:sz w:val="24"/>
        </w:rPr>
      </w:pPr>
      <w:r>
        <w:rPr>
          <w:rFonts w:ascii="宋体" w:hAnsi="宋体"/>
          <w:sz w:val="24"/>
        </w:rPr>
        <w:t>2.基金管理人和基金托管人为遵守和服从法院判决或裁定、仲裁裁决或中国证监会等监管机构的命令、决定所做出的信息披露或公开。</w:t>
      </w:r>
    </w:p>
    <w:p w14:paraId="24DC7D7C">
      <w:pPr>
        <w:adjustRightInd w:val="0"/>
        <w:snapToGrid w:val="0"/>
        <w:spacing w:line="360" w:lineRule="auto"/>
        <w:ind w:firstLine="480" w:firstLineChars="200"/>
        <w:rPr>
          <w:rFonts w:ascii="宋体" w:hAnsi="宋体"/>
          <w:sz w:val="24"/>
        </w:rPr>
      </w:pPr>
      <w:r>
        <w:rPr>
          <w:rFonts w:hint="eastAsia" w:ascii="宋体" w:hAnsi="宋体"/>
          <w:sz w:val="24"/>
        </w:rPr>
        <w:t>（二）信息披露的内容</w:t>
      </w:r>
    </w:p>
    <w:p w14:paraId="39C6C0CF">
      <w:pPr>
        <w:adjustRightInd w:val="0"/>
        <w:snapToGrid w:val="0"/>
        <w:spacing w:line="360" w:lineRule="auto"/>
        <w:ind w:firstLine="480" w:firstLineChars="200"/>
        <w:rPr>
          <w:rFonts w:ascii="宋体" w:hAnsi="宋体"/>
          <w:sz w:val="24"/>
        </w:rPr>
      </w:pPr>
      <w:r>
        <w:rPr>
          <w:rFonts w:hint="eastAsia" w:ascii="宋体" w:hAnsi="宋体"/>
          <w:sz w:val="24"/>
        </w:rPr>
        <w:t>基金的信息披露内容主要包括基金招募说明书、基金合同、托管协议、基金产品资料概要、基金份额发售公告、基金合同生效公告、基金净值信息、基金份额</w:t>
      </w:r>
      <w:r>
        <w:rPr>
          <w:rFonts w:ascii="宋体" w:hAnsi="宋体"/>
          <w:sz w:val="24"/>
        </w:rPr>
        <w:t>申购</w:t>
      </w:r>
      <w:r>
        <w:rPr>
          <w:rFonts w:hint="eastAsia" w:ascii="宋体" w:hAnsi="宋体"/>
          <w:sz w:val="24"/>
        </w:rPr>
        <w:t>、</w:t>
      </w:r>
      <w:r>
        <w:rPr>
          <w:rFonts w:ascii="宋体" w:hAnsi="宋体"/>
          <w:sz w:val="24"/>
        </w:rPr>
        <w:t>赎回价格</w:t>
      </w:r>
      <w:r>
        <w:rPr>
          <w:rFonts w:hint="eastAsia" w:ascii="宋体" w:hAnsi="宋体"/>
          <w:sz w:val="24"/>
        </w:rPr>
        <w:t>、基金定期报告（包括基金年度报告、基金中期报告和基金季度报告）、临时报告、澄清公告、基金份额持有人大会决议、实施侧袋机制期间的信息披露、清算报告、基金投资资产支持证券、流通受限证券的情况、中国证监会规定的其他信息。基金年度报告需经</w:t>
      </w:r>
      <w:r>
        <w:rPr>
          <w:rFonts w:hint="eastAsia"/>
          <w:bCs/>
          <w:sz w:val="24"/>
        </w:rPr>
        <w:t>符合《中华人民共和国证券法》规定</w:t>
      </w:r>
      <w:r>
        <w:rPr>
          <w:rFonts w:hint="eastAsia" w:ascii="宋体" w:hAnsi="宋体"/>
          <w:sz w:val="24"/>
        </w:rPr>
        <w:t>的会计师事务所审计后，方可披露。</w:t>
      </w:r>
    </w:p>
    <w:p w14:paraId="18DF98F9">
      <w:pPr>
        <w:adjustRightInd w:val="0"/>
        <w:snapToGrid w:val="0"/>
        <w:spacing w:line="360" w:lineRule="auto"/>
        <w:ind w:firstLine="480" w:firstLineChars="200"/>
        <w:rPr>
          <w:rFonts w:ascii="宋体" w:hAnsi="宋体"/>
          <w:sz w:val="24"/>
        </w:rPr>
      </w:pPr>
      <w:r>
        <w:rPr>
          <w:rFonts w:hint="eastAsia" w:ascii="宋体" w:hAnsi="宋体"/>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11901C5B">
      <w:pPr>
        <w:adjustRightInd w:val="0"/>
        <w:snapToGrid w:val="0"/>
        <w:spacing w:line="360" w:lineRule="auto"/>
        <w:ind w:firstLine="480" w:firstLineChars="200"/>
        <w:rPr>
          <w:rFonts w:ascii="宋体" w:hAnsi="宋体"/>
          <w:bCs/>
          <w:sz w:val="24"/>
        </w:rPr>
      </w:pPr>
      <w:r>
        <w:rPr>
          <w:rFonts w:hint="eastAsia" w:ascii="宋体" w:hAnsi="宋体"/>
          <w:bCs/>
          <w:sz w:val="24"/>
        </w:rPr>
        <w:t>本基金投资流通受限证券，基金管理人应在本基金投资非公开发行股票后两个交易日内，在中国证监会规定媒介披露所投资非公开发行股票的名称、数量、总成本、账面价值，以及总成本和账面价值占基金资产净值的比例、锁定期等信息。</w:t>
      </w:r>
    </w:p>
    <w:p w14:paraId="0ED50F88">
      <w:pPr>
        <w:adjustRightInd w:val="0"/>
        <w:snapToGrid w:val="0"/>
        <w:spacing w:line="360" w:lineRule="auto"/>
        <w:ind w:firstLine="480" w:firstLineChars="200"/>
        <w:rPr>
          <w:rFonts w:ascii="宋体" w:hAnsi="宋体"/>
          <w:bCs/>
          <w:sz w:val="24"/>
        </w:rPr>
      </w:pPr>
      <w:r>
        <w:rPr>
          <w:rFonts w:hint="eastAsia" w:ascii="宋体" w:hAnsi="宋体"/>
          <w:bCs/>
          <w:sz w:val="24"/>
        </w:rPr>
        <w:t>本基金在定期报告和招募说明书（更新）中应设立专门章节披露所持基金的相关情况并揭示相关风险：1、投资策略、持仓情况、损益情况、净值披露时间等；2、交易及持有基金产生的费用，包括申购费、赎回费、销售服务费、管理费、托管费等，在招募说明书（更新）中列明计算方法并举例说明；3、持有的基金发生的重大影响事件，如转换运作方式、与其他基金合并、终止基金合同以及召开基金份额持有人大会等；4、本基金投资于基金管理人以及基金管理人关联方所管理基金的情况。</w:t>
      </w:r>
    </w:p>
    <w:p w14:paraId="08E3C660">
      <w:pPr>
        <w:adjustRightInd w:val="0"/>
        <w:snapToGrid w:val="0"/>
        <w:spacing w:line="360" w:lineRule="auto"/>
        <w:ind w:firstLine="480" w:firstLineChars="200"/>
        <w:rPr>
          <w:rFonts w:ascii="宋体" w:hAnsi="宋体"/>
          <w:sz w:val="24"/>
        </w:rPr>
      </w:pPr>
      <w:r>
        <w:rPr>
          <w:rFonts w:hint="eastAsia" w:ascii="宋体" w:hAnsi="宋体"/>
          <w:sz w:val="24"/>
        </w:rPr>
        <w:t>（三）基金托管人和基金管理人在信息披露中的职责和信息披露程序</w:t>
      </w:r>
    </w:p>
    <w:p w14:paraId="253E070D">
      <w:pPr>
        <w:adjustRightInd w:val="0"/>
        <w:snapToGrid w:val="0"/>
        <w:spacing w:line="360" w:lineRule="auto"/>
        <w:ind w:firstLine="480" w:firstLineChars="200"/>
        <w:rPr>
          <w:rFonts w:ascii="宋体" w:hAnsi="宋体"/>
          <w:sz w:val="24"/>
        </w:rPr>
      </w:pPr>
      <w:r>
        <w:rPr>
          <w:rFonts w:ascii="宋体" w:hAnsi="宋体"/>
          <w:sz w:val="24"/>
        </w:rPr>
        <w:t>1.职责</w:t>
      </w:r>
    </w:p>
    <w:p w14:paraId="57A13DB6">
      <w:pPr>
        <w:adjustRightInd w:val="0"/>
        <w:snapToGrid w:val="0"/>
        <w:spacing w:line="360" w:lineRule="auto"/>
        <w:ind w:firstLine="480" w:firstLineChars="200"/>
        <w:rPr>
          <w:rFonts w:ascii="宋体" w:hAnsi="宋体"/>
          <w:sz w:val="24"/>
        </w:rPr>
      </w:pPr>
      <w:r>
        <w:rPr>
          <w:rFonts w:hint="eastAsia" w:ascii="宋体" w:hAnsi="宋体"/>
          <w:sz w:val="24"/>
        </w:rPr>
        <w:t>基金托管人和基金管理人在信息披露过程中应以保护基金份额持有人利益为宗旨，诚实信用，严守秘密。基金管理人负责办理与基金有关的信息披露事宜，对于根据相关法律法规和基金合同规定的需要由基金托管人复核的信息披露文件，在经基金托管人复核无误后，由基金管理人予以公布。</w:t>
      </w:r>
    </w:p>
    <w:p w14:paraId="5FC94D9A">
      <w:pPr>
        <w:adjustRightInd w:val="0"/>
        <w:snapToGrid w:val="0"/>
        <w:spacing w:line="360" w:lineRule="auto"/>
        <w:ind w:firstLine="480" w:firstLineChars="200"/>
        <w:rPr>
          <w:rFonts w:ascii="宋体" w:hAnsi="宋体"/>
          <w:sz w:val="24"/>
        </w:rPr>
      </w:pPr>
      <w:r>
        <w:rPr>
          <w:rFonts w:hint="eastAsia" w:ascii="宋体" w:hAnsi="宋体"/>
          <w:sz w:val="24"/>
        </w:rPr>
        <w:t>基金管理人和基金托管人应积极配合、互相监督，保证其履行按照法定方式和限时披露的义务。</w:t>
      </w:r>
    </w:p>
    <w:p w14:paraId="48B2E8A8">
      <w:pPr>
        <w:adjustRightInd w:val="0"/>
        <w:snapToGrid w:val="0"/>
        <w:spacing w:line="360" w:lineRule="auto"/>
        <w:ind w:firstLine="480" w:firstLineChars="200"/>
        <w:rPr>
          <w:rFonts w:ascii="宋体" w:hAnsi="宋体"/>
          <w:sz w:val="24"/>
        </w:rPr>
      </w:pPr>
      <w:r>
        <w:rPr>
          <w:rFonts w:hint="eastAsia" w:ascii="宋体" w:hAnsi="宋体"/>
          <w:sz w:val="24"/>
        </w:rPr>
        <w:t>基金管理人应当在中国证监会规定的时间内，将应予披露的基金信息通过中国证监会规定的媒介披露。根据法律法规应由基金托管人公开披露的信息，基金托管人在规定媒介公开披露。</w:t>
      </w:r>
    </w:p>
    <w:p w14:paraId="12945B76">
      <w:pPr>
        <w:adjustRightInd w:val="0"/>
        <w:snapToGrid w:val="0"/>
        <w:spacing w:line="360" w:lineRule="auto"/>
        <w:ind w:firstLine="480" w:firstLineChars="200"/>
        <w:rPr>
          <w:rFonts w:ascii="宋体" w:hAnsi="宋体"/>
          <w:sz w:val="24"/>
        </w:rPr>
      </w:pPr>
      <w:r>
        <w:rPr>
          <w:rFonts w:hint="eastAsia" w:ascii="宋体" w:hAnsi="宋体"/>
          <w:sz w:val="24"/>
        </w:rPr>
        <w:t>当出现下述情况时，基金管理人和基金托管人可暂停或延迟披露基金相关信息：</w:t>
      </w:r>
    </w:p>
    <w:p w14:paraId="60857CF5">
      <w:pPr>
        <w:adjustRightInd w:val="0"/>
        <w:snapToGrid w:val="0"/>
        <w:spacing w:line="360" w:lineRule="auto"/>
        <w:ind w:firstLine="480" w:firstLineChars="200"/>
        <w:rPr>
          <w:rFonts w:ascii="宋体" w:hAnsi="宋体"/>
          <w:sz w:val="24"/>
        </w:rPr>
      </w:pPr>
      <w:r>
        <w:rPr>
          <w:rFonts w:ascii="宋体" w:hAnsi="宋体"/>
          <w:sz w:val="24"/>
        </w:rPr>
        <w:t>(1)</w:t>
      </w:r>
      <w:r>
        <w:rPr>
          <w:rFonts w:hint="eastAsia" w:ascii="宋体" w:hAnsi="宋体"/>
          <w:sz w:val="24"/>
        </w:rPr>
        <w:t>不可抗力；</w:t>
      </w:r>
    </w:p>
    <w:p w14:paraId="7C179A97">
      <w:pPr>
        <w:adjustRightInd w:val="0"/>
        <w:snapToGrid w:val="0"/>
        <w:spacing w:line="360" w:lineRule="auto"/>
        <w:ind w:firstLine="480" w:firstLineChars="200"/>
        <w:rPr>
          <w:rFonts w:hAnsi="宋体"/>
          <w:sz w:val="24"/>
        </w:rPr>
      </w:pPr>
      <w:r>
        <w:rPr>
          <w:rFonts w:ascii="宋体" w:hAnsi="宋体"/>
          <w:sz w:val="24"/>
        </w:rPr>
        <w:t>(2)基金投资所涉及的证券</w:t>
      </w:r>
      <w:r>
        <w:rPr>
          <w:rFonts w:hint="eastAsia" w:ascii="宋体" w:hAnsi="宋体"/>
          <w:sz w:val="24"/>
        </w:rPr>
        <w:t>交易市场遇法定节假日或因其他原因暂停营业时；</w:t>
      </w:r>
    </w:p>
    <w:p w14:paraId="3842A5BD">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法律法规、基金合同或中国证监会规定的情况。</w:t>
      </w:r>
    </w:p>
    <w:p w14:paraId="6FDD05F8">
      <w:pPr>
        <w:adjustRightInd w:val="0"/>
        <w:snapToGrid w:val="0"/>
        <w:spacing w:line="360" w:lineRule="auto"/>
        <w:ind w:firstLine="480" w:firstLineChars="200"/>
        <w:rPr>
          <w:rFonts w:ascii="宋体" w:hAnsi="宋体"/>
          <w:sz w:val="24"/>
        </w:rPr>
      </w:pPr>
      <w:r>
        <w:rPr>
          <w:rFonts w:ascii="宋体" w:hAnsi="宋体"/>
          <w:sz w:val="24"/>
        </w:rPr>
        <w:t>2.程序</w:t>
      </w:r>
    </w:p>
    <w:p w14:paraId="0D3AF1C9">
      <w:pPr>
        <w:adjustRightInd w:val="0"/>
        <w:snapToGrid w:val="0"/>
        <w:spacing w:line="360" w:lineRule="auto"/>
        <w:ind w:firstLine="480" w:firstLineChars="200"/>
        <w:rPr>
          <w:rFonts w:ascii="宋体" w:hAnsi="宋体"/>
          <w:sz w:val="24"/>
        </w:rPr>
      </w:pPr>
      <w:r>
        <w:rPr>
          <w:rFonts w:hint="eastAsia" w:ascii="宋体" w:hAnsi="宋体"/>
          <w:sz w:val="24"/>
        </w:rPr>
        <w:t>按有关规定须经基金托管人复核的信息披露文件，由基金管理人起草、并经基金托管人复核后由基金管理人公告。发生基金合同中规定需要披露的事项时，按基金合同规定公布。</w:t>
      </w:r>
    </w:p>
    <w:p w14:paraId="295A54B5">
      <w:pPr>
        <w:adjustRightInd w:val="0"/>
        <w:snapToGrid w:val="0"/>
        <w:spacing w:line="360" w:lineRule="auto"/>
        <w:ind w:firstLine="480" w:firstLineChars="200"/>
        <w:rPr>
          <w:rFonts w:ascii="宋体" w:hAnsi="宋体"/>
          <w:sz w:val="24"/>
        </w:rPr>
      </w:pPr>
      <w:r>
        <w:rPr>
          <w:rFonts w:ascii="宋体" w:hAnsi="宋体"/>
          <w:sz w:val="24"/>
        </w:rPr>
        <w:t>3.信息文本的存放</w:t>
      </w:r>
    </w:p>
    <w:p w14:paraId="09706F6F">
      <w:pPr>
        <w:pStyle w:val="4"/>
        <w:adjustRightInd w:val="0"/>
        <w:snapToGrid w:val="0"/>
        <w:spacing w:line="360" w:lineRule="auto"/>
        <w:ind w:firstLine="480"/>
        <w:rPr>
          <w:rFonts w:ascii="宋体" w:hAnsi="宋体"/>
          <w:sz w:val="24"/>
        </w:rPr>
      </w:pPr>
      <w:r>
        <w:rPr>
          <w:rFonts w:hint="eastAsia" w:ascii="宋体" w:hAnsi="宋体"/>
          <w:sz w:val="24"/>
        </w:rPr>
        <w:t>依法必须披露的信息发布后，基金管理人、基金托管人应当按照相关法律法规规定将信息置备于各自办公场所，供社会公众查阅、复制。</w:t>
      </w:r>
      <w:r>
        <w:rPr>
          <w:rFonts w:ascii="宋体" w:hAnsi="宋体"/>
          <w:sz w:val="24"/>
        </w:rPr>
        <w:t>投资者在支付工本费后可在合理时间获得上述文件的复制件或复印件。基金管理人和基金托管人应保证文本的内容与所公告的内容完全一致。</w:t>
      </w:r>
    </w:p>
    <w:p w14:paraId="396FBA55">
      <w:pPr>
        <w:pStyle w:val="4"/>
        <w:spacing w:line="360" w:lineRule="auto"/>
        <w:ind w:firstLine="0" w:firstLineChars="0"/>
        <w:rPr>
          <w:rFonts w:ascii="宋体" w:hAnsi="宋体"/>
          <w:sz w:val="24"/>
        </w:rPr>
      </w:pPr>
    </w:p>
    <w:p w14:paraId="0E4C33E3">
      <w:pPr>
        <w:pStyle w:val="3"/>
        <w:spacing w:before="312" w:beforeLines="100" w:after="156" w:afterLines="50" w:line="360" w:lineRule="auto"/>
        <w:jc w:val="center"/>
        <w:rPr>
          <w:rFonts w:ascii="宋体" w:hAnsi="宋体"/>
          <w:sz w:val="24"/>
        </w:rPr>
      </w:pPr>
      <w:r>
        <w:rPr>
          <w:rFonts w:ascii="宋体" w:hAnsi="宋体"/>
          <w:sz w:val="24"/>
        </w:rPr>
        <w:br w:type="page"/>
      </w:r>
      <w:bookmarkStart w:id="112" w:name="_Toc488938620"/>
      <w:bookmarkStart w:id="113" w:name="_Toc384992701"/>
      <w:bookmarkStart w:id="114" w:name="_Toc348082039"/>
      <w:r>
        <w:rPr>
          <w:rFonts w:hint="eastAsia" w:ascii="宋体" w:hAnsi="宋体"/>
          <w:sz w:val="24"/>
        </w:rPr>
        <w:t>十一、基金费用</w:t>
      </w:r>
      <w:bookmarkEnd w:id="112"/>
      <w:bookmarkEnd w:id="113"/>
      <w:bookmarkEnd w:id="114"/>
    </w:p>
    <w:p w14:paraId="1C6F3940">
      <w:pPr>
        <w:adjustRightInd w:val="0"/>
        <w:snapToGrid w:val="0"/>
        <w:spacing w:line="360" w:lineRule="auto"/>
        <w:ind w:firstLine="480" w:firstLineChars="200"/>
        <w:rPr>
          <w:rFonts w:ascii="宋体" w:hAnsi="宋体"/>
          <w:sz w:val="24"/>
        </w:rPr>
      </w:pPr>
      <w:r>
        <w:rPr>
          <w:rFonts w:hint="eastAsia"/>
          <w:sz w:val="24"/>
        </w:rPr>
        <w:t>基</w:t>
      </w:r>
      <w:r>
        <w:rPr>
          <w:rFonts w:hint="eastAsia" w:hAnsi="宋体"/>
          <w:sz w:val="24"/>
        </w:rPr>
        <w:t>金费用按照《基金合同》的约定计提和支付</w:t>
      </w:r>
      <w:r>
        <w:rPr>
          <w:rFonts w:hint="eastAsia" w:ascii="宋体" w:hAnsi="宋体"/>
          <w:color w:val="000000"/>
          <w:sz w:val="24"/>
        </w:rPr>
        <w:t>。</w:t>
      </w:r>
    </w:p>
    <w:p w14:paraId="71F3FF0C">
      <w:pPr>
        <w:pStyle w:val="3"/>
        <w:spacing w:before="312" w:beforeLines="100" w:after="156" w:afterLines="50" w:line="360" w:lineRule="auto"/>
        <w:jc w:val="center"/>
        <w:rPr>
          <w:rFonts w:ascii="宋体" w:hAnsi="宋体"/>
          <w:sz w:val="21"/>
        </w:rPr>
      </w:pPr>
      <w:r>
        <w:rPr>
          <w:rFonts w:ascii="宋体" w:hAnsi="宋体"/>
          <w:sz w:val="21"/>
        </w:rPr>
        <w:br w:type="page"/>
      </w:r>
      <w:bookmarkStart w:id="115" w:name="_Toc384992702"/>
      <w:bookmarkStart w:id="116" w:name="_Toc488938621"/>
      <w:bookmarkStart w:id="117" w:name="_Toc348082040"/>
      <w:r>
        <w:rPr>
          <w:rFonts w:hint="eastAsia" w:ascii="宋体" w:hAnsi="宋体"/>
          <w:sz w:val="24"/>
        </w:rPr>
        <w:t>十二、基金份额持有人名册的保管</w:t>
      </w:r>
      <w:bookmarkEnd w:id="115"/>
      <w:bookmarkEnd w:id="116"/>
      <w:bookmarkEnd w:id="117"/>
    </w:p>
    <w:p w14:paraId="388C7568">
      <w:pPr>
        <w:adjustRightInd w:val="0"/>
        <w:snapToGrid w:val="0"/>
        <w:spacing w:line="360" w:lineRule="auto"/>
        <w:ind w:firstLine="480" w:firstLineChars="200"/>
        <w:rPr>
          <w:rFonts w:ascii="宋体" w:hAnsi="宋体"/>
          <w:sz w:val="24"/>
        </w:rPr>
      </w:pPr>
      <w:r>
        <w:rPr>
          <w:rFonts w:hint="eastAsia" w:ascii="宋体" w:hAnsi="宋体"/>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低于法律法规规定的最低年限</w:t>
      </w:r>
      <w:r>
        <w:rPr>
          <w:rFonts w:ascii="宋体" w:hAnsi="宋体"/>
          <w:sz w:val="24"/>
        </w:rPr>
        <w:t>。如不能妥善保管，则按相关</w:t>
      </w:r>
      <w:r>
        <w:rPr>
          <w:rFonts w:hint="eastAsia" w:ascii="宋体" w:hAnsi="宋体"/>
          <w:sz w:val="24"/>
        </w:rPr>
        <w:t>法律法规承担责任。</w:t>
      </w:r>
    </w:p>
    <w:p w14:paraId="7F80EEF8">
      <w:pPr>
        <w:adjustRightInd w:val="0"/>
        <w:snapToGrid w:val="0"/>
        <w:spacing w:line="360" w:lineRule="auto"/>
        <w:ind w:firstLine="480" w:firstLineChars="200"/>
        <w:rPr>
          <w:rFonts w:ascii="宋体" w:hAnsi="宋体"/>
          <w:sz w:val="24"/>
        </w:rPr>
      </w:pPr>
      <w:r>
        <w:rPr>
          <w:rFonts w:hint="eastAsia" w:ascii="宋体" w:hAnsi="宋体"/>
          <w:sz w:val="24"/>
        </w:rPr>
        <w:t>在基金托管人要求或编制中期报告及年度报告前，基金管理人应将有关资料送交基金托管人，不得无故拒绝或延误提供，并保证其真实性、准确性和完整性。基金管理人和托管人不得将所保管的基金份额持有人名册用于基金托管业务以外的其他用途，并应遵守保密义务。</w:t>
      </w:r>
    </w:p>
    <w:p w14:paraId="105C9848">
      <w:pPr>
        <w:pStyle w:val="3"/>
        <w:spacing w:before="312" w:beforeLines="100" w:after="156" w:afterLines="50" w:line="360" w:lineRule="auto"/>
        <w:ind w:firstLine="480"/>
        <w:jc w:val="center"/>
      </w:pPr>
      <w:r>
        <w:rPr>
          <w:rFonts w:ascii="宋体" w:hAnsi="宋体"/>
          <w:b w:val="0"/>
          <w:sz w:val="24"/>
        </w:rPr>
        <w:br w:type="page"/>
      </w:r>
      <w:bookmarkStart w:id="118" w:name="_Toc384992703"/>
      <w:bookmarkStart w:id="119" w:name="_Toc348082041"/>
      <w:bookmarkStart w:id="120" w:name="_Toc488938622"/>
      <w:r>
        <w:rPr>
          <w:rFonts w:hint="eastAsia" w:ascii="宋体" w:hAnsi="宋体"/>
          <w:sz w:val="24"/>
        </w:rPr>
        <w:t>十三、基金有关文件档案的保存</w:t>
      </w:r>
      <w:bookmarkEnd w:id="118"/>
      <w:bookmarkEnd w:id="119"/>
      <w:bookmarkEnd w:id="120"/>
    </w:p>
    <w:p w14:paraId="4B4AC31E">
      <w:pPr>
        <w:adjustRightInd w:val="0"/>
        <w:snapToGrid w:val="0"/>
        <w:spacing w:line="360" w:lineRule="auto"/>
        <w:ind w:firstLine="480" w:firstLineChars="200"/>
        <w:rPr>
          <w:rFonts w:ascii="宋体" w:hAnsi="宋体"/>
          <w:sz w:val="24"/>
        </w:rPr>
      </w:pPr>
      <w:r>
        <w:rPr>
          <w:rFonts w:hint="eastAsia" w:ascii="宋体" w:hAnsi="宋体"/>
          <w:sz w:val="24"/>
        </w:rPr>
        <w:t>（一）档案保存</w:t>
      </w:r>
    </w:p>
    <w:p w14:paraId="0E2C4240">
      <w:pPr>
        <w:adjustRightInd w:val="0"/>
        <w:snapToGrid w:val="0"/>
        <w:spacing w:line="360" w:lineRule="auto"/>
        <w:ind w:firstLine="480" w:firstLineChars="200"/>
        <w:rPr>
          <w:rFonts w:ascii="宋体" w:hAnsi="宋体"/>
          <w:sz w:val="24"/>
        </w:rPr>
      </w:pPr>
      <w:r>
        <w:rPr>
          <w:rFonts w:hint="eastAsia" w:ascii="宋体" w:hAnsi="宋体"/>
          <w:sz w:val="24"/>
        </w:rPr>
        <w:t>基金管理人应保存基金财产管理业务活动的记录、账册、报表和其他相关资料。基金托管人应保存基金托管业务活动的记录、账册、报表和其他相关资料。基金管理人和基金托管人都应当按规定的期限保管。保存期限不低于法律法规规定的最低年限</w:t>
      </w:r>
      <w:r>
        <w:rPr>
          <w:rFonts w:ascii="宋体" w:hAnsi="宋体"/>
          <w:sz w:val="24"/>
        </w:rPr>
        <w:t>。</w:t>
      </w:r>
    </w:p>
    <w:p w14:paraId="52F63763">
      <w:pPr>
        <w:adjustRightInd w:val="0"/>
        <w:snapToGrid w:val="0"/>
        <w:spacing w:line="360" w:lineRule="auto"/>
        <w:ind w:firstLine="480" w:firstLineChars="200"/>
        <w:rPr>
          <w:rFonts w:ascii="宋体" w:hAnsi="宋体"/>
          <w:sz w:val="24"/>
        </w:rPr>
      </w:pPr>
      <w:r>
        <w:rPr>
          <w:rFonts w:hint="eastAsia" w:ascii="宋体" w:hAnsi="宋体"/>
          <w:sz w:val="24"/>
        </w:rPr>
        <w:t>（二）合同档案的建立</w:t>
      </w:r>
    </w:p>
    <w:p w14:paraId="4AB7BC43">
      <w:pPr>
        <w:adjustRightInd w:val="0"/>
        <w:snapToGrid w:val="0"/>
        <w:spacing w:line="360" w:lineRule="auto"/>
        <w:ind w:firstLine="480" w:firstLineChars="200"/>
        <w:rPr>
          <w:rFonts w:ascii="宋体" w:hAnsi="宋体"/>
          <w:sz w:val="24"/>
        </w:rPr>
      </w:pPr>
      <w:r>
        <w:rPr>
          <w:rFonts w:ascii="宋体" w:hAnsi="宋体"/>
          <w:sz w:val="24"/>
        </w:rPr>
        <w:t>1.基金管理人签署重大合同文本后，应及时将合同文本正本送达基金托管人处。</w:t>
      </w:r>
    </w:p>
    <w:p w14:paraId="05BE3461">
      <w:pPr>
        <w:adjustRightInd w:val="0"/>
        <w:snapToGrid w:val="0"/>
        <w:spacing w:line="360" w:lineRule="auto"/>
        <w:ind w:firstLine="480" w:firstLineChars="200"/>
        <w:rPr>
          <w:rFonts w:ascii="宋体" w:hAnsi="宋体"/>
          <w:sz w:val="24"/>
        </w:rPr>
      </w:pPr>
      <w:r>
        <w:rPr>
          <w:rFonts w:ascii="宋体" w:hAnsi="宋体"/>
          <w:sz w:val="24"/>
        </w:rPr>
        <w:t>2.基金管理人应及时将与本基金账务处理、资金划拨等有关的合同、协议传真</w:t>
      </w:r>
      <w:r>
        <w:rPr>
          <w:rFonts w:hint="eastAsia" w:ascii="宋体" w:hAnsi="宋体"/>
          <w:sz w:val="24"/>
        </w:rPr>
        <w:t>至基金托管人。</w:t>
      </w:r>
    </w:p>
    <w:p w14:paraId="6CEC1F23">
      <w:pPr>
        <w:adjustRightInd w:val="0"/>
        <w:snapToGrid w:val="0"/>
        <w:spacing w:line="360" w:lineRule="auto"/>
        <w:ind w:firstLine="480" w:firstLineChars="200"/>
        <w:rPr>
          <w:rFonts w:ascii="宋体" w:hAnsi="宋体"/>
          <w:sz w:val="24"/>
        </w:rPr>
      </w:pPr>
      <w:r>
        <w:rPr>
          <w:rFonts w:hint="eastAsia" w:ascii="宋体" w:hAnsi="宋体"/>
          <w:sz w:val="24"/>
        </w:rPr>
        <w:t>（三）变更与协助</w:t>
      </w:r>
    </w:p>
    <w:p w14:paraId="397380DE">
      <w:pPr>
        <w:adjustRightInd w:val="0"/>
        <w:snapToGrid w:val="0"/>
        <w:spacing w:line="360" w:lineRule="auto"/>
        <w:ind w:firstLine="480" w:firstLineChars="200"/>
        <w:rPr>
          <w:rFonts w:ascii="宋体" w:hAnsi="宋体"/>
          <w:sz w:val="24"/>
        </w:rPr>
      </w:pPr>
      <w:r>
        <w:rPr>
          <w:rFonts w:hint="eastAsia" w:ascii="宋体" w:hAnsi="宋体"/>
          <w:sz w:val="24"/>
        </w:rPr>
        <w:t>若基金管理人</w:t>
      </w:r>
      <w:r>
        <w:rPr>
          <w:rFonts w:ascii="宋体" w:hAnsi="宋体"/>
          <w:sz w:val="24"/>
        </w:rPr>
        <w:t>/基金托管人发生变更，未变更的一方有义务协助变更后的接任人接收相应文件。</w:t>
      </w:r>
    </w:p>
    <w:p w14:paraId="1F23A7EE">
      <w:pPr>
        <w:adjustRightInd w:val="0"/>
        <w:snapToGrid w:val="0"/>
        <w:spacing w:line="360" w:lineRule="auto"/>
        <w:ind w:firstLine="480" w:firstLineChars="200"/>
        <w:rPr>
          <w:rFonts w:ascii="宋体" w:hAnsi="宋体"/>
          <w:sz w:val="24"/>
        </w:rPr>
      </w:pPr>
      <w:r>
        <w:rPr>
          <w:rFonts w:hint="eastAsia" w:ascii="宋体" w:hAnsi="宋体"/>
          <w:sz w:val="24"/>
        </w:rPr>
        <w:t>（四）基金管理人和基金托管人应按各自职责完整保存原始凭证、记账凭证、基金账册、交易记录和重要合同等，承担保密义务并保存不低于法律法规规定的最低年限。</w:t>
      </w:r>
    </w:p>
    <w:p w14:paraId="35EE22CA">
      <w:pPr>
        <w:adjustRightInd w:val="0"/>
        <w:snapToGrid w:val="0"/>
        <w:spacing w:line="360" w:lineRule="auto"/>
        <w:ind w:firstLine="480" w:firstLineChars="200"/>
        <w:rPr>
          <w:rFonts w:ascii="宋体" w:hAnsi="宋体"/>
          <w:sz w:val="24"/>
        </w:rPr>
      </w:pPr>
    </w:p>
    <w:p w14:paraId="0BB9643F">
      <w:pPr>
        <w:pStyle w:val="3"/>
        <w:spacing w:before="312" w:beforeLines="100" w:after="156" w:afterLines="50" w:line="360" w:lineRule="auto"/>
        <w:jc w:val="center"/>
        <w:rPr>
          <w:rFonts w:ascii="宋体" w:hAnsi="宋体"/>
          <w:sz w:val="24"/>
        </w:rPr>
      </w:pPr>
      <w:r>
        <w:rPr>
          <w:rFonts w:ascii="宋体" w:hAnsi="宋体"/>
          <w:sz w:val="24"/>
        </w:rPr>
        <w:br w:type="page"/>
      </w:r>
      <w:bookmarkStart w:id="121" w:name="_Toc488938623"/>
      <w:bookmarkStart w:id="122" w:name="_Toc348082042"/>
      <w:bookmarkStart w:id="123" w:name="_Toc384992704"/>
      <w:r>
        <w:rPr>
          <w:rFonts w:hint="eastAsia" w:ascii="宋体" w:hAnsi="宋体"/>
          <w:sz w:val="24"/>
        </w:rPr>
        <w:t>十四、基金管理人和基金托管人的更换</w:t>
      </w:r>
      <w:bookmarkEnd w:id="121"/>
      <w:bookmarkEnd w:id="122"/>
      <w:bookmarkEnd w:id="123"/>
    </w:p>
    <w:p w14:paraId="62477597">
      <w:pPr>
        <w:spacing w:line="360" w:lineRule="auto"/>
        <w:ind w:firstLine="420"/>
        <w:rPr>
          <w:rFonts w:ascii="宋体" w:hAnsi="宋体"/>
          <w:kern w:val="0"/>
          <w:sz w:val="24"/>
        </w:rPr>
      </w:pPr>
      <w:r>
        <w:rPr>
          <w:rFonts w:hint="eastAsia" w:ascii="宋体" w:hAnsi="宋体"/>
          <w:sz w:val="24"/>
        </w:rPr>
        <w:t>（一）</w:t>
      </w:r>
      <w:r>
        <w:rPr>
          <w:rFonts w:ascii="宋体" w:hAnsi="宋体"/>
          <w:kern w:val="0"/>
          <w:sz w:val="24"/>
        </w:rPr>
        <w:t>基金管理人职责终止</w:t>
      </w:r>
      <w:r>
        <w:rPr>
          <w:rFonts w:hint="eastAsia" w:ascii="宋体" w:hAnsi="宋体"/>
          <w:kern w:val="0"/>
          <w:sz w:val="24"/>
        </w:rPr>
        <w:t>后</w:t>
      </w:r>
      <w:r>
        <w:rPr>
          <w:rFonts w:ascii="宋体" w:hAnsi="宋体"/>
          <w:kern w:val="0"/>
          <w:sz w:val="24"/>
        </w:rPr>
        <w:t>，</w:t>
      </w:r>
      <w:r>
        <w:rPr>
          <w:rFonts w:hint="eastAsia" w:ascii="宋体" w:hAnsi="宋体"/>
          <w:kern w:val="0"/>
          <w:sz w:val="24"/>
        </w:rPr>
        <w:t>仍</w:t>
      </w:r>
      <w:r>
        <w:rPr>
          <w:rFonts w:ascii="宋体" w:hAnsi="宋体"/>
          <w:kern w:val="0"/>
          <w:sz w:val="24"/>
        </w:rPr>
        <w:t>应妥善保管基金管理业务资料，</w:t>
      </w:r>
      <w:r>
        <w:rPr>
          <w:rFonts w:hint="eastAsia" w:ascii="宋体" w:hAnsi="宋体"/>
          <w:sz w:val="24"/>
        </w:rPr>
        <w:t>保证不做出对基金份额持有人的利益造成损害的行为，</w:t>
      </w:r>
      <w:r>
        <w:rPr>
          <w:rFonts w:hint="eastAsia" w:ascii="宋体" w:hAnsi="宋体"/>
          <w:kern w:val="0"/>
          <w:sz w:val="24"/>
        </w:rPr>
        <w:t>并与新任基金管理人或临时基金管理人</w:t>
      </w:r>
      <w:r>
        <w:rPr>
          <w:rFonts w:ascii="宋体" w:hAnsi="宋体"/>
          <w:kern w:val="0"/>
          <w:sz w:val="24"/>
        </w:rPr>
        <w:t>及时办理基金管理业务的移交手续。</w:t>
      </w:r>
      <w:r>
        <w:rPr>
          <w:rFonts w:hint="eastAsia" w:ascii="宋体" w:hAnsi="宋体"/>
          <w:kern w:val="0"/>
          <w:sz w:val="24"/>
        </w:rPr>
        <w:t>基金托管人应给予积极配合，并与新任基金管理人或临时基金管理人核对基金资产总值和基金资产净值。</w:t>
      </w:r>
    </w:p>
    <w:p w14:paraId="6A76FE3D">
      <w:pPr>
        <w:spacing w:line="360" w:lineRule="auto"/>
        <w:ind w:firstLine="420"/>
        <w:rPr>
          <w:rFonts w:ascii="宋体" w:hAnsi="宋体"/>
          <w:kern w:val="0"/>
          <w:sz w:val="24"/>
        </w:rPr>
      </w:pPr>
      <w:r>
        <w:rPr>
          <w:rFonts w:hint="eastAsia" w:ascii="宋体" w:hAnsi="宋体"/>
          <w:sz w:val="24"/>
        </w:rPr>
        <w:t>（二）</w:t>
      </w:r>
      <w:r>
        <w:rPr>
          <w:rFonts w:ascii="宋体" w:hAnsi="宋体"/>
          <w:kern w:val="0"/>
          <w:sz w:val="24"/>
        </w:rPr>
        <w:t>基金托管人职责终止</w:t>
      </w:r>
      <w:r>
        <w:rPr>
          <w:rFonts w:hint="eastAsia" w:ascii="宋体" w:hAnsi="宋体"/>
          <w:kern w:val="0"/>
          <w:sz w:val="24"/>
        </w:rPr>
        <w:t>后</w:t>
      </w:r>
      <w:r>
        <w:rPr>
          <w:rFonts w:ascii="宋体" w:hAnsi="宋体"/>
          <w:kern w:val="0"/>
          <w:sz w:val="24"/>
        </w:rPr>
        <w:t>，</w:t>
      </w:r>
      <w:r>
        <w:rPr>
          <w:rFonts w:hint="eastAsia" w:ascii="宋体" w:hAnsi="宋体"/>
          <w:kern w:val="0"/>
          <w:sz w:val="24"/>
        </w:rPr>
        <w:t>仍</w:t>
      </w:r>
      <w:r>
        <w:rPr>
          <w:rFonts w:ascii="宋体" w:hAnsi="宋体"/>
          <w:kern w:val="0"/>
          <w:sz w:val="24"/>
        </w:rPr>
        <w:t>应妥善保管基金财产和基金托管业务资料，</w:t>
      </w:r>
      <w:r>
        <w:rPr>
          <w:rFonts w:hint="eastAsia" w:ascii="宋体" w:hAnsi="宋体"/>
          <w:sz w:val="24"/>
        </w:rPr>
        <w:t>保证不做出对基金份额持有人的利益造成损害的行为，</w:t>
      </w:r>
      <w:r>
        <w:rPr>
          <w:rFonts w:hint="eastAsia" w:ascii="宋体" w:hAnsi="宋体"/>
          <w:kern w:val="0"/>
          <w:sz w:val="24"/>
        </w:rPr>
        <w:t>并与新任基金托管人或临时基金托管人</w:t>
      </w:r>
      <w:r>
        <w:rPr>
          <w:rFonts w:ascii="宋体" w:hAnsi="宋体"/>
          <w:kern w:val="0"/>
          <w:sz w:val="24"/>
        </w:rPr>
        <w:t>及时办理基金财产和基金托管业务的移交手续。</w:t>
      </w:r>
      <w:r>
        <w:rPr>
          <w:rFonts w:hint="eastAsia" w:ascii="宋体" w:hAnsi="宋体"/>
          <w:kern w:val="0"/>
          <w:sz w:val="24"/>
        </w:rPr>
        <w:t>基金管理人应给予积极配合，并与新任基金托管人或临时基金托管人核对基金资产总值和基金资产净值。</w:t>
      </w:r>
    </w:p>
    <w:p w14:paraId="720468F0">
      <w:pPr>
        <w:adjustRightInd w:val="0"/>
        <w:snapToGrid w:val="0"/>
        <w:spacing w:line="360" w:lineRule="auto"/>
        <w:ind w:firstLine="480" w:firstLineChars="200"/>
        <w:rPr>
          <w:rFonts w:ascii="宋体" w:hAnsi="宋体"/>
          <w:sz w:val="24"/>
        </w:rPr>
      </w:pPr>
      <w:r>
        <w:rPr>
          <w:rFonts w:hint="eastAsia" w:ascii="宋体" w:hAnsi="宋体"/>
          <w:sz w:val="24"/>
        </w:rPr>
        <w:t>（三）其他事宜见基金合同的相关约定。</w:t>
      </w:r>
    </w:p>
    <w:p w14:paraId="2E3AA5EA">
      <w:pPr>
        <w:adjustRightInd w:val="0"/>
        <w:snapToGrid w:val="0"/>
        <w:spacing w:line="360" w:lineRule="auto"/>
        <w:ind w:firstLine="480" w:firstLineChars="200"/>
        <w:rPr>
          <w:rFonts w:ascii="宋体" w:hAnsi="宋体"/>
          <w:sz w:val="24"/>
        </w:rPr>
      </w:pPr>
    </w:p>
    <w:p w14:paraId="1AFBDD0C">
      <w:pPr>
        <w:pStyle w:val="3"/>
        <w:tabs>
          <w:tab w:val="center" w:pos="4252"/>
          <w:tab w:val="left" w:pos="7200"/>
        </w:tabs>
        <w:spacing w:before="312" w:beforeLines="100" w:after="156" w:afterLines="50" w:line="360" w:lineRule="auto"/>
        <w:jc w:val="left"/>
        <w:rPr>
          <w:rFonts w:ascii="宋体" w:hAnsi="宋体"/>
          <w:sz w:val="24"/>
        </w:rPr>
      </w:pPr>
      <w:r>
        <w:rPr>
          <w:rFonts w:ascii="宋体" w:hAnsi="宋体"/>
          <w:sz w:val="24"/>
        </w:rPr>
        <w:br w:type="page"/>
      </w:r>
      <w:bookmarkStart w:id="124" w:name="_Toc348082043"/>
      <w:bookmarkStart w:id="125" w:name="_Toc488938624"/>
      <w:bookmarkStart w:id="126" w:name="_Toc384992705"/>
      <w:r>
        <w:rPr>
          <w:rFonts w:ascii="宋体" w:hAnsi="宋体"/>
          <w:sz w:val="24"/>
        </w:rPr>
        <w:tab/>
      </w:r>
      <w:r>
        <w:rPr>
          <w:rFonts w:hint="eastAsia" w:ascii="宋体" w:hAnsi="宋体"/>
          <w:sz w:val="24"/>
        </w:rPr>
        <w:t>十五、禁止行为</w:t>
      </w:r>
      <w:bookmarkEnd w:id="124"/>
      <w:bookmarkEnd w:id="125"/>
      <w:bookmarkEnd w:id="126"/>
      <w:r>
        <w:rPr>
          <w:rFonts w:ascii="宋体" w:hAnsi="宋体"/>
          <w:sz w:val="24"/>
        </w:rPr>
        <w:tab/>
      </w:r>
    </w:p>
    <w:p w14:paraId="4B5BE36F">
      <w:pPr>
        <w:adjustRightInd w:val="0"/>
        <w:snapToGrid w:val="0"/>
        <w:spacing w:line="360" w:lineRule="auto"/>
        <w:ind w:firstLine="480" w:firstLineChars="200"/>
        <w:rPr>
          <w:rFonts w:ascii="宋体" w:hAnsi="宋体"/>
          <w:sz w:val="24"/>
        </w:rPr>
      </w:pPr>
      <w:r>
        <w:rPr>
          <w:rFonts w:hint="eastAsia" w:ascii="宋体" w:hAnsi="宋体"/>
          <w:sz w:val="24"/>
        </w:rPr>
        <w:t>本协议当事人禁止从事的行为，包括但不限于：</w:t>
      </w:r>
    </w:p>
    <w:p w14:paraId="1F30FD81">
      <w:pPr>
        <w:spacing w:line="360" w:lineRule="auto"/>
        <w:ind w:firstLine="480" w:firstLineChars="200"/>
        <w:rPr>
          <w:rFonts w:ascii="宋体" w:hAnsi="宋体"/>
          <w:sz w:val="24"/>
        </w:rPr>
      </w:pPr>
      <w:r>
        <w:rPr>
          <w:rFonts w:hint="eastAsia" w:ascii="宋体" w:hAnsi="宋体"/>
          <w:sz w:val="24"/>
        </w:rPr>
        <w:t>（一）基金管理人、基金托管人将其固有财产或者他人财产混同于基金财产从事证券投资。</w:t>
      </w:r>
    </w:p>
    <w:p w14:paraId="357A1215">
      <w:pPr>
        <w:spacing w:line="360" w:lineRule="auto"/>
        <w:ind w:firstLine="480" w:firstLineChars="200"/>
        <w:rPr>
          <w:rFonts w:ascii="宋体" w:hAnsi="宋体"/>
          <w:sz w:val="24"/>
        </w:rPr>
      </w:pPr>
      <w:r>
        <w:rPr>
          <w:rFonts w:hint="eastAsia" w:ascii="宋体" w:hAnsi="宋体"/>
          <w:sz w:val="24"/>
        </w:rPr>
        <w:t>（二）基金管理人不公平地对待其管理的不同基金财产，基金托管人不公平地对待其托管的不同基金财产。</w:t>
      </w:r>
    </w:p>
    <w:p w14:paraId="27148FC4">
      <w:pPr>
        <w:spacing w:line="360" w:lineRule="auto"/>
        <w:ind w:firstLine="480" w:firstLineChars="200"/>
        <w:rPr>
          <w:rFonts w:ascii="宋体" w:hAnsi="宋体"/>
          <w:sz w:val="24"/>
        </w:rPr>
      </w:pPr>
      <w:r>
        <w:rPr>
          <w:rFonts w:hint="eastAsia" w:ascii="宋体" w:hAnsi="宋体"/>
          <w:sz w:val="24"/>
        </w:rPr>
        <w:t>（三）基金管理人、基金托管人利用基金财产为基金份额持有人以外的第三人牟取利益。</w:t>
      </w:r>
    </w:p>
    <w:p w14:paraId="5ADC0767">
      <w:pPr>
        <w:spacing w:line="360" w:lineRule="auto"/>
        <w:ind w:firstLine="480" w:firstLineChars="200"/>
        <w:rPr>
          <w:rFonts w:ascii="宋体" w:hAnsi="宋体"/>
          <w:sz w:val="24"/>
        </w:rPr>
      </w:pPr>
      <w:r>
        <w:rPr>
          <w:rFonts w:hint="eastAsia" w:ascii="宋体" w:hAnsi="宋体"/>
          <w:sz w:val="24"/>
        </w:rPr>
        <w:t>（四）基金管理人、基金托管人向基金份额持有人违规承诺收益或者承担损失。</w:t>
      </w:r>
    </w:p>
    <w:p w14:paraId="4614D2E9">
      <w:pPr>
        <w:adjustRightInd w:val="0"/>
        <w:snapToGrid w:val="0"/>
        <w:spacing w:line="360" w:lineRule="auto"/>
        <w:ind w:firstLine="480" w:firstLineChars="200"/>
        <w:rPr>
          <w:rFonts w:ascii="宋体" w:hAnsi="宋体"/>
          <w:sz w:val="24"/>
        </w:rPr>
      </w:pPr>
      <w:r>
        <w:rPr>
          <w:rFonts w:hint="eastAsia" w:ascii="宋体" w:hAnsi="宋体"/>
          <w:sz w:val="24"/>
        </w:rPr>
        <w:t>（五）基金管理人、基金托管人对他人泄漏基金运作和管理过程中任何尚未按法律法规规定的方式公开披露的信息。</w:t>
      </w:r>
    </w:p>
    <w:p w14:paraId="27EBFBFA">
      <w:pPr>
        <w:pStyle w:val="9"/>
        <w:spacing w:line="360" w:lineRule="auto"/>
        <w:rPr>
          <w:rFonts w:ascii="宋体" w:hAnsi="宋体"/>
        </w:rPr>
      </w:pPr>
      <w:r>
        <w:rPr>
          <w:rFonts w:hint="eastAsia" w:ascii="宋体" w:hAnsi="宋体"/>
        </w:rPr>
        <w:t>（六）基金管理人在没有充足资金的情况下向基金托管人发出投资指令和付款指令，或违规向基金托管人发出指令。</w:t>
      </w:r>
    </w:p>
    <w:p w14:paraId="232E7CAA">
      <w:pPr>
        <w:adjustRightInd w:val="0"/>
        <w:snapToGrid w:val="0"/>
        <w:spacing w:line="360" w:lineRule="auto"/>
        <w:ind w:firstLine="480" w:firstLineChars="200"/>
        <w:rPr>
          <w:rFonts w:ascii="宋体" w:hAnsi="宋体"/>
          <w:sz w:val="24"/>
        </w:rPr>
      </w:pPr>
      <w:r>
        <w:rPr>
          <w:rFonts w:hint="eastAsia" w:ascii="宋体" w:hAnsi="宋体"/>
          <w:sz w:val="24"/>
        </w:rPr>
        <w:t>（七）基金管理人、基金托管人在行政上、财务上不独立，其高级管理人员和其他从业人员相互兼职。</w:t>
      </w:r>
    </w:p>
    <w:p w14:paraId="49714D3D">
      <w:pPr>
        <w:spacing w:line="360" w:lineRule="auto"/>
        <w:ind w:firstLine="480" w:firstLineChars="200"/>
        <w:rPr>
          <w:rFonts w:ascii="宋体" w:hAnsi="宋体"/>
          <w:sz w:val="24"/>
        </w:rPr>
      </w:pPr>
      <w:r>
        <w:rPr>
          <w:rFonts w:hint="eastAsia" w:ascii="宋体" w:hAnsi="宋体"/>
          <w:sz w:val="24"/>
        </w:rPr>
        <w:t>（八）基金托管人私自动用或处分基金财产，根据基金管理人的合法指令、基金合同或托管协议的规定进行处分的除外。</w:t>
      </w:r>
    </w:p>
    <w:p w14:paraId="1AAD01F1">
      <w:pPr>
        <w:spacing w:line="360" w:lineRule="auto"/>
        <w:ind w:firstLine="480" w:firstLineChars="200"/>
        <w:rPr>
          <w:rFonts w:ascii="宋体" w:hAnsi="宋体"/>
          <w:sz w:val="24"/>
        </w:rPr>
      </w:pPr>
      <w:r>
        <w:rPr>
          <w:rFonts w:hint="eastAsia" w:ascii="宋体" w:hAnsi="宋体"/>
          <w:sz w:val="24"/>
        </w:rPr>
        <w:t>（九）法律法规和基金合同禁止的其他行为，以及依照法律、行政法规有关规定，由中国证监会规定禁止基金管理人、基金托管人从事的其他行为。</w:t>
      </w:r>
    </w:p>
    <w:p w14:paraId="7A3039C9">
      <w:pPr>
        <w:pStyle w:val="3"/>
        <w:tabs>
          <w:tab w:val="left" w:pos="1068"/>
          <w:tab w:val="center" w:pos="4252"/>
        </w:tabs>
        <w:spacing w:before="312" w:beforeLines="100" w:after="156" w:afterLines="50" w:line="360" w:lineRule="auto"/>
        <w:jc w:val="center"/>
        <w:rPr>
          <w:rFonts w:ascii="宋体" w:hAnsi="宋体"/>
          <w:sz w:val="24"/>
        </w:rPr>
      </w:pPr>
      <w:r>
        <w:rPr>
          <w:rFonts w:ascii="宋体" w:hAnsi="宋体"/>
          <w:b w:val="0"/>
          <w:sz w:val="24"/>
        </w:rPr>
        <w:br w:type="page"/>
      </w:r>
      <w:bookmarkStart w:id="127" w:name="_Toc488938625"/>
      <w:bookmarkStart w:id="128" w:name="_Toc384992706"/>
      <w:bookmarkStart w:id="129" w:name="_Toc348082044"/>
      <w:r>
        <w:rPr>
          <w:rFonts w:hint="eastAsia" w:ascii="宋体" w:hAnsi="宋体"/>
          <w:sz w:val="24"/>
        </w:rPr>
        <w:t>十六、托管协议的变更、终止与基金财产的清算</w:t>
      </w:r>
      <w:bookmarkEnd w:id="127"/>
      <w:bookmarkEnd w:id="128"/>
      <w:bookmarkEnd w:id="129"/>
    </w:p>
    <w:p w14:paraId="2725DFEA">
      <w:pPr>
        <w:adjustRightInd w:val="0"/>
        <w:snapToGrid w:val="0"/>
        <w:spacing w:line="360" w:lineRule="auto"/>
        <w:ind w:firstLine="480" w:firstLineChars="200"/>
        <w:rPr>
          <w:rFonts w:ascii="宋体" w:hAnsi="宋体"/>
          <w:sz w:val="24"/>
        </w:rPr>
      </w:pPr>
      <w:r>
        <w:rPr>
          <w:rFonts w:hint="eastAsia" w:ascii="宋体" w:hAnsi="宋体"/>
          <w:sz w:val="24"/>
        </w:rPr>
        <w:t>（一）托管协议的变更程序</w:t>
      </w:r>
    </w:p>
    <w:p w14:paraId="730BCC47">
      <w:pPr>
        <w:adjustRightInd w:val="0"/>
        <w:snapToGrid w:val="0"/>
        <w:spacing w:line="360" w:lineRule="auto"/>
        <w:ind w:firstLine="480" w:firstLineChars="200"/>
        <w:rPr>
          <w:rFonts w:ascii="宋体" w:hAnsi="宋体"/>
          <w:sz w:val="24"/>
        </w:rPr>
      </w:pPr>
      <w:r>
        <w:rPr>
          <w:rFonts w:hint="eastAsia" w:ascii="宋体" w:hAnsi="宋体"/>
          <w:sz w:val="24"/>
        </w:rPr>
        <w:t>本协议双方当事人经协商一致，可以对协议进行修改。修改后的新协议，其内容不得与基金合同的规定有任何冲突。基金托管协议的变更应报中国证监会备案。</w:t>
      </w:r>
    </w:p>
    <w:p w14:paraId="26A8A972">
      <w:pPr>
        <w:adjustRightInd w:val="0"/>
        <w:snapToGrid w:val="0"/>
        <w:spacing w:line="360" w:lineRule="auto"/>
        <w:ind w:firstLine="480" w:firstLineChars="200"/>
        <w:rPr>
          <w:rFonts w:ascii="宋体" w:hAnsi="宋体"/>
          <w:sz w:val="24"/>
        </w:rPr>
      </w:pPr>
      <w:r>
        <w:rPr>
          <w:rFonts w:hint="eastAsia" w:ascii="宋体" w:hAnsi="宋体"/>
          <w:sz w:val="24"/>
        </w:rPr>
        <w:t>（二）基金托管协议终止的情形</w:t>
      </w:r>
    </w:p>
    <w:p w14:paraId="2F793263">
      <w:pPr>
        <w:adjustRightInd w:val="0"/>
        <w:snapToGrid w:val="0"/>
        <w:spacing w:line="360" w:lineRule="auto"/>
        <w:ind w:firstLine="480" w:firstLineChars="200"/>
        <w:rPr>
          <w:rFonts w:ascii="宋体" w:hAnsi="宋体"/>
          <w:sz w:val="24"/>
        </w:rPr>
      </w:pPr>
      <w:r>
        <w:rPr>
          <w:rFonts w:ascii="宋体" w:hAnsi="宋体"/>
          <w:sz w:val="24"/>
        </w:rPr>
        <w:t>1、《基金合同》终止；</w:t>
      </w:r>
    </w:p>
    <w:p w14:paraId="578ECDBD">
      <w:pPr>
        <w:adjustRightInd w:val="0"/>
        <w:snapToGrid w:val="0"/>
        <w:spacing w:line="360" w:lineRule="auto"/>
        <w:ind w:firstLine="480" w:firstLineChars="200"/>
        <w:rPr>
          <w:rFonts w:ascii="宋体" w:hAnsi="宋体"/>
          <w:sz w:val="24"/>
        </w:rPr>
      </w:pPr>
      <w:r>
        <w:rPr>
          <w:rFonts w:ascii="宋体" w:hAnsi="宋体"/>
          <w:sz w:val="24"/>
        </w:rPr>
        <w:t>2、基金托管人因解散、破产、撤销等事由，不能继续担任基金托管人的职务，而在6个月内无其他适当的托管机构承接其原有权利义务；</w:t>
      </w:r>
    </w:p>
    <w:p w14:paraId="1C77BA55">
      <w:pPr>
        <w:adjustRightInd w:val="0"/>
        <w:snapToGrid w:val="0"/>
        <w:spacing w:line="360" w:lineRule="auto"/>
        <w:ind w:firstLine="480" w:firstLineChars="200"/>
        <w:rPr>
          <w:rFonts w:ascii="宋体" w:hAnsi="宋体"/>
          <w:sz w:val="24"/>
        </w:rPr>
      </w:pPr>
      <w:r>
        <w:rPr>
          <w:rFonts w:ascii="宋体" w:hAnsi="宋体"/>
          <w:sz w:val="24"/>
        </w:rPr>
        <w:t>3、基金管理人因解散、破产、撤销等事由，不能继续担任基金管理人的职务，而在6个月内无其他适当的基金管理</w:t>
      </w:r>
      <w:r>
        <w:rPr>
          <w:rFonts w:hint="eastAsia" w:ascii="宋体" w:hAnsi="宋体"/>
          <w:sz w:val="24"/>
        </w:rPr>
        <w:t>机构</w:t>
      </w:r>
      <w:r>
        <w:rPr>
          <w:rFonts w:ascii="宋体" w:hAnsi="宋体"/>
          <w:sz w:val="24"/>
        </w:rPr>
        <w:t>承接其原有权利义务；</w:t>
      </w:r>
    </w:p>
    <w:p w14:paraId="38340D38">
      <w:pPr>
        <w:adjustRightInd w:val="0"/>
        <w:snapToGrid w:val="0"/>
        <w:spacing w:line="360" w:lineRule="auto"/>
        <w:ind w:firstLine="480" w:firstLineChars="200"/>
        <w:rPr>
          <w:rFonts w:ascii="宋体" w:hAnsi="宋体"/>
          <w:sz w:val="24"/>
        </w:rPr>
      </w:pPr>
      <w:r>
        <w:rPr>
          <w:rFonts w:ascii="宋体" w:hAnsi="宋体"/>
          <w:sz w:val="24"/>
        </w:rPr>
        <w:t>4、发生法律法规或《基金合同》规定的</w:t>
      </w:r>
      <w:r>
        <w:rPr>
          <w:rFonts w:hint="eastAsia" w:ascii="宋体" w:hAnsi="宋体"/>
          <w:sz w:val="24"/>
        </w:rPr>
        <w:t>其他终止事项。</w:t>
      </w:r>
    </w:p>
    <w:p w14:paraId="3FEBFBFA">
      <w:pPr>
        <w:adjustRightInd w:val="0"/>
        <w:snapToGrid w:val="0"/>
        <w:spacing w:line="360" w:lineRule="auto"/>
        <w:ind w:firstLine="480" w:firstLineChars="200"/>
        <w:rPr>
          <w:rFonts w:ascii="宋体" w:hAnsi="宋体"/>
          <w:sz w:val="24"/>
        </w:rPr>
      </w:pPr>
      <w:r>
        <w:rPr>
          <w:rFonts w:hint="eastAsia" w:ascii="宋体" w:hAnsi="宋体"/>
          <w:sz w:val="24"/>
        </w:rPr>
        <w:t>（三）基金财产的清算</w:t>
      </w:r>
    </w:p>
    <w:p w14:paraId="5B2E8F78">
      <w:pPr>
        <w:adjustRightInd w:val="0"/>
        <w:snapToGrid w:val="0"/>
        <w:spacing w:line="360" w:lineRule="auto"/>
        <w:ind w:firstLine="480" w:firstLineChars="200"/>
        <w:rPr>
          <w:rFonts w:ascii="宋体" w:hAnsi="宋体"/>
          <w:sz w:val="24"/>
        </w:rPr>
      </w:pPr>
      <w:r>
        <w:rPr>
          <w:rFonts w:hint="eastAsia"/>
          <w:sz w:val="24"/>
        </w:rPr>
        <w:t>基金管理人与基金托管人按照《基金合同》的约定处理基金财产的清算。</w:t>
      </w:r>
    </w:p>
    <w:p w14:paraId="2442CCC8">
      <w:pPr>
        <w:adjustRightInd w:val="0"/>
        <w:snapToGrid w:val="0"/>
        <w:spacing w:line="360" w:lineRule="auto"/>
        <w:rPr>
          <w:rFonts w:ascii="宋体" w:hAnsi="宋体"/>
          <w:sz w:val="24"/>
        </w:rPr>
      </w:pPr>
    </w:p>
    <w:p w14:paraId="31B6D47F">
      <w:pPr>
        <w:pStyle w:val="3"/>
        <w:spacing w:before="312" w:beforeLines="100" w:after="156" w:afterLines="50" w:line="360" w:lineRule="auto"/>
        <w:jc w:val="center"/>
        <w:rPr>
          <w:rFonts w:ascii="宋体" w:hAnsi="宋体"/>
          <w:sz w:val="24"/>
        </w:rPr>
      </w:pPr>
      <w:r>
        <w:rPr>
          <w:rFonts w:ascii="宋体" w:hAnsi="宋体"/>
          <w:sz w:val="24"/>
        </w:rPr>
        <w:br w:type="page"/>
      </w:r>
      <w:bookmarkStart w:id="130" w:name="_Toc488938626"/>
      <w:bookmarkStart w:id="131" w:name="_Toc348082045"/>
      <w:bookmarkStart w:id="132" w:name="_Toc384992707"/>
      <w:r>
        <w:rPr>
          <w:rFonts w:hint="eastAsia" w:ascii="宋体" w:hAnsi="宋体"/>
          <w:sz w:val="24"/>
        </w:rPr>
        <w:t>十七、违约责任</w:t>
      </w:r>
      <w:bookmarkEnd w:id="130"/>
      <w:bookmarkEnd w:id="131"/>
      <w:bookmarkEnd w:id="132"/>
    </w:p>
    <w:p w14:paraId="4E02DCAF">
      <w:pPr>
        <w:adjustRightInd w:val="0"/>
        <w:snapToGrid w:val="0"/>
        <w:spacing w:line="336" w:lineRule="auto"/>
        <w:ind w:firstLine="480" w:firstLineChars="200"/>
        <w:rPr>
          <w:rFonts w:ascii="宋体" w:hAnsi="宋体"/>
          <w:sz w:val="24"/>
        </w:rPr>
      </w:pPr>
      <w:r>
        <w:rPr>
          <w:rFonts w:hint="eastAsia" w:ascii="宋体" w:hAnsi="宋体"/>
          <w:sz w:val="24"/>
        </w:rPr>
        <w:t>（一）</w:t>
      </w:r>
      <w:r>
        <w:rPr>
          <w:rFonts w:ascii="宋体" w:hAnsi="宋体"/>
          <w:sz w:val="24"/>
        </w:rPr>
        <w:t>基金管理人、基金托管人</w:t>
      </w:r>
      <w:r>
        <w:rPr>
          <w:rFonts w:hint="eastAsia" w:ascii="宋体" w:hAnsi="宋体"/>
          <w:sz w:val="24"/>
        </w:rPr>
        <w:t>不</w:t>
      </w:r>
      <w:r>
        <w:rPr>
          <w:rFonts w:ascii="宋体" w:hAnsi="宋体"/>
          <w:sz w:val="24"/>
        </w:rPr>
        <w:t>履行</w:t>
      </w:r>
      <w:r>
        <w:rPr>
          <w:rFonts w:hint="eastAsia" w:ascii="宋体" w:hAnsi="宋体"/>
          <w:sz w:val="24"/>
        </w:rPr>
        <w:t>本协议或履行本协议不符合约定的，应当承担违约责任。</w:t>
      </w:r>
    </w:p>
    <w:p w14:paraId="5ED90987">
      <w:pPr>
        <w:adjustRightInd w:val="0"/>
        <w:snapToGrid w:val="0"/>
        <w:spacing w:line="336" w:lineRule="auto"/>
        <w:ind w:firstLine="480" w:firstLineChars="200"/>
        <w:rPr>
          <w:rFonts w:ascii="宋体" w:hAnsi="宋体"/>
          <w:sz w:val="24"/>
        </w:rPr>
      </w:pPr>
      <w:r>
        <w:rPr>
          <w:rFonts w:hint="eastAsia" w:ascii="宋体" w:hAnsi="宋体"/>
          <w:sz w:val="24"/>
        </w:rPr>
        <w:t>（二）</w:t>
      </w:r>
      <w:r>
        <w:rPr>
          <w:rFonts w:ascii="宋体" w:hAnsi="宋体"/>
          <w:sz w:val="24"/>
        </w:rPr>
        <w:t>基金管理人、基金托管人在履行各自职责的过程中，违反</w:t>
      </w:r>
      <w:r>
        <w:rPr>
          <w:rFonts w:hint="eastAsia" w:ascii="宋体" w:hAnsi="宋体"/>
          <w:sz w:val="24"/>
        </w:rPr>
        <w:t>《基金法》、《基金合同》和本托管协议</w:t>
      </w:r>
      <w:r>
        <w:rPr>
          <w:rFonts w:ascii="宋体" w:hAnsi="宋体"/>
          <w:sz w:val="24"/>
        </w:rPr>
        <w:t>约定，给基金财产或者基金份额持有人造成损害的，应当分别对各自的行为依法承担赔偿责任；因共同行为给基金财产或者基金份额持有人造成损害的，</w:t>
      </w:r>
      <w:r>
        <w:rPr>
          <w:rFonts w:hint="eastAsia" w:ascii="宋体" w:hAnsi="宋体"/>
          <w:sz w:val="24"/>
        </w:rPr>
        <w:t>应当承担</w:t>
      </w:r>
      <w:r>
        <w:rPr>
          <w:rFonts w:ascii="宋体" w:hAnsi="宋体"/>
          <w:sz w:val="24"/>
        </w:rPr>
        <w:t>连带赔偿责任，</w:t>
      </w:r>
      <w:r>
        <w:rPr>
          <w:rFonts w:hint="eastAsia" w:ascii="宋体" w:hAnsi="宋体"/>
          <w:sz w:val="24"/>
        </w:rPr>
        <w:t>一方承担责任后有权根据对方过错程度向另一方追偿。对损失的赔偿</w:t>
      </w:r>
      <w:r>
        <w:rPr>
          <w:rFonts w:ascii="宋体" w:hAnsi="宋体"/>
          <w:sz w:val="24"/>
        </w:rPr>
        <w:t>，仅限于</w:t>
      </w:r>
      <w:r>
        <w:rPr>
          <w:rFonts w:hint="eastAsia" w:ascii="宋体" w:hAnsi="宋体"/>
          <w:sz w:val="24"/>
        </w:rPr>
        <w:t>直接损失</w:t>
      </w:r>
      <w:r>
        <w:rPr>
          <w:rFonts w:ascii="宋体" w:hAnsi="宋体"/>
          <w:sz w:val="24"/>
        </w:rPr>
        <w:t>。</w:t>
      </w:r>
    </w:p>
    <w:p w14:paraId="474F65B8">
      <w:pPr>
        <w:adjustRightInd w:val="0"/>
        <w:snapToGrid w:val="0"/>
        <w:spacing w:line="336" w:lineRule="auto"/>
        <w:ind w:firstLine="480" w:firstLineChars="200"/>
        <w:rPr>
          <w:rFonts w:ascii="宋体" w:hAnsi="宋体"/>
          <w:sz w:val="24"/>
        </w:rPr>
      </w:pPr>
      <w:r>
        <w:rPr>
          <w:rFonts w:hint="eastAsia" w:ascii="宋体" w:hAnsi="宋体"/>
          <w:sz w:val="24"/>
        </w:rPr>
        <w:t>（三）一方当事人违约，给另一方当事人或基金财产造成损失的，应就直接损失进行赔偿，另一方当事人有权利及义务代表基金向违约方追偿。但是如发生下列情况，当事人免责：</w:t>
      </w:r>
    </w:p>
    <w:p w14:paraId="4BFE3057">
      <w:pPr>
        <w:adjustRightInd w:val="0"/>
        <w:snapToGrid w:val="0"/>
        <w:spacing w:line="336" w:lineRule="auto"/>
        <w:ind w:firstLine="480" w:firstLineChars="200"/>
        <w:rPr>
          <w:rFonts w:ascii="宋体" w:hAnsi="宋体"/>
          <w:sz w:val="24"/>
        </w:rPr>
      </w:pPr>
      <w:r>
        <w:rPr>
          <w:rFonts w:ascii="宋体" w:hAnsi="宋体"/>
          <w:sz w:val="24"/>
        </w:rPr>
        <w:t>1、基金管理</w:t>
      </w:r>
      <w:r>
        <w:rPr>
          <w:rFonts w:hint="eastAsia" w:ascii="宋体" w:hAnsi="宋体" w:cs="Arial"/>
          <w:sz w:val="24"/>
        </w:rPr>
        <w:t>人和/或</w:t>
      </w:r>
      <w:r>
        <w:rPr>
          <w:rFonts w:hint="eastAsia" w:ascii="宋体" w:hAnsi="宋体"/>
          <w:sz w:val="24"/>
        </w:rPr>
        <w:t>基金托管人按照当时有效的法律法规或中国证监会的规定作为或不作为而造成的损失等；</w:t>
      </w:r>
    </w:p>
    <w:p w14:paraId="7191540B">
      <w:pPr>
        <w:adjustRightInd w:val="0"/>
        <w:snapToGrid w:val="0"/>
        <w:spacing w:line="336" w:lineRule="auto"/>
        <w:ind w:firstLine="480" w:firstLineChars="200"/>
        <w:rPr>
          <w:rFonts w:ascii="宋体" w:hAnsi="宋体"/>
          <w:sz w:val="24"/>
        </w:rPr>
      </w:pPr>
      <w:r>
        <w:rPr>
          <w:rFonts w:ascii="宋体" w:hAnsi="宋体"/>
          <w:sz w:val="24"/>
        </w:rPr>
        <w:t>2、基金管理人由于按照</w:t>
      </w:r>
      <w:r>
        <w:rPr>
          <w:rFonts w:hint="eastAsia" w:ascii="宋体" w:hAnsi="宋体"/>
          <w:sz w:val="24"/>
        </w:rPr>
        <w:t>《基金合同》规定的投资原则而行使或不行使其投资权而造成的损失等；</w:t>
      </w:r>
    </w:p>
    <w:p w14:paraId="6F520D0C">
      <w:pPr>
        <w:adjustRightInd w:val="0"/>
        <w:snapToGrid w:val="0"/>
        <w:spacing w:line="336" w:lineRule="auto"/>
        <w:ind w:firstLine="480" w:firstLineChars="200"/>
        <w:rPr>
          <w:rFonts w:ascii="宋体" w:hAnsi="宋体"/>
          <w:sz w:val="24"/>
        </w:rPr>
      </w:pPr>
      <w:r>
        <w:rPr>
          <w:rFonts w:ascii="宋体" w:hAnsi="宋体"/>
          <w:sz w:val="24"/>
        </w:rPr>
        <w:t>3</w:t>
      </w:r>
      <w:r>
        <w:rPr>
          <w:rFonts w:hint="eastAsia" w:ascii="宋体" w:hAnsi="宋体"/>
          <w:sz w:val="24"/>
        </w:rPr>
        <w:t>、不可抗力；</w:t>
      </w:r>
    </w:p>
    <w:p w14:paraId="39CB8AA8">
      <w:pPr>
        <w:adjustRightInd w:val="0"/>
        <w:snapToGrid w:val="0"/>
        <w:spacing w:line="336" w:lineRule="auto"/>
        <w:ind w:firstLine="480" w:firstLineChars="200"/>
        <w:rPr>
          <w:rFonts w:ascii="宋体" w:hAnsi="宋体"/>
          <w:sz w:val="24"/>
        </w:rPr>
      </w:pPr>
      <w:r>
        <w:rPr>
          <w:rFonts w:hint="eastAsia" w:ascii="宋体" w:hAnsi="宋体"/>
          <w:sz w:val="24"/>
        </w:rPr>
        <w:t>4、非因基金管理人、基金托管人的故意或重大过失造成的计算机系统故障、网络故障、通讯故障、电力故障、计算机病毒攻击及其它意外事故，所导致的损失等。</w:t>
      </w:r>
    </w:p>
    <w:p w14:paraId="50932E44">
      <w:pPr>
        <w:adjustRightInd w:val="0"/>
        <w:snapToGrid w:val="0"/>
        <w:spacing w:line="336" w:lineRule="auto"/>
        <w:ind w:firstLine="480" w:firstLineChars="200"/>
        <w:rPr>
          <w:rFonts w:ascii="宋体" w:hAnsi="宋体"/>
          <w:sz w:val="24"/>
        </w:rPr>
      </w:pPr>
      <w:r>
        <w:rPr>
          <w:rFonts w:hint="eastAsia" w:ascii="宋体" w:hAnsi="宋体"/>
          <w:sz w:val="24"/>
        </w:rPr>
        <w:t>（四）一方当事人违约，另一方当事人在职责范围内有义务及时采取必要的措施，尽力防止损失的扩大。</w:t>
      </w:r>
    </w:p>
    <w:p w14:paraId="3962BB5F">
      <w:pPr>
        <w:adjustRightInd w:val="0"/>
        <w:snapToGrid w:val="0"/>
        <w:spacing w:line="336" w:lineRule="auto"/>
        <w:ind w:firstLine="480" w:firstLineChars="200"/>
        <w:rPr>
          <w:rFonts w:ascii="宋体" w:hAnsi="宋体"/>
          <w:sz w:val="24"/>
        </w:rPr>
      </w:pPr>
      <w:r>
        <w:rPr>
          <w:rFonts w:hint="eastAsia" w:ascii="宋体" w:hAnsi="宋体"/>
          <w:sz w:val="24"/>
        </w:rPr>
        <w:t>（五）违约行为虽已发生，但本托管协议能够继续履行的，在最大限度地保护基金份额持有人利益的前提下，基金管理人和基金托管人应当继续履行本协议。若基金管理人或基金托管人因履行本协议而被起诉，另一方应提供合理的必要支持。</w:t>
      </w:r>
    </w:p>
    <w:p w14:paraId="1BBB0F18">
      <w:pPr>
        <w:adjustRightInd w:val="0"/>
        <w:snapToGrid w:val="0"/>
        <w:spacing w:line="336" w:lineRule="auto"/>
        <w:ind w:firstLine="480" w:firstLineChars="200"/>
        <w:rPr>
          <w:rFonts w:ascii="宋体" w:hAnsi="宋体"/>
          <w:sz w:val="24"/>
        </w:rPr>
      </w:pPr>
      <w:r>
        <w:rPr>
          <w:rFonts w:hint="eastAsia" w:ascii="宋体" w:hAnsi="宋体"/>
          <w:sz w:val="24"/>
        </w:rPr>
        <w:t>（六）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14:paraId="723ECE8D">
      <w:pPr>
        <w:adjustRightInd w:val="0"/>
        <w:snapToGrid w:val="0"/>
        <w:spacing w:line="336" w:lineRule="auto"/>
        <w:ind w:firstLine="482" w:firstLineChars="200"/>
        <w:rPr>
          <w:rFonts w:ascii="宋体" w:hAnsi="宋体"/>
          <w:b/>
          <w:sz w:val="24"/>
        </w:rPr>
      </w:pPr>
    </w:p>
    <w:p w14:paraId="6E86F852">
      <w:pPr>
        <w:widowControl/>
        <w:spacing w:line="336" w:lineRule="auto"/>
        <w:rPr>
          <w:rFonts w:ascii="宋体" w:hAnsi="宋体"/>
          <w:b/>
          <w:sz w:val="24"/>
        </w:rPr>
      </w:pPr>
      <w:bookmarkStart w:id="133" w:name="_Toc348082046"/>
    </w:p>
    <w:p w14:paraId="4AF160CB">
      <w:pPr>
        <w:pStyle w:val="3"/>
        <w:spacing w:before="312" w:beforeLines="100" w:after="156" w:afterLines="50" w:line="360" w:lineRule="auto"/>
        <w:jc w:val="center"/>
        <w:rPr>
          <w:rFonts w:ascii="宋体" w:hAnsi="宋体"/>
          <w:sz w:val="24"/>
        </w:rPr>
      </w:pPr>
      <w:bookmarkStart w:id="134" w:name="_Toc488938627"/>
      <w:bookmarkStart w:id="135" w:name="_Toc384992708"/>
      <w:r>
        <w:rPr>
          <w:rFonts w:hint="eastAsia" w:ascii="宋体" w:hAnsi="宋体"/>
          <w:sz w:val="24"/>
        </w:rPr>
        <w:t>十八、争议解决方式</w:t>
      </w:r>
      <w:bookmarkEnd w:id="133"/>
      <w:bookmarkEnd w:id="134"/>
      <w:bookmarkEnd w:id="135"/>
    </w:p>
    <w:p w14:paraId="291B2117">
      <w:pPr>
        <w:adjustRightInd w:val="0"/>
        <w:snapToGrid w:val="0"/>
        <w:spacing w:line="360" w:lineRule="auto"/>
        <w:ind w:firstLine="480" w:firstLineChars="200"/>
        <w:rPr>
          <w:rFonts w:ascii="宋体" w:hAnsi="宋体"/>
          <w:sz w:val="24"/>
        </w:rPr>
      </w:pPr>
      <w:r>
        <w:rPr>
          <w:rFonts w:hint="eastAsia" w:ascii="宋体" w:hAnsi="宋体"/>
          <w:sz w:val="24"/>
        </w:rPr>
        <w:t>双方当事人同意，因本协议而产生的或与本协议有关的一切争议，如经友好协商未能解决的，任何一方均有权将争议提交</w:t>
      </w:r>
      <w:r>
        <w:rPr>
          <w:rFonts w:hint="eastAsia"/>
          <w:bCs/>
          <w:sz w:val="24"/>
        </w:rPr>
        <w:t>深圳国际仲裁院</w:t>
      </w:r>
      <w:r>
        <w:rPr>
          <w:rFonts w:hint="eastAsia" w:ascii="宋体" w:hAnsi="宋体"/>
          <w:sz w:val="24"/>
        </w:rPr>
        <w:t>，按照</w:t>
      </w:r>
      <w:r>
        <w:rPr>
          <w:rFonts w:hint="eastAsia"/>
          <w:bCs/>
          <w:sz w:val="24"/>
        </w:rPr>
        <w:t>深圳国际仲裁院</w:t>
      </w:r>
      <w:r>
        <w:rPr>
          <w:rFonts w:hint="eastAsia" w:ascii="宋体" w:hAnsi="宋体"/>
          <w:sz w:val="24"/>
        </w:rPr>
        <w:t>届时有效的仲裁规则进行仲裁。仲裁地点为深圳市。仲裁裁决是终局的，对双方当事人均有约束力，除非仲裁裁决另有规定，仲裁费用由败诉方承担。</w:t>
      </w:r>
    </w:p>
    <w:p w14:paraId="10D144ED">
      <w:pPr>
        <w:adjustRightInd w:val="0"/>
        <w:snapToGrid w:val="0"/>
        <w:spacing w:line="360" w:lineRule="auto"/>
        <w:ind w:firstLine="480" w:firstLineChars="200"/>
        <w:rPr>
          <w:rFonts w:ascii="宋体" w:hAnsi="宋体"/>
          <w:sz w:val="24"/>
        </w:rPr>
      </w:pPr>
      <w:r>
        <w:rPr>
          <w:rFonts w:hint="eastAsia" w:ascii="宋体" w:hAnsi="宋体"/>
          <w:sz w:val="24"/>
        </w:rPr>
        <w:t>争议处理期间，双方当事人应恪守基金管理人和基金托管人职责，各自继续忠实、勤勉、尽责地履行基金合同和本托管协议规定的义务，维护基金份额持有人的合法权益。</w:t>
      </w:r>
    </w:p>
    <w:p w14:paraId="474DFC35">
      <w:pPr>
        <w:adjustRightInd w:val="0"/>
        <w:snapToGrid w:val="0"/>
        <w:spacing w:line="360" w:lineRule="auto"/>
        <w:ind w:firstLine="480" w:firstLineChars="200"/>
        <w:rPr>
          <w:rFonts w:ascii="宋体" w:hAnsi="宋体"/>
          <w:sz w:val="24"/>
        </w:rPr>
      </w:pPr>
      <w:r>
        <w:rPr>
          <w:rFonts w:hint="eastAsia" w:ascii="宋体" w:hAnsi="宋体"/>
          <w:sz w:val="24"/>
        </w:rPr>
        <w:t>本协议受中华人民共和国法律（不含港澳台地区法律）管辖。</w:t>
      </w:r>
    </w:p>
    <w:p w14:paraId="15D15B5E">
      <w:pPr>
        <w:adjustRightInd w:val="0"/>
        <w:snapToGrid w:val="0"/>
        <w:spacing w:line="360" w:lineRule="auto"/>
        <w:rPr>
          <w:rFonts w:ascii="宋体" w:hAnsi="宋体"/>
          <w:sz w:val="24"/>
        </w:rPr>
      </w:pPr>
    </w:p>
    <w:p w14:paraId="1BAADE06">
      <w:pPr>
        <w:pStyle w:val="3"/>
        <w:tabs>
          <w:tab w:val="center" w:pos="4252"/>
          <w:tab w:val="left" w:pos="7812"/>
        </w:tabs>
        <w:spacing w:before="312" w:beforeLines="100" w:after="156" w:afterLines="50" w:line="360" w:lineRule="auto"/>
        <w:jc w:val="left"/>
        <w:rPr>
          <w:rFonts w:ascii="宋体" w:hAnsi="宋体"/>
          <w:sz w:val="24"/>
        </w:rPr>
      </w:pPr>
      <w:r>
        <w:rPr>
          <w:rFonts w:ascii="宋体" w:hAnsi="宋体"/>
          <w:sz w:val="24"/>
        </w:rPr>
        <w:br w:type="page"/>
      </w:r>
      <w:bookmarkStart w:id="136" w:name="_Toc384992709"/>
      <w:bookmarkStart w:id="137" w:name="_Toc348082047"/>
      <w:bookmarkStart w:id="138" w:name="_Toc488938628"/>
      <w:r>
        <w:rPr>
          <w:rFonts w:ascii="宋体" w:hAnsi="宋体"/>
          <w:sz w:val="24"/>
        </w:rPr>
        <w:tab/>
      </w:r>
      <w:r>
        <w:rPr>
          <w:rFonts w:hint="eastAsia" w:ascii="宋体" w:hAnsi="宋体"/>
          <w:sz w:val="24"/>
        </w:rPr>
        <w:t>十九、托管协议的效力</w:t>
      </w:r>
      <w:bookmarkEnd w:id="136"/>
      <w:bookmarkEnd w:id="137"/>
      <w:bookmarkEnd w:id="138"/>
      <w:r>
        <w:rPr>
          <w:rFonts w:ascii="宋体" w:hAnsi="宋体"/>
          <w:sz w:val="24"/>
        </w:rPr>
        <w:tab/>
      </w:r>
    </w:p>
    <w:p w14:paraId="05143A7D">
      <w:pPr>
        <w:adjustRightInd w:val="0"/>
        <w:snapToGrid w:val="0"/>
        <w:spacing w:line="360" w:lineRule="auto"/>
        <w:ind w:firstLine="480" w:firstLineChars="200"/>
        <w:rPr>
          <w:rFonts w:ascii="宋体" w:hAnsi="宋体"/>
          <w:sz w:val="24"/>
        </w:rPr>
      </w:pPr>
      <w:r>
        <w:rPr>
          <w:rFonts w:hint="eastAsia" w:ascii="宋体" w:hAnsi="宋体"/>
          <w:sz w:val="24"/>
        </w:rPr>
        <w:t>双方对托管协议的效力约定如下：</w:t>
      </w:r>
    </w:p>
    <w:p w14:paraId="74148AA0">
      <w:pPr>
        <w:adjustRightInd w:val="0"/>
        <w:snapToGrid w:val="0"/>
        <w:spacing w:line="360" w:lineRule="auto"/>
        <w:ind w:firstLine="480" w:firstLineChars="200"/>
        <w:rPr>
          <w:rFonts w:ascii="宋体" w:hAnsi="宋体"/>
          <w:sz w:val="24"/>
        </w:rPr>
      </w:pPr>
      <w:r>
        <w:rPr>
          <w:rFonts w:hint="eastAsia" w:ascii="宋体" w:hAnsi="宋体"/>
          <w:sz w:val="24"/>
        </w:rPr>
        <w:t>（一）基金管理人在向中国证监会申请募集注册时提交的托管协议草案，应经托管协议当事人双方盖章以及双方法定代表人或授权代表</w:t>
      </w:r>
      <w:r>
        <w:rPr>
          <w:rFonts w:hint="eastAsia" w:ascii="宋体" w:hAnsi="宋体" w:cs="Arial"/>
          <w:sz w:val="24"/>
        </w:rPr>
        <w:t>签章</w:t>
      </w:r>
      <w:r>
        <w:rPr>
          <w:rFonts w:hint="eastAsia" w:ascii="宋体" w:hAnsi="宋体"/>
          <w:sz w:val="24"/>
        </w:rPr>
        <w:t>，协议当事人双方根据中国证监会的意见修改并正式签署托管协议。托管协议以中国证监会注册的文本为正式文本。</w:t>
      </w:r>
    </w:p>
    <w:p w14:paraId="53170553">
      <w:pPr>
        <w:adjustRightInd w:val="0"/>
        <w:snapToGrid w:val="0"/>
        <w:spacing w:line="360" w:lineRule="auto"/>
        <w:ind w:firstLine="480" w:firstLineChars="200"/>
        <w:rPr>
          <w:rFonts w:ascii="宋体" w:hAnsi="宋体"/>
          <w:sz w:val="24"/>
        </w:rPr>
      </w:pPr>
      <w:r>
        <w:rPr>
          <w:rFonts w:hint="eastAsia" w:ascii="宋体" w:hAnsi="宋体"/>
          <w:sz w:val="24"/>
        </w:rPr>
        <w:t>（二）托管协议自基金合同成立之日起成立，自基金合同生效之日起生效。托管协议的有效期自其生效之日起至基金财产清算结果报中国证监会备案并公告之日止。</w:t>
      </w:r>
    </w:p>
    <w:p w14:paraId="35341BE4">
      <w:pPr>
        <w:adjustRightInd w:val="0"/>
        <w:snapToGrid w:val="0"/>
        <w:spacing w:line="360" w:lineRule="auto"/>
        <w:ind w:firstLine="480" w:firstLineChars="200"/>
        <w:rPr>
          <w:rFonts w:ascii="宋体" w:hAnsi="宋体"/>
          <w:sz w:val="24"/>
        </w:rPr>
      </w:pPr>
      <w:r>
        <w:rPr>
          <w:rFonts w:hint="eastAsia" w:ascii="宋体" w:hAnsi="宋体"/>
          <w:sz w:val="24"/>
        </w:rPr>
        <w:t>（三）托管协议自生效之日起对托管协议当事人具有同等的法律约束力。</w:t>
      </w:r>
    </w:p>
    <w:p w14:paraId="2B1ED265">
      <w:pPr>
        <w:adjustRightInd w:val="0"/>
        <w:snapToGrid w:val="0"/>
        <w:spacing w:line="360" w:lineRule="auto"/>
        <w:ind w:firstLine="480" w:firstLineChars="200"/>
        <w:rPr>
          <w:rFonts w:ascii="宋体" w:hAnsi="宋体"/>
          <w:sz w:val="24"/>
        </w:rPr>
      </w:pPr>
      <w:r>
        <w:rPr>
          <w:rFonts w:hint="eastAsia" w:ascii="宋体" w:hAnsi="宋体"/>
          <w:sz w:val="24"/>
        </w:rPr>
        <w:t>（四）本协议一式</w:t>
      </w:r>
      <w:r>
        <w:rPr>
          <w:rFonts w:hint="eastAsia"/>
          <w:sz w:val="24"/>
        </w:rPr>
        <w:t>三</w:t>
      </w:r>
      <w:r>
        <w:rPr>
          <w:rFonts w:hint="eastAsia" w:ascii="宋体" w:hAnsi="宋体"/>
          <w:sz w:val="24"/>
        </w:rPr>
        <w:t>份，协议双方各持一份，由基金管理人根据需要上报监管机构一份，每份具有同等法律效力。</w:t>
      </w:r>
    </w:p>
    <w:p w14:paraId="587A3AFE">
      <w:pPr>
        <w:adjustRightInd w:val="0"/>
        <w:snapToGrid w:val="0"/>
        <w:spacing w:line="360" w:lineRule="auto"/>
        <w:rPr>
          <w:rFonts w:ascii="宋体" w:hAnsi="宋体"/>
          <w:sz w:val="24"/>
        </w:rPr>
      </w:pPr>
    </w:p>
    <w:p w14:paraId="6435F4FE">
      <w:pPr>
        <w:pStyle w:val="3"/>
        <w:spacing w:before="312" w:beforeLines="100" w:after="156" w:afterLines="50" w:line="360" w:lineRule="auto"/>
        <w:jc w:val="center"/>
        <w:rPr>
          <w:rFonts w:ascii="宋体" w:hAnsi="宋体"/>
          <w:sz w:val="24"/>
        </w:rPr>
      </w:pPr>
      <w:r>
        <w:rPr>
          <w:rFonts w:ascii="宋体" w:hAnsi="宋体"/>
          <w:sz w:val="24"/>
        </w:rPr>
        <w:br w:type="page"/>
      </w:r>
      <w:bookmarkStart w:id="139" w:name="_Toc488938629"/>
      <w:bookmarkStart w:id="140" w:name="_Toc384992710"/>
      <w:bookmarkStart w:id="141" w:name="_Toc348082048"/>
      <w:r>
        <w:rPr>
          <w:rFonts w:hint="eastAsia" w:ascii="宋体" w:hAnsi="宋体"/>
          <w:sz w:val="24"/>
        </w:rPr>
        <w:t>二十、其他事项</w:t>
      </w:r>
      <w:bookmarkEnd w:id="139"/>
      <w:bookmarkEnd w:id="140"/>
      <w:bookmarkEnd w:id="141"/>
    </w:p>
    <w:p w14:paraId="0504A27F">
      <w:pPr>
        <w:adjustRightInd w:val="0"/>
        <w:snapToGrid w:val="0"/>
        <w:spacing w:line="360" w:lineRule="auto"/>
        <w:ind w:firstLine="480" w:firstLineChars="200"/>
        <w:rPr>
          <w:rFonts w:ascii="宋体" w:hAnsi="宋体"/>
          <w:sz w:val="24"/>
        </w:rPr>
      </w:pPr>
      <w:r>
        <w:rPr>
          <w:rFonts w:hint="eastAsia" w:ascii="宋体" w:hAnsi="宋体"/>
          <w:sz w:val="24"/>
        </w:rPr>
        <w:t>如发生有权司法机关依法冻结基金份额持有人的基金份额时，基金管理人应予以配合，承担司法协助义务。</w:t>
      </w:r>
    </w:p>
    <w:p w14:paraId="1DDA9D08">
      <w:pPr>
        <w:adjustRightInd w:val="0"/>
        <w:snapToGrid w:val="0"/>
        <w:spacing w:line="360" w:lineRule="auto"/>
        <w:ind w:firstLine="480" w:firstLineChars="200"/>
        <w:rPr>
          <w:rFonts w:ascii="宋体" w:hAnsi="宋体"/>
          <w:sz w:val="24"/>
        </w:rPr>
      </w:pPr>
      <w:r>
        <w:rPr>
          <w:rFonts w:hint="eastAsia" w:ascii="宋体" w:hAnsi="宋体"/>
          <w:sz w:val="24"/>
        </w:rPr>
        <w:t>除本协议有明确定义外，本协议的用语定义适用基金合同的约定。本协议未尽事宜，当事人依据基金合同、有关法律法规等规定协商办理。</w:t>
      </w:r>
    </w:p>
    <w:p w14:paraId="66C70CE7">
      <w:pPr>
        <w:adjustRightInd w:val="0"/>
        <w:snapToGrid w:val="0"/>
        <w:spacing w:line="360" w:lineRule="auto"/>
        <w:ind w:firstLine="480" w:firstLineChars="200"/>
        <w:rPr>
          <w:rFonts w:ascii="宋体" w:hAnsi="宋体"/>
          <w:sz w:val="24"/>
        </w:rPr>
      </w:pPr>
      <w:r>
        <w:rPr>
          <w:rFonts w:hint="eastAsia" w:ascii="宋体" w:hAnsi="宋体"/>
          <w:sz w:val="24"/>
        </w:rPr>
        <w:t>本协议附件构成本协议不可分割的组成部分。</w:t>
      </w:r>
    </w:p>
    <w:p w14:paraId="7D46E151">
      <w:pPr>
        <w:adjustRightInd w:val="0"/>
        <w:snapToGrid w:val="0"/>
        <w:spacing w:line="360" w:lineRule="auto"/>
        <w:rPr>
          <w:rFonts w:ascii="宋体" w:hAnsi="宋体"/>
          <w:sz w:val="24"/>
        </w:rPr>
      </w:pPr>
    </w:p>
    <w:p w14:paraId="233ED3BE">
      <w:pPr>
        <w:pStyle w:val="3"/>
        <w:spacing w:before="312" w:beforeLines="100" w:after="156" w:afterLines="50" w:line="360" w:lineRule="auto"/>
        <w:jc w:val="center"/>
        <w:rPr>
          <w:rFonts w:ascii="宋体" w:hAnsi="宋体"/>
          <w:sz w:val="24"/>
        </w:rPr>
      </w:pPr>
      <w:r>
        <w:rPr>
          <w:rFonts w:ascii="宋体" w:hAnsi="宋体"/>
          <w:sz w:val="24"/>
        </w:rPr>
        <w:br w:type="page"/>
      </w:r>
      <w:bookmarkStart w:id="142" w:name="_Toc384992711"/>
      <w:bookmarkStart w:id="143" w:name="_Toc348082049"/>
      <w:bookmarkStart w:id="144" w:name="_Toc488938630"/>
      <w:r>
        <w:rPr>
          <w:rFonts w:hint="eastAsia" w:ascii="宋体" w:hAnsi="宋体"/>
          <w:sz w:val="24"/>
        </w:rPr>
        <w:t>二十一、托管协议的签订</w:t>
      </w:r>
      <w:bookmarkEnd w:id="142"/>
      <w:bookmarkEnd w:id="143"/>
      <w:bookmarkEnd w:id="144"/>
    </w:p>
    <w:p w14:paraId="3C4DE87B">
      <w:pPr>
        <w:adjustRightInd w:val="0"/>
        <w:snapToGrid w:val="0"/>
        <w:spacing w:line="360" w:lineRule="auto"/>
        <w:ind w:firstLine="480" w:firstLineChars="200"/>
        <w:rPr>
          <w:rFonts w:ascii="宋体" w:hAnsi="宋体"/>
          <w:sz w:val="24"/>
        </w:rPr>
      </w:pPr>
      <w:r>
        <w:rPr>
          <w:rFonts w:hint="eastAsia" w:ascii="宋体" w:hAnsi="宋体"/>
          <w:sz w:val="24"/>
        </w:rPr>
        <w:t>本协议双方法定代表人或授权代表签章、签订地、签订日</w:t>
      </w:r>
    </w:p>
    <w:p w14:paraId="13DC82F7">
      <w:pPr>
        <w:adjustRightInd w:val="0"/>
        <w:snapToGrid w:val="0"/>
        <w:spacing w:line="360" w:lineRule="auto"/>
        <w:rPr>
          <w:rFonts w:ascii="宋体" w:hAnsi="宋体"/>
          <w:sz w:val="24"/>
        </w:rPr>
      </w:pPr>
    </w:p>
    <w:p w14:paraId="0D98EDC3">
      <w:pPr>
        <w:adjustRightInd w:val="0"/>
        <w:snapToGrid w:val="0"/>
        <w:spacing w:line="360" w:lineRule="auto"/>
        <w:rPr>
          <w:rFonts w:ascii="宋体" w:hAnsi="宋体"/>
          <w:sz w:val="24"/>
        </w:rPr>
      </w:pPr>
    </w:p>
    <w:p w14:paraId="3EE615E0">
      <w:pPr>
        <w:adjustRightInd w:val="0"/>
        <w:snapToGrid w:val="0"/>
        <w:spacing w:line="360" w:lineRule="auto"/>
        <w:rPr>
          <w:rFonts w:ascii="宋体" w:hAnsi="宋体"/>
          <w:sz w:val="24"/>
        </w:rPr>
      </w:pPr>
    </w:p>
    <w:p w14:paraId="1BE20985">
      <w:pPr>
        <w:adjustRightInd w:val="0"/>
        <w:snapToGrid w:val="0"/>
        <w:spacing w:line="360" w:lineRule="auto"/>
        <w:rPr>
          <w:rFonts w:ascii="宋体" w:hAnsi="宋体"/>
          <w:sz w:val="24"/>
        </w:rPr>
      </w:pPr>
    </w:p>
    <w:p w14:paraId="4993F04F">
      <w:pPr>
        <w:adjustRightInd w:val="0"/>
        <w:snapToGrid w:val="0"/>
        <w:spacing w:line="360" w:lineRule="auto"/>
        <w:rPr>
          <w:rFonts w:ascii="宋体" w:hAnsi="宋体"/>
          <w:sz w:val="24"/>
        </w:rPr>
      </w:pPr>
    </w:p>
    <w:p w14:paraId="4B76DAFE">
      <w:pPr>
        <w:adjustRightInd w:val="0"/>
        <w:snapToGrid w:val="0"/>
        <w:spacing w:line="360" w:lineRule="auto"/>
        <w:rPr>
          <w:rFonts w:ascii="宋体" w:hAnsi="宋体"/>
          <w:sz w:val="24"/>
        </w:rPr>
      </w:pPr>
    </w:p>
    <w:p w14:paraId="29BC2960">
      <w:pPr>
        <w:adjustRightInd w:val="0"/>
        <w:snapToGrid w:val="0"/>
        <w:spacing w:line="360" w:lineRule="auto"/>
        <w:rPr>
          <w:rFonts w:ascii="宋体" w:hAnsi="宋体"/>
          <w:sz w:val="24"/>
        </w:rPr>
      </w:pPr>
    </w:p>
    <w:p w14:paraId="328C1F51">
      <w:pPr>
        <w:adjustRightInd w:val="0"/>
        <w:snapToGrid w:val="0"/>
        <w:spacing w:line="360" w:lineRule="auto"/>
        <w:rPr>
          <w:rFonts w:ascii="宋体" w:hAnsi="宋体"/>
          <w:sz w:val="24"/>
        </w:rPr>
      </w:pPr>
    </w:p>
    <w:p w14:paraId="449A3F4A">
      <w:pPr>
        <w:adjustRightInd w:val="0"/>
        <w:snapToGrid w:val="0"/>
        <w:spacing w:line="360" w:lineRule="auto"/>
        <w:rPr>
          <w:rFonts w:ascii="宋体" w:hAnsi="宋体"/>
          <w:sz w:val="24"/>
        </w:rPr>
      </w:pPr>
    </w:p>
    <w:p w14:paraId="6C7AE40E">
      <w:pPr>
        <w:adjustRightInd w:val="0"/>
        <w:snapToGrid w:val="0"/>
        <w:spacing w:line="360" w:lineRule="auto"/>
        <w:rPr>
          <w:rFonts w:ascii="宋体" w:hAnsi="宋体"/>
          <w:sz w:val="24"/>
        </w:rPr>
      </w:pPr>
    </w:p>
    <w:p w14:paraId="418BD5B0">
      <w:pPr>
        <w:adjustRightInd w:val="0"/>
        <w:snapToGrid w:val="0"/>
        <w:spacing w:line="360" w:lineRule="auto"/>
        <w:rPr>
          <w:rFonts w:ascii="宋体" w:hAnsi="宋体"/>
          <w:sz w:val="24"/>
        </w:rPr>
      </w:pPr>
    </w:p>
    <w:p w14:paraId="2C918A4B">
      <w:pPr>
        <w:adjustRightInd w:val="0"/>
        <w:snapToGrid w:val="0"/>
        <w:spacing w:line="360" w:lineRule="auto"/>
        <w:rPr>
          <w:rFonts w:ascii="宋体" w:hAnsi="宋体"/>
          <w:sz w:val="24"/>
        </w:rPr>
      </w:pPr>
    </w:p>
    <w:p w14:paraId="6673326A">
      <w:pPr>
        <w:adjustRightInd w:val="0"/>
        <w:snapToGrid w:val="0"/>
        <w:spacing w:line="360" w:lineRule="auto"/>
        <w:rPr>
          <w:rFonts w:ascii="宋体" w:hAnsi="宋体"/>
          <w:sz w:val="24"/>
        </w:rPr>
      </w:pPr>
    </w:p>
    <w:p w14:paraId="6C61FE2C">
      <w:pPr>
        <w:adjustRightInd w:val="0"/>
        <w:snapToGrid w:val="0"/>
        <w:spacing w:line="360" w:lineRule="auto"/>
        <w:rPr>
          <w:rFonts w:ascii="宋体" w:hAnsi="宋体"/>
          <w:sz w:val="24"/>
        </w:rPr>
      </w:pPr>
    </w:p>
    <w:p w14:paraId="0660CCE2">
      <w:pPr>
        <w:adjustRightInd w:val="0"/>
        <w:snapToGrid w:val="0"/>
        <w:spacing w:line="360" w:lineRule="auto"/>
        <w:rPr>
          <w:rFonts w:ascii="宋体" w:hAnsi="宋体"/>
          <w:sz w:val="24"/>
        </w:rPr>
      </w:pPr>
    </w:p>
    <w:p w14:paraId="4AA0A6FC">
      <w:pPr>
        <w:adjustRightInd w:val="0"/>
        <w:snapToGrid w:val="0"/>
        <w:spacing w:line="360" w:lineRule="auto"/>
        <w:rPr>
          <w:rFonts w:ascii="宋体" w:hAnsi="宋体"/>
          <w:sz w:val="24"/>
        </w:rPr>
      </w:pPr>
    </w:p>
    <w:p w14:paraId="1032E3D2">
      <w:pPr>
        <w:adjustRightInd w:val="0"/>
        <w:snapToGrid w:val="0"/>
        <w:spacing w:line="360" w:lineRule="auto"/>
        <w:rPr>
          <w:rFonts w:ascii="宋体" w:hAnsi="宋体"/>
          <w:sz w:val="24"/>
        </w:rPr>
      </w:pPr>
    </w:p>
    <w:p w14:paraId="0B5AB3B4">
      <w:pPr>
        <w:adjustRightInd w:val="0"/>
        <w:snapToGrid w:val="0"/>
        <w:spacing w:line="360" w:lineRule="auto"/>
        <w:rPr>
          <w:rFonts w:ascii="宋体" w:hAnsi="宋体"/>
          <w:sz w:val="24"/>
        </w:rPr>
      </w:pPr>
    </w:p>
    <w:p w14:paraId="31ACADA6">
      <w:pPr>
        <w:adjustRightInd w:val="0"/>
        <w:snapToGrid w:val="0"/>
        <w:spacing w:line="360" w:lineRule="auto"/>
        <w:rPr>
          <w:rFonts w:ascii="宋体" w:hAnsi="宋体"/>
          <w:sz w:val="24"/>
        </w:rPr>
      </w:pPr>
    </w:p>
    <w:p w14:paraId="488E880E">
      <w:pPr>
        <w:adjustRightInd w:val="0"/>
        <w:snapToGrid w:val="0"/>
        <w:spacing w:line="360" w:lineRule="auto"/>
        <w:rPr>
          <w:rFonts w:ascii="宋体" w:hAnsi="宋体"/>
          <w:sz w:val="24"/>
        </w:rPr>
      </w:pPr>
    </w:p>
    <w:p w14:paraId="1F065741">
      <w:pPr>
        <w:adjustRightInd w:val="0"/>
        <w:snapToGrid w:val="0"/>
        <w:spacing w:line="360" w:lineRule="auto"/>
        <w:rPr>
          <w:rFonts w:ascii="宋体" w:hAnsi="宋体"/>
          <w:sz w:val="24"/>
        </w:rPr>
      </w:pPr>
    </w:p>
    <w:p w14:paraId="514E2E1B">
      <w:pPr>
        <w:adjustRightInd w:val="0"/>
        <w:snapToGrid w:val="0"/>
        <w:spacing w:line="360" w:lineRule="auto"/>
        <w:rPr>
          <w:rFonts w:ascii="宋体" w:hAnsi="宋体"/>
          <w:sz w:val="24"/>
        </w:rPr>
      </w:pPr>
    </w:p>
    <w:p w14:paraId="3F4BA550">
      <w:pPr>
        <w:adjustRightInd w:val="0"/>
        <w:snapToGrid w:val="0"/>
        <w:spacing w:line="360" w:lineRule="auto"/>
        <w:rPr>
          <w:rFonts w:ascii="宋体" w:hAnsi="宋体"/>
          <w:sz w:val="24"/>
        </w:rPr>
      </w:pPr>
    </w:p>
    <w:p w14:paraId="5411D04B">
      <w:pPr>
        <w:adjustRightInd w:val="0"/>
        <w:snapToGrid w:val="0"/>
        <w:spacing w:line="360" w:lineRule="auto"/>
        <w:rPr>
          <w:rFonts w:ascii="宋体" w:hAnsi="宋体"/>
          <w:sz w:val="24"/>
        </w:rPr>
      </w:pPr>
    </w:p>
    <w:p w14:paraId="4A70AC1B">
      <w:pPr>
        <w:widowControl/>
        <w:jc w:val="left"/>
        <w:rPr>
          <w:rFonts w:ascii="宋体" w:hAnsi="宋体"/>
          <w:b/>
          <w:sz w:val="24"/>
        </w:rPr>
      </w:pPr>
      <w:bookmarkStart w:id="145" w:name="_Toc384992712"/>
      <w:bookmarkStart w:id="146" w:name="_Toc488938631"/>
      <w:r>
        <w:rPr>
          <w:rFonts w:ascii="宋体" w:hAnsi="宋体"/>
          <w:sz w:val="24"/>
        </w:rPr>
        <w:br w:type="page"/>
      </w:r>
    </w:p>
    <w:p w14:paraId="5F875FFF">
      <w:pPr>
        <w:pStyle w:val="3"/>
        <w:spacing w:before="312" w:beforeLines="100" w:after="156" w:afterLines="50" w:line="360" w:lineRule="auto"/>
        <w:jc w:val="center"/>
        <w:rPr>
          <w:rFonts w:ascii="宋体" w:hAnsi="宋体"/>
          <w:sz w:val="24"/>
        </w:rPr>
      </w:pPr>
      <w:r>
        <w:rPr>
          <w:rFonts w:hint="eastAsia" w:ascii="宋体" w:hAnsi="宋体"/>
          <w:sz w:val="24"/>
        </w:rPr>
        <w:t>附件：托管银行证券资金结算规定</w:t>
      </w:r>
      <w:bookmarkEnd w:id="145"/>
      <w:bookmarkEnd w:id="146"/>
    </w:p>
    <w:p w14:paraId="677AB1D2">
      <w:pPr>
        <w:ind w:firstLine="424" w:firstLineChars="202"/>
        <w:rPr>
          <w:szCs w:val="21"/>
        </w:rPr>
      </w:pPr>
    </w:p>
    <w:p w14:paraId="6904AC9D">
      <w:pPr>
        <w:spacing w:line="360" w:lineRule="auto"/>
        <w:ind w:firstLine="424" w:firstLineChars="202"/>
        <w:rPr>
          <w:szCs w:val="21"/>
        </w:rPr>
      </w:pPr>
      <w:r>
        <w:rPr>
          <w:rFonts w:hint="eastAsia"/>
          <w:szCs w:val="21"/>
        </w:rPr>
        <w:t>资产托管人和资产管理人为确保证券交易资金结算业务安全、高效运行，有效防范结算风险，规范结算行为，进一步明确资产托管人与其代理结算客户在证券交易资金结算业务中的责任，根据《中华人民共和国证券法》、《中华人民共和国证券投资基金法》、《证券登记结算管理办法》、《中国证券登记结算有限责任公司结算参与人管理规则》等有关法律法规、部门规章及相关业务规则，资产管理人和资产托管人就参与中国证券登记结算有限责任公司（以下简称“结算公司”）多边净额结算业务相关事宜规定如下：</w:t>
      </w:r>
    </w:p>
    <w:p w14:paraId="735EEF61">
      <w:pPr>
        <w:spacing w:line="360" w:lineRule="auto"/>
        <w:ind w:firstLine="424" w:firstLineChars="202"/>
        <w:rPr>
          <w:szCs w:val="21"/>
        </w:rPr>
      </w:pPr>
      <w:r>
        <w:rPr>
          <w:rFonts w:hint="eastAsia"/>
          <w:szCs w:val="21"/>
        </w:rPr>
        <w:t>第一条  资产托管人系经中国银监会、中国证监会、中国保监会及其他相关部门核准具备证券投资基金、保险资产、企业年金基金以及其他与结算公司结算业务相关的托管业务资格的商业银行；资产管理人系经中国证监会、中国保监会批准设立的证券公司、基金管理公司、保险公司、保险资产管理公司等投资管理机构。</w:t>
      </w:r>
    </w:p>
    <w:p w14:paraId="1C124F1B">
      <w:pPr>
        <w:spacing w:line="360" w:lineRule="auto"/>
        <w:ind w:firstLine="424" w:firstLineChars="202"/>
        <w:rPr>
          <w:szCs w:val="21"/>
        </w:rPr>
      </w:pPr>
      <w:r>
        <w:rPr>
          <w:rFonts w:hint="eastAsia"/>
          <w:szCs w:val="21"/>
        </w:rPr>
        <w:t>第二条  资产管理人管理并由资产托管人托管的资产在证券交易所市场达成的符合多边净额结算要求的证券交易，采取托管银行结算模式的（包括公募基金、专户账户、企业年金、社保基金等），应由资产托管人与结算公司办理证券资金结算业务；资产托管人负责参与结算公司多边净额结算业务，资产管理人应当按照资产托管人提供的清算结果，按时履行交收义务，并承担对资产托管人的最终交收责任。</w:t>
      </w:r>
    </w:p>
    <w:p w14:paraId="057183D2">
      <w:pPr>
        <w:spacing w:line="360" w:lineRule="auto"/>
        <w:ind w:firstLine="424" w:firstLineChars="202"/>
        <w:rPr>
          <w:szCs w:val="21"/>
        </w:rPr>
      </w:pPr>
      <w:r>
        <w:rPr>
          <w:rFonts w:hint="eastAsia"/>
          <w:szCs w:val="21"/>
        </w:rPr>
        <w:t>第三条  资产管理人和资产托管人同意遵守结算公司制定的业务规则。</w:t>
      </w:r>
    </w:p>
    <w:p w14:paraId="6EDACDED">
      <w:pPr>
        <w:spacing w:line="360" w:lineRule="auto"/>
        <w:ind w:firstLine="424" w:firstLineChars="202"/>
        <w:rPr>
          <w:szCs w:val="21"/>
        </w:rPr>
      </w:pPr>
      <w:r>
        <w:rPr>
          <w:rFonts w:hint="eastAsia"/>
          <w:szCs w:val="21"/>
        </w:rPr>
        <w:t>第四条  多边净额结算方式下，证券和资金结算实行分级结算原则。资产托管人负责办理与结算公司之间证券和资金的一级清算交收；同时负责办理与资产管理人之间证券和资金的二级清算交收。</w:t>
      </w:r>
    </w:p>
    <w:p w14:paraId="5B1AF79B">
      <w:pPr>
        <w:spacing w:line="360" w:lineRule="auto"/>
        <w:ind w:firstLine="424" w:firstLineChars="202"/>
        <w:rPr>
          <w:szCs w:val="21"/>
        </w:rPr>
      </w:pPr>
      <w:r>
        <w:rPr>
          <w:rFonts w:hint="eastAsia"/>
          <w:szCs w:val="21"/>
        </w:rPr>
        <w:t>第五条  资产托管人依据交易清算日（T日）清算结果，按照结算业务规则，与结算公司完成最终不可撤销的证券与资金交收处理；同时在规定时限内，与资产管理人完成不可撤销的证券、资金交收处理。</w:t>
      </w:r>
    </w:p>
    <w:p w14:paraId="3499CE8D">
      <w:pPr>
        <w:spacing w:line="360" w:lineRule="auto"/>
        <w:ind w:firstLine="424" w:firstLineChars="202"/>
        <w:rPr>
          <w:szCs w:val="21"/>
        </w:rPr>
      </w:pPr>
      <w:r>
        <w:rPr>
          <w:rFonts w:hint="eastAsia"/>
          <w:szCs w:val="21"/>
        </w:rPr>
        <w:t>第六条  资产管理人管理资产交收违约应遵循谁过错谁赔偿的原则。</w:t>
      </w:r>
    </w:p>
    <w:p w14:paraId="0B95B784">
      <w:pPr>
        <w:spacing w:line="360" w:lineRule="auto"/>
        <w:ind w:firstLine="424" w:firstLineChars="202"/>
        <w:rPr>
          <w:szCs w:val="21"/>
        </w:rPr>
      </w:pPr>
      <w:r>
        <w:rPr>
          <w:rFonts w:hint="eastAsia"/>
          <w:szCs w:val="21"/>
        </w:rPr>
        <w:t>（一）因资产管理人头寸匡算错误等资产管理人原因导致的交收违约实际损失，由资产管理人承担。</w:t>
      </w:r>
    </w:p>
    <w:p w14:paraId="09ADF097">
      <w:pPr>
        <w:spacing w:line="360" w:lineRule="auto"/>
        <w:ind w:firstLine="424" w:firstLineChars="202"/>
        <w:rPr>
          <w:szCs w:val="21"/>
        </w:rPr>
      </w:pPr>
      <w:r>
        <w:rPr>
          <w:rFonts w:hint="eastAsia"/>
          <w:szCs w:val="21"/>
        </w:rPr>
        <w:t>（二）因资产托管人操作失误等资产托管人原因导致的交收违约实际损失，由资产托管人承担。</w:t>
      </w:r>
    </w:p>
    <w:p w14:paraId="70F375B8">
      <w:pPr>
        <w:spacing w:line="360" w:lineRule="auto"/>
        <w:ind w:firstLine="424" w:firstLineChars="202"/>
        <w:rPr>
          <w:szCs w:val="21"/>
        </w:rPr>
      </w:pPr>
      <w:r>
        <w:rPr>
          <w:rFonts w:hint="eastAsia"/>
          <w:szCs w:val="21"/>
        </w:rPr>
        <w:t>（三）由第三方过错导致的交收违约损失，按照最大程度保护资产管理人管理托管资产持有人合法权益的原则，由双方协商处理，并由双方共同承担向第三方追偿的责任。</w:t>
      </w:r>
    </w:p>
    <w:p w14:paraId="46F7FBC5">
      <w:pPr>
        <w:spacing w:line="360" w:lineRule="auto"/>
        <w:ind w:firstLine="424" w:firstLineChars="202"/>
        <w:rPr>
          <w:szCs w:val="21"/>
        </w:rPr>
      </w:pPr>
      <w:r>
        <w:rPr>
          <w:rFonts w:hint="eastAsia"/>
          <w:szCs w:val="21"/>
        </w:rPr>
        <w:t>除依据相关法律法规和本规定约定外，资产托管人不得擅自动用资产管理人管理托管资产的证券和资金从事证券交易。资产托管人擅自动用资产管理人管理托管资产的证券和资金造成损失的，应当对资产管理人管理资产及资产管理人遭受的实际损失承担赔偿责任。资产托管人擅自动用资产管理人管理托管资产的证券和资金得到盈利的，所有因此而取得的收益归于托管资产，且资产管理人不承担任何相关费用。</w:t>
      </w:r>
    </w:p>
    <w:p w14:paraId="32828C02">
      <w:pPr>
        <w:spacing w:line="360" w:lineRule="auto"/>
        <w:ind w:firstLine="424" w:firstLineChars="202"/>
        <w:rPr>
          <w:szCs w:val="21"/>
        </w:rPr>
      </w:pPr>
      <w:r>
        <w:rPr>
          <w:rFonts w:hint="eastAsia"/>
          <w:szCs w:val="21"/>
        </w:rPr>
        <w:t>若资产管理人过错且利用自有资金或按照中国证监会规定使用风险准备金垫付资金交收透支，由此产生的收益归托管资产，由此产生的实际损失由资产管理人承担。</w:t>
      </w:r>
    </w:p>
    <w:p w14:paraId="55420197">
      <w:pPr>
        <w:spacing w:line="360" w:lineRule="auto"/>
        <w:ind w:firstLine="424" w:firstLineChars="202"/>
        <w:rPr>
          <w:szCs w:val="21"/>
        </w:rPr>
      </w:pPr>
      <w:r>
        <w:rPr>
          <w:rFonts w:hint="eastAsia"/>
          <w:szCs w:val="21"/>
        </w:rPr>
        <w:t>第七条  资产托管人按照结算公司的规定，以资产托管人自身名义向结算公司申请开立相关结算备付金账户、证券交收账户以及按照结算公司相关业务规定应开立的其他结算账户，用于办理资产托管人所托管资产在证券交易所市场的证券交易及非交易涉及的资金和证券交收业务。</w:t>
      </w:r>
    </w:p>
    <w:p w14:paraId="6043E807">
      <w:pPr>
        <w:spacing w:line="360" w:lineRule="auto"/>
        <w:ind w:firstLine="424" w:firstLineChars="202"/>
        <w:rPr>
          <w:szCs w:val="21"/>
        </w:rPr>
      </w:pPr>
      <w:r>
        <w:rPr>
          <w:rFonts w:hint="eastAsia"/>
          <w:szCs w:val="21"/>
        </w:rPr>
        <w:t>第八条  根据结算公司业务规则，资产托管人依法向资产管理人管理资产收取存入结算公司的最低结算备付金、交收价差保证金及结算保证金等担保资金，该类资金的收取金额及其额度调整按照结算公司规则以及资产管理人和资产托管人的其他书面协议或约定执行。</w:t>
      </w:r>
    </w:p>
    <w:p w14:paraId="28293D25">
      <w:pPr>
        <w:spacing w:line="360" w:lineRule="auto"/>
        <w:ind w:firstLine="424" w:firstLineChars="202"/>
        <w:rPr>
          <w:szCs w:val="21"/>
        </w:rPr>
      </w:pPr>
      <w:r>
        <w:rPr>
          <w:rFonts w:hint="eastAsia"/>
          <w:szCs w:val="21"/>
        </w:rPr>
        <w:t>若资产管理人管理资产结算备付金账户日末余额低于其最低结算备付金限额的，资产管理人应于规定时间内补足款项。</w:t>
      </w:r>
    </w:p>
    <w:p w14:paraId="511B7DCC">
      <w:pPr>
        <w:spacing w:line="360" w:lineRule="auto"/>
        <w:ind w:firstLine="424" w:firstLineChars="202"/>
        <w:rPr>
          <w:szCs w:val="21"/>
        </w:rPr>
      </w:pPr>
      <w:r>
        <w:rPr>
          <w:rFonts w:hint="eastAsia"/>
          <w:szCs w:val="21"/>
        </w:rPr>
        <w:t>第九条  资产托管人收到结算公司按照与结算银行商定利率计付的结算备付金（含最低备付金）、结算保证金等资金利息后，于收息当日向资产管理人管理资产支付。</w:t>
      </w:r>
    </w:p>
    <w:p w14:paraId="26B5CE48">
      <w:pPr>
        <w:spacing w:line="360" w:lineRule="auto"/>
        <w:ind w:firstLine="424" w:firstLineChars="202"/>
        <w:rPr>
          <w:szCs w:val="21"/>
        </w:rPr>
      </w:pPr>
      <w:r>
        <w:rPr>
          <w:rFonts w:hint="eastAsia"/>
          <w:szCs w:val="21"/>
        </w:rPr>
        <w:t>第十条  资产托管人于交易清算日（T日），根据结算公司按照证券交易成交结果计算的资金清算数据和证券清算数据以及非交易清算数据，分别用以计算资产管理人管理资产资金和证券的应收或应付净额，形成资产管理人当日交易清算结果。资产托管人应及时、高效、安全地完成托管资产的证券交易资金清算交收，对于结算公司已退还各托管资产的交收资金应及时计入各托管资产的银行账户。</w:t>
      </w:r>
    </w:p>
    <w:p w14:paraId="27B76B76">
      <w:pPr>
        <w:spacing w:line="360" w:lineRule="auto"/>
        <w:ind w:firstLine="424" w:firstLineChars="202"/>
        <w:rPr>
          <w:szCs w:val="21"/>
        </w:rPr>
      </w:pPr>
      <w:r>
        <w:rPr>
          <w:rFonts w:hint="eastAsia"/>
          <w:szCs w:val="21"/>
        </w:rPr>
        <w:t xml:space="preserve">第十一条 </w:t>
      </w:r>
      <w:r>
        <w:rPr>
          <w:szCs w:val="21"/>
        </w:rPr>
        <w:t xml:space="preserve"> </w:t>
      </w:r>
      <w:r>
        <w:rPr>
          <w:rFonts w:hint="eastAsia"/>
          <w:szCs w:val="21"/>
        </w:rPr>
        <w:t>资产托管人完成托管资产清算后，对于交收日可能发生透支的情况，应及时与资产管理人沟通。</w:t>
      </w:r>
    </w:p>
    <w:p w14:paraId="42A25666">
      <w:pPr>
        <w:spacing w:line="360" w:lineRule="auto"/>
        <w:ind w:firstLine="424" w:firstLineChars="202"/>
        <w:rPr>
          <w:szCs w:val="21"/>
        </w:rPr>
      </w:pPr>
      <w:r>
        <w:rPr>
          <w:rFonts w:hint="eastAsia"/>
          <w:szCs w:val="21"/>
        </w:rPr>
        <w:t>资产托管人于交收日（T+1日）根据交易所或结算公司数据计算的资产管理人T日交易清算结果，完成资产管理人管理资产资金、证券的交收。</w:t>
      </w:r>
    </w:p>
    <w:p w14:paraId="68D95A4C">
      <w:pPr>
        <w:spacing w:line="360" w:lineRule="auto"/>
        <w:ind w:firstLine="424" w:firstLineChars="202"/>
        <w:rPr>
          <w:szCs w:val="21"/>
        </w:rPr>
      </w:pPr>
      <w:r>
        <w:rPr>
          <w:rFonts w:hint="eastAsia"/>
          <w:szCs w:val="21"/>
        </w:rPr>
        <w:t>第十二条  资产管理人对资产托管人提供的清算数据存有异议，应及时与资产托管人沟通，但资产管理人不得因此拒绝履行或延迟履行当日的交收义务。经双方核实，确属资产托管人清算差错的，资产托管人应予以更正并赔偿托管资产及资产管理人实际损失；若经核实，确属结算公司清算差错的，资产管理人应配合资产托管人与结算公司沟通。若因资产管理人在托管交易单元上进行非托管资产交易等事宜，致使资产托管人接收清算数据不完整不正确，造成清算差错的，责任由资产管理人承担。</w:t>
      </w:r>
    </w:p>
    <w:p w14:paraId="756A0E3E">
      <w:pPr>
        <w:spacing w:line="360" w:lineRule="auto"/>
        <w:ind w:firstLine="424" w:firstLineChars="202"/>
        <w:rPr>
          <w:szCs w:val="21"/>
        </w:rPr>
      </w:pPr>
      <w:r>
        <w:rPr>
          <w:rFonts w:hint="eastAsia"/>
          <w:szCs w:val="21"/>
        </w:rPr>
        <w:t>第十三条　为确保资产托管人与结算公司的正常交收，不影响资产托管人所有托管资产的正常运作，正常情况下，交易日（T日）日终资产管理人应保证其管理的各托管资产资金账户有足够的资金可完成与结算公司于交收日（T+1日）的资金交收。</w:t>
      </w:r>
    </w:p>
    <w:p w14:paraId="00B14B4D">
      <w:pPr>
        <w:spacing w:line="360" w:lineRule="auto"/>
        <w:ind w:firstLine="424" w:firstLineChars="202"/>
        <w:rPr>
          <w:szCs w:val="21"/>
        </w:rPr>
      </w:pPr>
      <w:r>
        <w:rPr>
          <w:rFonts w:hint="eastAsia"/>
          <w:szCs w:val="21"/>
        </w:rPr>
        <w:t>第十四条  若资产管理人管理资产资金账户T日余额无法满足T+1日交收要求时，资产管理人应按照《托管协议》或操作备忘录中约定的时点补足金额，未有约定的，应于T+1日12：00前补足金额，确保资产托管人及时完成清算交收。对于创新产品，补足金额的时点可在托管协议或其他文件中约定。</w:t>
      </w:r>
    </w:p>
    <w:p w14:paraId="2CA2764E">
      <w:pPr>
        <w:spacing w:line="360" w:lineRule="auto"/>
        <w:ind w:firstLine="424" w:firstLineChars="202"/>
        <w:rPr>
          <w:szCs w:val="21"/>
        </w:rPr>
      </w:pPr>
      <w:r>
        <w:rPr>
          <w:rFonts w:hint="eastAsia"/>
          <w:szCs w:val="21"/>
        </w:rPr>
        <w:t>第十五条  资产管理人未按本规定第十四条约定时限补足透支金额，其行为构成资产管理人资金交收违约，资产托管人依法按以下方式处理，且资产管理人应予以配合：</w:t>
      </w:r>
    </w:p>
    <w:p w14:paraId="6FA1640D">
      <w:pPr>
        <w:spacing w:line="360" w:lineRule="auto"/>
        <w:ind w:firstLine="424" w:firstLineChars="202"/>
        <w:rPr>
          <w:szCs w:val="21"/>
        </w:rPr>
      </w:pPr>
      <w:r>
        <w:rPr>
          <w:rFonts w:hint="eastAsia"/>
          <w:szCs w:val="21"/>
        </w:rPr>
        <w:t>（一）资产管理人应在不晚于结算公司规定的时点前两个小时向资产托管人书面指定托管资产证券账户内相当于透支金额价值120%的证券（按照前一交易日的收盘价计算）作为交收履约担保物。资产管理人未能按时指定的，资产托管人依法自行确定相关证券作为交收履约担保物，并及时书面通知资产管理人。资产管理人未及时向资产托管人指定或指定错误的，相关责任由资产管理人承担。</w:t>
      </w:r>
    </w:p>
    <w:p w14:paraId="1D884AA3">
      <w:pPr>
        <w:spacing w:line="360" w:lineRule="auto"/>
        <w:ind w:firstLine="424" w:firstLineChars="202"/>
        <w:rPr>
          <w:szCs w:val="21"/>
        </w:rPr>
      </w:pPr>
      <w:r>
        <w:rPr>
          <w:rFonts w:hint="eastAsia"/>
          <w:szCs w:val="21"/>
        </w:rPr>
        <w:t>资产托管人可向结算公司申请，由结算公司协助将相关交收履约担保物予以冻结，资产管理人应向资产托管人出具同意结算公司协助资产托管人冻结其证券账户内相应证券的书面文件（对于企业年金基金等涉及资产托管人、资产管理人及委托人或受托人的托管资产，资产管理人向资产托管人出具的书面文件应经资产管理人委托人或受托人确认。委托人或受托人与资产托管人、资产管理人签署的合同、操作备忘录等法律文件中有相关内容的，视为确认）。</w:t>
      </w:r>
    </w:p>
    <w:p w14:paraId="10A40D7C">
      <w:pPr>
        <w:spacing w:line="360" w:lineRule="auto"/>
        <w:ind w:firstLine="424" w:firstLineChars="202"/>
        <w:rPr>
          <w:szCs w:val="21"/>
        </w:rPr>
      </w:pPr>
      <w:r>
        <w:rPr>
          <w:rFonts w:hint="eastAsia"/>
          <w:szCs w:val="21"/>
        </w:rPr>
        <w:t>（二）资产管理人于T+2日在结算公司规定时间前补足相应资金的，资产托管人可向结算公司申请解除对相关证券的冻结；否则，资产管理人应配合资产托管人对冻结证券予以处置，如资产管理人不配合，资产托管人依法对冻结证券进行处置，但须及时书面通知资产管理人。</w:t>
      </w:r>
    </w:p>
    <w:p w14:paraId="00A5FF5B">
      <w:pPr>
        <w:spacing w:line="360" w:lineRule="auto"/>
        <w:ind w:firstLine="424" w:firstLineChars="202"/>
        <w:rPr>
          <w:szCs w:val="21"/>
        </w:rPr>
      </w:pPr>
      <w:r>
        <w:rPr>
          <w:rFonts w:hint="eastAsia"/>
          <w:szCs w:val="21"/>
        </w:rPr>
        <w:t>（三）证券处置产生的资金，如相关交易尚未完成交收的，应首先用于完成交收，不足部分资产管理人及时补足。</w:t>
      </w:r>
    </w:p>
    <w:p w14:paraId="7B41E719">
      <w:pPr>
        <w:spacing w:line="360" w:lineRule="auto"/>
        <w:ind w:firstLine="424" w:firstLineChars="202"/>
        <w:rPr>
          <w:szCs w:val="21"/>
        </w:rPr>
      </w:pPr>
      <w:r>
        <w:rPr>
          <w:rFonts w:hint="eastAsia"/>
          <w:szCs w:val="21"/>
        </w:rPr>
        <w:t>第十六条  资产管理人知晓并确认，资产管理人管理资产中用于融资回购的债券将作为资产托管人相关结算备付金账户偿还融资回购到期购回款的质押券，若资产管理人债券回购交收违约，结算公司依法对质押券进行处置，但须及时书面通知资产管理人。资产管理人应就债券回购交收违约后结算公司对质押券的处置以及资产管理人委托人或受托人所应承担的委托债券投资风险，预先书面告知资产管理人委托人或受托人，并由资产管理人委托人或受托人签字确认。委托人或受托人与资产托管人、资产管理人签署的合同、操作备忘录等法律文件中有相关内容的，视为确认。</w:t>
      </w:r>
    </w:p>
    <w:p w14:paraId="2A4BAE42">
      <w:pPr>
        <w:spacing w:line="360" w:lineRule="auto"/>
        <w:ind w:firstLine="424" w:firstLineChars="202"/>
        <w:rPr>
          <w:szCs w:val="21"/>
        </w:rPr>
      </w:pPr>
      <w:r>
        <w:rPr>
          <w:rFonts w:hint="eastAsia"/>
          <w:szCs w:val="21"/>
        </w:rPr>
        <w:t>第十七条　由于资产管理人原因，其管理资产发生证券超额卖出或卖出回购质押债券而导致证券交收违约行为的，资产托管人暂不交付其相应的应收资金，并依法按照结算公司有关违约金的标准向资产管理人收取违约金。资产管理人须在两个交易日内补足相关证券及其权益。资产管理人未能补足的，资产托管人依法根据结算公司相关业务规则进行处理，由此产生的实际损失由资产管理人承担，收益归托管资产所有。</w:t>
      </w:r>
    </w:p>
    <w:p w14:paraId="3468E8E1">
      <w:pPr>
        <w:spacing w:line="360" w:lineRule="auto"/>
        <w:ind w:firstLine="424" w:firstLineChars="202"/>
        <w:rPr>
          <w:szCs w:val="21"/>
        </w:rPr>
      </w:pPr>
      <w:r>
        <w:rPr>
          <w:rFonts w:hint="eastAsia"/>
          <w:szCs w:val="21"/>
        </w:rPr>
        <w:t>第十八条  因资产管理人原因发生资金交收违约时，资产托管人依法采取以下风险管理措施，但须提前书面通知资产管理人：</w:t>
      </w:r>
    </w:p>
    <w:p w14:paraId="37BABD7B">
      <w:pPr>
        <w:spacing w:line="360" w:lineRule="auto"/>
        <w:ind w:firstLine="424" w:firstLineChars="202"/>
        <w:rPr>
          <w:szCs w:val="21"/>
        </w:rPr>
      </w:pPr>
      <w:r>
        <w:rPr>
          <w:rFonts w:hint="eastAsia"/>
          <w:szCs w:val="21"/>
        </w:rPr>
        <w:t>（一）</w:t>
      </w:r>
      <w:r>
        <w:rPr>
          <w:rFonts w:hint="eastAsia"/>
          <w:szCs w:val="21"/>
        </w:rPr>
        <w:tab/>
      </w:r>
      <w:r>
        <w:rPr>
          <w:rFonts w:hint="eastAsia"/>
          <w:szCs w:val="21"/>
        </w:rPr>
        <w:t>按照结算公司标准计收违约资金的利息和违约金；</w:t>
      </w:r>
    </w:p>
    <w:p w14:paraId="1203E4F0">
      <w:pPr>
        <w:spacing w:line="360" w:lineRule="auto"/>
        <w:ind w:firstLine="424" w:firstLineChars="202"/>
        <w:rPr>
          <w:szCs w:val="21"/>
        </w:rPr>
      </w:pPr>
      <w:r>
        <w:rPr>
          <w:rFonts w:hint="eastAsia"/>
          <w:szCs w:val="21"/>
        </w:rPr>
        <w:t>（二）</w:t>
      </w:r>
      <w:r>
        <w:rPr>
          <w:rFonts w:hint="eastAsia"/>
          <w:szCs w:val="21"/>
        </w:rPr>
        <w:tab/>
      </w:r>
      <w:r>
        <w:rPr>
          <w:rFonts w:hint="eastAsia"/>
          <w:szCs w:val="21"/>
        </w:rPr>
        <w:t>按结算公司标准调高资产管理人管理资产的最低备付金或结算保证金比例；</w:t>
      </w:r>
    </w:p>
    <w:p w14:paraId="3A728914">
      <w:pPr>
        <w:spacing w:line="360" w:lineRule="auto"/>
        <w:ind w:firstLine="424" w:firstLineChars="202"/>
        <w:rPr>
          <w:szCs w:val="21"/>
        </w:rPr>
      </w:pPr>
      <w:r>
        <w:rPr>
          <w:rFonts w:hint="eastAsia"/>
          <w:szCs w:val="21"/>
        </w:rPr>
        <w:t>（三）</w:t>
      </w:r>
      <w:r>
        <w:rPr>
          <w:rFonts w:hint="eastAsia"/>
          <w:szCs w:val="21"/>
        </w:rPr>
        <w:tab/>
      </w:r>
      <w:r>
        <w:rPr>
          <w:rFonts w:hint="eastAsia"/>
          <w:szCs w:val="21"/>
        </w:rPr>
        <w:t>报告监管部门及结算公司；</w:t>
      </w:r>
    </w:p>
    <w:p w14:paraId="57019F74">
      <w:pPr>
        <w:spacing w:line="360" w:lineRule="auto"/>
        <w:ind w:firstLine="424" w:firstLineChars="202"/>
        <w:rPr>
          <w:szCs w:val="21"/>
        </w:rPr>
      </w:pPr>
      <w:r>
        <w:rPr>
          <w:rFonts w:hint="eastAsia"/>
          <w:szCs w:val="21"/>
        </w:rPr>
        <w:t>（四）</w:t>
      </w:r>
      <w:r>
        <w:rPr>
          <w:rFonts w:hint="eastAsia"/>
          <w:szCs w:val="21"/>
        </w:rPr>
        <w:tab/>
      </w:r>
      <w:r>
        <w:rPr>
          <w:rFonts w:hint="eastAsia"/>
          <w:szCs w:val="21"/>
        </w:rPr>
        <w:t>按照结算公司业务规则向结算公司申报暂停资产管理人的相关结算业务；</w:t>
      </w:r>
    </w:p>
    <w:p w14:paraId="744F0126">
      <w:pPr>
        <w:spacing w:line="360" w:lineRule="auto"/>
        <w:ind w:firstLine="424" w:firstLineChars="202"/>
        <w:rPr>
          <w:szCs w:val="21"/>
        </w:rPr>
      </w:pPr>
      <w:r>
        <w:rPr>
          <w:rFonts w:hint="eastAsia"/>
          <w:szCs w:val="21"/>
        </w:rPr>
        <w:t>（五）</w:t>
      </w:r>
      <w:r>
        <w:rPr>
          <w:rFonts w:hint="eastAsia"/>
          <w:szCs w:val="21"/>
        </w:rPr>
        <w:tab/>
      </w:r>
      <w:r>
        <w:rPr>
          <w:rFonts w:hint="eastAsia"/>
          <w:szCs w:val="21"/>
        </w:rPr>
        <w:t>根据监管部门或结算公司要求采取的其他措施。</w:t>
      </w:r>
    </w:p>
    <w:p w14:paraId="15EC111C">
      <w:pPr>
        <w:spacing w:line="360" w:lineRule="auto"/>
        <w:ind w:firstLine="424" w:firstLineChars="202"/>
        <w:rPr>
          <w:szCs w:val="21"/>
        </w:rPr>
      </w:pPr>
      <w:r>
        <w:rPr>
          <w:rFonts w:hint="eastAsia"/>
          <w:szCs w:val="21"/>
        </w:rPr>
        <w:t>第十九条　如因资产管理人原因造成资产托管人对结算公司出现违约情形时，结算公司实施相关风险管理措施引发的后果由资产管理人自行承担，由此造成资产管理人管理资产及资产托管人实际损失，资产管理人应负责赔偿。</w:t>
      </w:r>
    </w:p>
    <w:p w14:paraId="1C590DDB">
      <w:pPr>
        <w:spacing w:line="360" w:lineRule="auto"/>
        <w:ind w:firstLine="424" w:firstLineChars="202"/>
        <w:rPr>
          <w:szCs w:val="21"/>
        </w:rPr>
      </w:pPr>
      <w:r>
        <w:rPr>
          <w:rFonts w:hint="eastAsia"/>
          <w:szCs w:val="21"/>
        </w:rPr>
        <w:t>如因资产托管人原因造成未及时将资产管理人应收资金支付给资产管理人或未及时委托证券登记结算机构将资产管理人应收证券划付到资产管理人证券账户的，资产托管人应当对资产管理人承担违约责任；如因资产托管人原因造成对结算公司交收违约的，相应后果由资产托管人承担。以上造成的托管资产及资产管理人的实际损失，资产托管人应负责赔偿。</w:t>
      </w:r>
    </w:p>
    <w:p w14:paraId="1F754441">
      <w:pPr>
        <w:spacing w:line="360" w:lineRule="auto"/>
        <w:ind w:firstLine="424" w:firstLineChars="202"/>
        <w:rPr>
          <w:szCs w:val="21"/>
        </w:rPr>
      </w:pPr>
      <w:r>
        <w:rPr>
          <w:rFonts w:hint="eastAsia"/>
          <w:szCs w:val="21"/>
        </w:rPr>
        <w:t>第二十条  本规定任何一方未能按本规定的约定履行各项义务均将被视为违约，除法律法规或结算公司业务规则另有规定，或本规定另有约定外，违约方应承担因其违约行为给对方和托管资产造成的实际损失。如双方均有违约情形，则根据实际情况由双方分别承担各自应负的违约责任。</w:t>
      </w:r>
    </w:p>
    <w:p w14:paraId="70C84634">
      <w:pPr>
        <w:spacing w:line="360" w:lineRule="auto"/>
        <w:ind w:firstLine="424" w:firstLineChars="202"/>
        <w:rPr>
          <w:szCs w:val="21"/>
        </w:rPr>
      </w:pPr>
      <w:r>
        <w:rPr>
          <w:rFonts w:hint="eastAsia"/>
          <w:szCs w:val="21"/>
        </w:rPr>
        <w:t>第二十一条  如果协议的一方或双方因不可抗力不能履行本规定时，可根据不可抗力的影响部分或全部免除责任。不可抗力是指资产托管人或资产管理人不能预见、不可避免、不能克服的客观情况。任何一方因不可抗力不能履行本规定时，应及时通知对方并在合理期限内提供受到不可抗力影响的证明，并采取适当措施防止损失的扩大。</w:t>
      </w:r>
    </w:p>
    <w:p w14:paraId="4E3A3BDD">
      <w:pPr>
        <w:spacing w:line="360" w:lineRule="auto"/>
        <w:ind w:firstLine="424" w:firstLineChars="202"/>
        <w:rPr>
          <w:szCs w:val="21"/>
        </w:rPr>
      </w:pPr>
      <w:r>
        <w:rPr>
          <w:rFonts w:hint="eastAsia"/>
          <w:szCs w:val="21"/>
        </w:rPr>
        <w:t>第二十二条  本规定适用于现在及以后由资产管理人管理、资产托管人托管的所有业务品种。</w:t>
      </w:r>
    </w:p>
    <w:p w14:paraId="2B177A9B">
      <w:pPr>
        <w:spacing w:line="360" w:lineRule="auto"/>
        <w:ind w:firstLine="424" w:firstLineChars="202"/>
        <w:rPr>
          <w:szCs w:val="21"/>
        </w:rPr>
      </w:pPr>
      <w:r>
        <w:rPr>
          <w:rFonts w:hint="eastAsia"/>
          <w:szCs w:val="21"/>
        </w:rPr>
        <w:t>第二十三条  本规定有效期间，若因法律法规、结算公司业务规则发生变化导致本规定的内容与届时有效的法律法规、业务规则的规定不一致的，应当以届时有效的法律法规、业务规则的规定和上述协议的约定为准，协议双方应根据最新的法律法规、业务规则和上述协议对本规定进行相应的修改和补充。</w:t>
      </w:r>
    </w:p>
    <w:p w14:paraId="3EC766AC">
      <w:pPr>
        <w:widowControl/>
        <w:jc w:val="left"/>
        <w:rPr>
          <w:szCs w:val="21"/>
        </w:rPr>
      </w:pPr>
      <w:r>
        <w:rPr>
          <w:szCs w:val="21"/>
        </w:rPr>
        <w:br w:type="page"/>
      </w:r>
    </w:p>
    <w:p w14:paraId="02BAB093">
      <w:pPr>
        <w:widowControl/>
        <w:jc w:val="left"/>
        <w:rPr>
          <w:rFonts w:ascii="宋体"/>
          <w:szCs w:val="21"/>
        </w:rPr>
      </w:pPr>
    </w:p>
    <w:p w14:paraId="4F14B3F2">
      <w:pPr>
        <w:rPr>
          <w:rFonts w:ascii="宋体"/>
          <w:szCs w:val="21"/>
        </w:rPr>
      </w:pPr>
      <w:r>
        <w:rPr>
          <w:rFonts w:hint="eastAsia" w:ascii="宋体"/>
          <w:szCs w:val="21"/>
        </w:rPr>
        <w:t>（本页为《</w:t>
      </w:r>
      <w:r>
        <w:rPr>
          <w:rFonts w:hint="eastAsia" w:ascii="宋体"/>
          <w:b/>
          <w:szCs w:val="21"/>
        </w:rPr>
        <w:t>交银施罗德招享一年持有期混合型基金中基金（FOF）托管协议</w:t>
      </w:r>
      <w:r>
        <w:rPr>
          <w:rFonts w:hint="eastAsia" w:ascii="宋体"/>
          <w:szCs w:val="21"/>
        </w:rPr>
        <w:t>》签署页，无正文）</w:t>
      </w:r>
    </w:p>
    <w:p w14:paraId="68481BC3">
      <w:pPr>
        <w:widowControl/>
        <w:spacing w:before="100" w:beforeAutospacing="1" w:after="100" w:afterAutospacing="1" w:line="360" w:lineRule="auto"/>
        <w:jc w:val="left"/>
        <w:rPr>
          <w:rFonts w:ascii="宋体" w:hAnsi="宋体"/>
          <w:color w:val="000000"/>
          <w:szCs w:val="21"/>
        </w:rPr>
      </w:pPr>
    </w:p>
    <w:p w14:paraId="315DF84F">
      <w:pPr>
        <w:widowControl/>
        <w:spacing w:before="100" w:beforeAutospacing="1" w:after="100" w:afterAutospacing="1" w:line="360" w:lineRule="auto"/>
        <w:jc w:val="left"/>
        <w:rPr>
          <w:rFonts w:ascii="宋体" w:hAnsi="宋体"/>
          <w:color w:val="000000"/>
          <w:szCs w:val="21"/>
        </w:rPr>
      </w:pPr>
    </w:p>
    <w:p w14:paraId="7D0BBAD3">
      <w:pPr>
        <w:spacing w:before="100" w:beforeAutospacing="1" w:after="100" w:afterAutospacing="1" w:line="360" w:lineRule="auto"/>
        <w:ind w:firstLine="403"/>
        <w:rPr>
          <w:rFonts w:ascii="宋体" w:hAnsi="宋体"/>
          <w:szCs w:val="21"/>
        </w:rPr>
      </w:pPr>
      <w:r>
        <w:rPr>
          <w:rFonts w:ascii="宋体" w:hAnsi="宋体"/>
          <w:szCs w:val="21"/>
        </w:rPr>
        <w:t>基金管理人：</w:t>
      </w:r>
      <w:r>
        <w:rPr>
          <w:rFonts w:hint="eastAsia" w:ascii="宋体" w:hAnsi="宋体"/>
          <w:szCs w:val="21"/>
        </w:rPr>
        <w:t>交银施罗德</w:t>
      </w:r>
      <w:r>
        <w:rPr>
          <w:rFonts w:ascii="宋体" w:hAnsi="宋体"/>
          <w:szCs w:val="21"/>
        </w:rPr>
        <w:t>基金管理有限公司（公章）</w:t>
      </w:r>
    </w:p>
    <w:p w14:paraId="460B1F79">
      <w:pPr>
        <w:widowControl/>
        <w:spacing w:before="100" w:beforeAutospacing="1" w:after="100" w:afterAutospacing="1" w:line="360" w:lineRule="auto"/>
        <w:ind w:firstLine="403"/>
        <w:jc w:val="left"/>
        <w:rPr>
          <w:rFonts w:ascii="宋体" w:hAnsi="宋体"/>
          <w:kern w:val="0"/>
          <w:szCs w:val="21"/>
        </w:rPr>
      </w:pPr>
      <w:r>
        <w:rPr>
          <w:rFonts w:ascii="宋体" w:hAnsi="宋体"/>
          <w:kern w:val="0"/>
          <w:szCs w:val="21"/>
        </w:rPr>
        <w:t>法定代表人</w:t>
      </w:r>
      <w:r>
        <w:rPr>
          <w:rFonts w:hint="eastAsia" w:ascii="宋体" w:hAnsi="宋体"/>
          <w:kern w:val="0"/>
          <w:szCs w:val="21"/>
        </w:rPr>
        <w:t>或授权代表：</w:t>
      </w:r>
    </w:p>
    <w:p w14:paraId="33C3314F">
      <w:pPr>
        <w:widowControl/>
        <w:spacing w:before="100" w:beforeAutospacing="1" w:after="100" w:afterAutospacing="1" w:line="360" w:lineRule="auto"/>
        <w:ind w:firstLine="420"/>
        <w:jc w:val="left"/>
        <w:rPr>
          <w:rFonts w:ascii="宋体" w:hAnsi="宋体"/>
          <w:kern w:val="0"/>
          <w:szCs w:val="21"/>
        </w:rPr>
      </w:pPr>
    </w:p>
    <w:p w14:paraId="6247810F">
      <w:pPr>
        <w:widowControl/>
        <w:spacing w:before="100" w:beforeAutospacing="1" w:after="100" w:afterAutospacing="1" w:line="360" w:lineRule="auto"/>
        <w:ind w:firstLine="420"/>
        <w:jc w:val="left"/>
        <w:rPr>
          <w:rFonts w:ascii="宋体" w:hAnsi="宋体"/>
          <w:kern w:val="0"/>
          <w:szCs w:val="21"/>
        </w:rPr>
      </w:pPr>
    </w:p>
    <w:p w14:paraId="6C2F02B9">
      <w:pPr>
        <w:widowControl/>
        <w:spacing w:before="100" w:beforeAutospacing="1" w:after="100" w:afterAutospacing="1" w:line="360" w:lineRule="auto"/>
        <w:ind w:firstLine="403"/>
        <w:jc w:val="left"/>
        <w:rPr>
          <w:rFonts w:ascii="宋体" w:hAnsi="宋体"/>
          <w:kern w:val="0"/>
          <w:szCs w:val="21"/>
        </w:rPr>
      </w:pPr>
      <w:r>
        <w:rPr>
          <w:rFonts w:ascii="宋体" w:hAnsi="宋体"/>
          <w:kern w:val="0"/>
          <w:szCs w:val="21"/>
        </w:rPr>
        <w:t>签订日：</w:t>
      </w:r>
      <w:r>
        <w:rPr>
          <w:rFonts w:hint="eastAsia" w:ascii="宋体" w:hAnsi="宋体"/>
          <w:kern w:val="0"/>
          <w:szCs w:val="21"/>
        </w:rPr>
        <w:t xml:space="preserve">  </w:t>
      </w:r>
      <w:r>
        <w:rPr>
          <w:rFonts w:ascii="宋体" w:hAnsi="宋体"/>
          <w:kern w:val="0"/>
          <w:szCs w:val="21"/>
        </w:rPr>
        <w:t xml:space="preserve">   年     </w:t>
      </w:r>
      <w:r>
        <w:rPr>
          <w:rFonts w:hint="eastAsia" w:ascii="宋体" w:hAnsi="宋体"/>
          <w:kern w:val="0"/>
          <w:szCs w:val="21"/>
        </w:rPr>
        <w:t>月</w:t>
      </w:r>
      <w:r>
        <w:rPr>
          <w:rFonts w:ascii="宋体" w:hAnsi="宋体"/>
          <w:kern w:val="0"/>
          <w:szCs w:val="21"/>
        </w:rPr>
        <w:t xml:space="preserve">    </w:t>
      </w:r>
      <w:r>
        <w:rPr>
          <w:rFonts w:hint="eastAsia" w:ascii="宋体" w:hAnsi="宋体"/>
          <w:kern w:val="0"/>
          <w:szCs w:val="21"/>
        </w:rPr>
        <w:t>日</w:t>
      </w:r>
    </w:p>
    <w:p w14:paraId="62887116">
      <w:pPr>
        <w:widowControl/>
        <w:spacing w:before="100" w:beforeAutospacing="1" w:after="100" w:afterAutospacing="1" w:line="360" w:lineRule="auto"/>
        <w:ind w:firstLine="420"/>
        <w:jc w:val="left"/>
        <w:rPr>
          <w:rFonts w:ascii="宋体" w:hAnsi="宋体"/>
          <w:kern w:val="0"/>
          <w:szCs w:val="21"/>
        </w:rPr>
      </w:pPr>
      <w:r>
        <w:rPr>
          <w:rFonts w:ascii="宋体" w:hAnsi="宋体"/>
          <w:kern w:val="0"/>
          <w:szCs w:val="21"/>
        </w:rPr>
        <w:t>签订地：　</w:t>
      </w:r>
    </w:p>
    <w:p w14:paraId="276738D4">
      <w:pPr>
        <w:widowControl/>
        <w:spacing w:before="100" w:beforeAutospacing="1" w:after="100" w:afterAutospacing="1" w:line="360" w:lineRule="auto"/>
        <w:ind w:firstLine="540"/>
        <w:jc w:val="left"/>
        <w:rPr>
          <w:rFonts w:ascii="宋体" w:hAnsi="宋体"/>
          <w:kern w:val="0"/>
          <w:szCs w:val="21"/>
        </w:rPr>
      </w:pPr>
    </w:p>
    <w:p w14:paraId="3DFBDCB5">
      <w:pPr>
        <w:widowControl/>
        <w:spacing w:before="100" w:beforeAutospacing="1" w:after="100" w:afterAutospacing="1" w:line="360" w:lineRule="auto"/>
        <w:ind w:firstLine="540"/>
        <w:jc w:val="left"/>
        <w:rPr>
          <w:rFonts w:ascii="宋体" w:hAnsi="宋体"/>
          <w:kern w:val="0"/>
          <w:szCs w:val="21"/>
        </w:rPr>
      </w:pPr>
    </w:p>
    <w:p w14:paraId="024ECE5F">
      <w:pPr>
        <w:widowControl/>
        <w:spacing w:before="100" w:beforeAutospacing="1" w:after="100" w:afterAutospacing="1" w:line="360" w:lineRule="auto"/>
        <w:ind w:firstLine="403"/>
        <w:jc w:val="left"/>
        <w:rPr>
          <w:rFonts w:ascii="宋体" w:hAnsi="宋体"/>
          <w:kern w:val="0"/>
          <w:szCs w:val="21"/>
        </w:rPr>
      </w:pPr>
      <w:r>
        <w:rPr>
          <w:rFonts w:hint="eastAsia" w:ascii="宋体" w:hAnsi="宋体"/>
          <w:kern w:val="0"/>
          <w:szCs w:val="21"/>
        </w:rPr>
        <w:t>基金</w:t>
      </w:r>
      <w:r>
        <w:rPr>
          <w:rFonts w:ascii="宋体" w:hAnsi="宋体"/>
          <w:kern w:val="0"/>
          <w:szCs w:val="21"/>
        </w:rPr>
        <w:t>托管人:</w:t>
      </w:r>
      <w:r>
        <w:rPr>
          <w:rFonts w:hint="eastAsia" w:ascii="宋体" w:hAnsi="宋体"/>
          <w:kern w:val="0"/>
          <w:szCs w:val="21"/>
        </w:rPr>
        <w:t>招商银行股份有限公司</w:t>
      </w:r>
      <w:r>
        <w:rPr>
          <w:rFonts w:hint="eastAsia" w:ascii="宋体" w:hAnsi="宋体"/>
          <w:szCs w:val="21"/>
        </w:rPr>
        <w:t>（公章）</w:t>
      </w:r>
    </w:p>
    <w:p w14:paraId="244FB1FC">
      <w:pPr>
        <w:widowControl/>
        <w:spacing w:before="100" w:beforeAutospacing="1" w:after="100" w:afterAutospacing="1" w:line="360" w:lineRule="auto"/>
        <w:ind w:firstLine="403"/>
        <w:jc w:val="left"/>
        <w:rPr>
          <w:rFonts w:ascii="宋体" w:hAnsi="宋体"/>
          <w:kern w:val="0"/>
          <w:szCs w:val="21"/>
        </w:rPr>
      </w:pPr>
      <w:r>
        <w:rPr>
          <w:rFonts w:ascii="宋体" w:hAnsi="宋体"/>
          <w:kern w:val="0"/>
          <w:szCs w:val="21"/>
        </w:rPr>
        <w:t>法定代表人</w:t>
      </w:r>
      <w:r>
        <w:rPr>
          <w:rFonts w:hint="eastAsia" w:ascii="宋体" w:hAnsi="宋体"/>
          <w:kern w:val="0"/>
          <w:szCs w:val="21"/>
        </w:rPr>
        <w:t>或授权代表：</w:t>
      </w:r>
    </w:p>
    <w:p w14:paraId="206BCF1E">
      <w:pPr>
        <w:widowControl/>
        <w:spacing w:before="100" w:beforeAutospacing="1" w:after="100" w:afterAutospacing="1" w:line="360" w:lineRule="auto"/>
        <w:ind w:firstLine="420"/>
        <w:jc w:val="left"/>
        <w:rPr>
          <w:rFonts w:ascii="宋体" w:hAnsi="宋体"/>
          <w:kern w:val="0"/>
          <w:szCs w:val="21"/>
        </w:rPr>
      </w:pPr>
    </w:p>
    <w:p w14:paraId="62F56FB6">
      <w:pPr>
        <w:widowControl/>
        <w:spacing w:before="100" w:beforeAutospacing="1" w:after="100" w:afterAutospacing="1" w:line="360" w:lineRule="auto"/>
        <w:ind w:firstLine="420"/>
        <w:jc w:val="left"/>
        <w:rPr>
          <w:rFonts w:ascii="宋体" w:hAnsi="宋体"/>
          <w:kern w:val="0"/>
          <w:szCs w:val="21"/>
        </w:rPr>
      </w:pPr>
    </w:p>
    <w:p w14:paraId="7CCB93B2">
      <w:pPr>
        <w:widowControl/>
        <w:spacing w:before="100" w:beforeAutospacing="1" w:after="100" w:afterAutospacing="1" w:line="360" w:lineRule="auto"/>
        <w:ind w:firstLine="420"/>
        <w:jc w:val="left"/>
        <w:rPr>
          <w:rFonts w:ascii="宋体" w:hAnsi="宋体"/>
          <w:kern w:val="0"/>
          <w:szCs w:val="21"/>
        </w:rPr>
      </w:pPr>
      <w:r>
        <w:rPr>
          <w:rFonts w:ascii="宋体" w:hAnsi="宋体"/>
          <w:kern w:val="0"/>
          <w:szCs w:val="21"/>
        </w:rPr>
        <w:t xml:space="preserve">签订日：     年     </w:t>
      </w:r>
      <w:r>
        <w:rPr>
          <w:rFonts w:hint="eastAsia" w:ascii="宋体" w:hAnsi="宋体"/>
          <w:kern w:val="0"/>
          <w:szCs w:val="21"/>
        </w:rPr>
        <w:t>月</w:t>
      </w:r>
      <w:r>
        <w:rPr>
          <w:rFonts w:ascii="宋体" w:hAnsi="宋体"/>
          <w:kern w:val="0"/>
          <w:szCs w:val="21"/>
        </w:rPr>
        <w:t xml:space="preserve">     </w:t>
      </w:r>
      <w:r>
        <w:rPr>
          <w:rFonts w:hint="eastAsia" w:ascii="宋体" w:hAnsi="宋体"/>
          <w:kern w:val="0"/>
          <w:szCs w:val="21"/>
        </w:rPr>
        <w:t>日</w:t>
      </w:r>
    </w:p>
    <w:p w14:paraId="28EE1A29">
      <w:pPr>
        <w:widowControl/>
        <w:spacing w:before="100" w:beforeAutospacing="1" w:after="100" w:afterAutospacing="1" w:line="360" w:lineRule="auto"/>
        <w:ind w:firstLine="420"/>
        <w:jc w:val="left"/>
        <w:rPr>
          <w:rFonts w:ascii="宋体" w:hAnsi="宋体"/>
          <w:kern w:val="0"/>
          <w:szCs w:val="21"/>
        </w:rPr>
      </w:pPr>
      <w:r>
        <w:rPr>
          <w:rFonts w:ascii="宋体" w:hAnsi="宋体"/>
          <w:kern w:val="0"/>
          <w:szCs w:val="21"/>
        </w:rPr>
        <w:t>签订地：</w:t>
      </w:r>
      <w:r>
        <w:rPr>
          <w:rFonts w:hint="eastAsia" w:ascii="宋体" w:hAnsi="宋体"/>
          <w:kern w:val="0"/>
          <w:szCs w:val="21"/>
        </w:rPr>
        <w:t>中国深圳</w:t>
      </w:r>
    </w:p>
    <w:bookmarkEnd w:id="2"/>
    <w:p w14:paraId="516E7288">
      <w:pPr>
        <w:adjustRightInd w:val="0"/>
        <w:snapToGrid w:val="0"/>
        <w:spacing w:line="360" w:lineRule="auto"/>
        <w:rPr>
          <w:rFonts w:ascii="宋体" w:hAnsi="宋体"/>
          <w:sz w:val="24"/>
        </w:rPr>
      </w:pPr>
    </w:p>
    <w:sectPr>
      <w:footerReference r:id="rId7" w:type="default"/>
      <w:pgSz w:w="11906" w:h="16838"/>
      <w:pgMar w:top="1418" w:right="1701" w:bottom="1418" w:left="1701" w:header="709" w:footer="56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宋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9264712"/>
      <w:docPartObj>
        <w:docPartGallery w:val="autotext"/>
      </w:docPartObj>
    </w:sdtPr>
    <w:sdtContent>
      <w:p w14:paraId="187ED1FA">
        <w:pPr>
          <w:pStyle w:val="15"/>
          <w:jc w:val="center"/>
        </w:pPr>
        <w:r>
          <w:fldChar w:fldCharType="begin"/>
        </w:r>
        <w:r>
          <w:instrText xml:space="preserve">PAGE   \* MERGEFORMAT</w:instrText>
        </w:r>
        <w:r>
          <w:fldChar w:fldCharType="separate"/>
        </w:r>
        <w:r>
          <w:rPr>
            <w:lang w:val="zh-CN"/>
          </w:rPr>
          <w:t>2</w:t>
        </w:r>
        <w:r>
          <w:fldChar w:fldCharType="end"/>
        </w:r>
      </w:p>
    </w:sdtContent>
  </w:sdt>
  <w:p w14:paraId="544A2F32">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C52F6">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3101165"/>
      <w:docPartObj>
        <w:docPartGallery w:val="autotext"/>
      </w:docPartObj>
    </w:sdtPr>
    <w:sdtContent>
      <w:p w14:paraId="38500246">
        <w:pPr>
          <w:pStyle w:val="15"/>
          <w:jc w:val="center"/>
        </w:pPr>
        <w:r>
          <w:fldChar w:fldCharType="begin"/>
        </w:r>
        <w:r>
          <w:instrText xml:space="preserve">PAGE   \* MERGEFORMAT</w:instrText>
        </w:r>
        <w:r>
          <w:fldChar w:fldCharType="separate"/>
        </w:r>
        <w:r>
          <w:rPr>
            <w:lang w:val="zh-CN"/>
          </w:rPr>
          <w:t>2</w:t>
        </w:r>
        <w:r>
          <w:fldChar w:fldCharType="end"/>
        </w:r>
      </w:p>
    </w:sdtContent>
  </w:sdt>
  <w:p w14:paraId="70741B88">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09DB">
    <w:pPr>
      <w:pStyle w:val="16"/>
      <w:jc w:val="right"/>
    </w:pPr>
  </w:p>
  <w:p w14:paraId="5C1A4B46">
    <w:pPr>
      <w:pStyle w:val="16"/>
      <w:jc w:val="right"/>
    </w:pPr>
    <w:r>
      <w:rPr>
        <w:rFonts w:hint="eastAsia"/>
      </w:rPr>
      <w:t>交银施罗德招享一年持有期混合型基金中基金（FOF）托管协议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C36E1">
    <w:pPr>
      <w:pStyle w:val="1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E74"/>
    <w:rsid w:val="00001AB6"/>
    <w:rsid w:val="00001E42"/>
    <w:rsid w:val="00002977"/>
    <w:rsid w:val="00003DDD"/>
    <w:rsid w:val="00004215"/>
    <w:rsid w:val="00006CDE"/>
    <w:rsid w:val="000077CE"/>
    <w:rsid w:val="00007C2F"/>
    <w:rsid w:val="00010125"/>
    <w:rsid w:val="0001044F"/>
    <w:rsid w:val="0001438D"/>
    <w:rsid w:val="00014D21"/>
    <w:rsid w:val="00016A01"/>
    <w:rsid w:val="00017201"/>
    <w:rsid w:val="0002104D"/>
    <w:rsid w:val="00022D6C"/>
    <w:rsid w:val="0002394B"/>
    <w:rsid w:val="00023EE9"/>
    <w:rsid w:val="00024205"/>
    <w:rsid w:val="0002789C"/>
    <w:rsid w:val="00027D10"/>
    <w:rsid w:val="00030006"/>
    <w:rsid w:val="00031A4E"/>
    <w:rsid w:val="00031D78"/>
    <w:rsid w:val="00031D96"/>
    <w:rsid w:val="00031DD2"/>
    <w:rsid w:val="000328E8"/>
    <w:rsid w:val="0003594D"/>
    <w:rsid w:val="00041C79"/>
    <w:rsid w:val="00041EA9"/>
    <w:rsid w:val="00042898"/>
    <w:rsid w:val="000435CD"/>
    <w:rsid w:val="000435E1"/>
    <w:rsid w:val="000441B2"/>
    <w:rsid w:val="00045017"/>
    <w:rsid w:val="00045472"/>
    <w:rsid w:val="00045690"/>
    <w:rsid w:val="000467E9"/>
    <w:rsid w:val="00046D89"/>
    <w:rsid w:val="00046DB8"/>
    <w:rsid w:val="00047948"/>
    <w:rsid w:val="00047B70"/>
    <w:rsid w:val="00047EDD"/>
    <w:rsid w:val="000507F7"/>
    <w:rsid w:val="00052827"/>
    <w:rsid w:val="00052BEE"/>
    <w:rsid w:val="00052D58"/>
    <w:rsid w:val="00053108"/>
    <w:rsid w:val="00056CF4"/>
    <w:rsid w:val="000606F2"/>
    <w:rsid w:val="00060843"/>
    <w:rsid w:val="000609AF"/>
    <w:rsid w:val="00064E77"/>
    <w:rsid w:val="00065232"/>
    <w:rsid w:val="00066315"/>
    <w:rsid w:val="0006703B"/>
    <w:rsid w:val="0006718A"/>
    <w:rsid w:val="000671F1"/>
    <w:rsid w:val="00067DA7"/>
    <w:rsid w:val="00071723"/>
    <w:rsid w:val="00072176"/>
    <w:rsid w:val="0007281A"/>
    <w:rsid w:val="000730A6"/>
    <w:rsid w:val="0007391C"/>
    <w:rsid w:val="000740C7"/>
    <w:rsid w:val="00074758"/>
    <w:rsid w:val="00074F42"/>
    <w:rsid w:val="00075FBB"/>
    <w:rsid w:val="00076C89"/>
    <w:rsid w:val="0007714A"/>
    <w:rsid w:val="00080AFA"/>
    <w:rsid w:val="00080E58"/>
    <w:rsid w:val="0008111E"/>
    <w:rsid w:val="00082FA8"/>
    <w:rsid w:val="0009016D"/>
    <w:rsid w:val="00090707"/>
    <w:rsid w:val="00091E90"/>
    <w:rsid w:val="0009373C"/>
    <w:rsid w:val="00095055"/>
    <w:rsid w:val="00095A9B"/>
    <w:rsid w:val="00095D92"/>
    <w:rsid w:val="00097239"/>
    <w:rsid w:val="00097973"/>
    <w:rsid w:val="000A1593"/>
    <w:rsid w:val="000A1777"/>
    <w:rsid w:val="000A20C8"/>
    <w:rsid w:val="000A2BFC"/>
    <w:rsid w:val="000A5645"/>
    <w:rsid w:val="000A6170"/>
    <w:rsid w:val="000B0CA6"/>
    <w:rsid w:val="000B2189"/>
    <w:rsid w:val="000B26CD"/>
    <w:rsid w:val="000B3268"/>
    <w:rsid w:val="000B6AA8"/>
    <w:rsid w:val="000B6EE4"/>
    <w:rsid w:val="000C035A"/>
    <w:rsid w:val="000C100E"/>
    <w:rsid w:val="000C19BE"/>
    <w:rsid w:val="000C1D2F"/>
    <w:rsid w:val="000C1FA6"/>
    <w:rsid w:val="000C2444"/>
    <w:rsid w:val="000C26FF"/>
    <w:rsid w:val="000C5514"/>
    <w:rsid w:val="000C5A20"/>
    <w:rsid w:val="000C66C0"/>
    <w:rsid w:val="000C6767"/>
    <w:rsid w:val="000C68E7"/>
    <w:rsid w:val="000C6E67"/>
    <w:rsid w:val="000C6FAD"/>
    <w:rsid w:val="000D0599"/>
    <w:rsid w:val="000D38A7"/>
    <w:rsid w:val="000D3D87"/>
    <w:rsid w:val="000D7E47"/>
    <w:rsid w:val="000E0514"/>
    <w:rsid w:val="000E35CB"/>
    <w:rsid w:val="000E37C9"/>
    <w:rsid w:val="000E3B08"/>
    <w:rsid w:val="000E5798"/>
    <w:rsid w:val="000E6573"/>
    <w:rsid w:val="000E6FDC"/>
    <w:rsid w:val="000E7A28"/>
    <w:rsid w:val="000F06C8"/>
    <w:rsid w:val="000F0C27"/>
    <w:rsid w:val="000F2B08"/>
    <w:rsid w:val="000F3A96"/>
    <w:rsid w:val="000F52DC"/>
    <w:rsid w:val="00101318"/>
    <w:rsid w:val="00101B49"/>
    <w:rsid w:val="00101B58"/>
    <w:rsid w:val="00102071"/>
    <w:rsid w:val="00103638"/>
    <w:rsid w:val="00104401"/>
    <w:rsid w:val="0010485A"/>
    <w:rsid w:val="001051B2"/>
    <w:rsid w:val="00105310"/>
    <w:rsid w:val="00110021"/>
    <w:rsid w:val="00110704"/>
    <w:rsid w:val="00113B59"/>
    <w:rsid w:val="00114C59"/>
    <w:rsid w:val="00115064"/>
    <w:rsid w:val="001152C2"/>
    <w:rsid w:val="00117512"/>
    <w:rsid w:val="0011783B"/>
    <w:rsid w:val="00120287"/>
    <w:rsid w:val="00120ABE"/>
    <w:rsid w:val="001210BD"/>
    <w:rsid w:val="00123D4A"/>
    <w:rsid w:val="00124047"/>
    <w:rsid w:val="00125DA4"/>
    <w:rsid w:val="00126670"/>
    <w:rsid w:val="00130A39"/>
    <w:rsid w:val="00130E71"/>
    <w:rsid w:val="00131569"/>
    <w:rsid w:val="00132D3A"/>
    <w:rsid w:val="00133130"/>
    <w:rsid w:val="0013367F"/>
    <w:rsid w:val="00134CB2"/>
    <w:rsid w:val="00135008"/>
    <w:rsid w:val="00135F72"/>
    <w:rsid w:val="00136503"/>
    <w:rsid w:val="00136679"/>
    <w:rsid w:val="00137F2A"/>
    <w:rsid w:val="00140CFC"/>
    <w:rsid w:val="001451B1"/>
    <w:rsid w:val="00145994"/>
    <w:rsid w:val="00146246"/>
    <w:rsid w:val="001462F0"/>
    <w:rsid w:val="0014681A"/>
    <w:rsid w:val="00150C0F"/>
    <w:rsid w:val="00151394"/>
    <w:rsid w:val="00153191"/>
    <w:rsid w:val="00153CD2"/>
    <w:rsid w:val="0015471A"/>
    <w:rsid w:val="0015665A"/>
    <w:rsid w:val="00156A3F"/>
    <w:rsid w:val="00160684"/>
    <w:rsid w:val="00160700"/>
    <w:rsid w:val="00161DD2"/>
    <w:rsid w:val="00163212"/>
    <w:rsid w:val="00170A79"/>
    <w:rsid w:val="00171737"/>
    <w:rsid w:val="00172530"/>
    <w:rsid w:val="0017370E"/>
    <w:rsid w:val="001742D1"/>
    <w:rsid w:val="00174565"/>
    <w:rsid w:val="001748DD"/>
    <w:rsid w:val="00174E51"/>
    <w:rsid w:val="00175309"/>
    <w:rsid w:val="00175369"/>
    <w:rsid w:val="00176684"/>
    <w:rsid w:val="00182D88"/>
    <w:rsid w:val="00185465"/>
    <w:rsid w:val="00185825"/>
    <w:rsid w:val="00185AD1"/>
    <w:rsid w:val="0018653A"/>
    <w:rsid w:val="00187094"/>
    <w:rsid w:val="00190D4F"/>
    <w:rsid w:val="0019194A"/>
    <w:rsid w:val="00192901"/>
    <w:rsid w:val="0019316B"/>
    <w:rsid w:val="001945D9"/>
    <w:rsid w:val="00195849"/>
    <w:rsid w:val="00195B9F"/>
    <w:rsid w:val="001961E4"/>
    <w:rsid w:val="00196252"/>
    <w:rsid w:val="00197C29"/>
    <w:rsid w:val="001A27BB"/>
    <w:rsid w:val="001A31BA"/>
    <w:rsid w:val="001A4014"/>
    <w:rsid w:val="001A4100"/>
    <w:rsid w:val="001A5E3B"/>
    <w:rsid w:val="001A63A2"/>
    <w:rsid w:val="001B07DD"/>
    <w:rsid w:val="001B185D"/>
    <w:rsid w:val="001B3B5D"/>
    <w:rsid w:val="001B43CF"/>
    <w:rsid w:val="001B4F0D"/>
    <w:rsid w:val="001B6B56"/>
    <w:rsid w:val="001B714B"/>
    <w:rsid w:val="001C044F"/>
    <w:rsid w:val="001C0471"/>
    <w:rsid w:val="001C1B03"/>
    <w:rsid w:val="001C2010"/>
    <w:rsid w:val="001C2A8E"/>
    <w:rsid w:val="001C2B43"/>
    <w:rsid w:val="001C3C95"/>
    <w:rsid w:val="001C4757"/>
    <w:rsid w:val="001C5B7E"/>
    <w:rsid w:val="001C7718"/>
    <w:rsid w:val="001D0D88"/>
    <w:rsid w:val="001D24A0"/>
    <w:rsid w:val="001D25D0"/>
    <w:rsid w:val="001D3A89"/>
    <w:rsid w:val="001D4655"/>
    <w:rsid w:val="001D46C2"/>
    <w:rsid w:val="001D47F2"/>
    <w:rsid w:val="001D4D5D"/>
    <w:rsid w:val="001D5CCB"/>
    <w:rsid w:val="001D695B"/>
    <w:rsid w:val="001D747C"/>
    <w:rsid w:val="001E5F15"/>
    <w:rsid w:val="001F0F63"/>
    <w:rsid w:val="001F2D81"/>
    <w:rsid w:val="001F31FB"/>
    <w:rsid w:val="001F40F9"/>
    <w:rsid w:val="001F4169"/>
    <w:rsid w:val="001F50A0"/>
    <w:rsid w:val="001F6F44"/>
    <w:rsid w:val="001F7CC0"/>
    <w:rsid w:val="002009F5"/>
    <w:rsid w:val="00200A19"/>
    <w:rsid w:val="002019B6"/>
    <w:rsid w:val="00201FEC"/>
    <w:rsid w:val="00203CF6"/>
    <w:rsid w:val="00206847"/>
    <w:rsid w:val="00206B78"/>
    <w:rsid w:val="002071A9"/>
    <w:rsid w:val="00211354"/>
    <w:rsid w:val="00211444"/>
    <w:rsid w:val="00211B78"/>
    <w:rsid w:val="00215314"/>
    <w:rsid w:val="00216CAA"/>
    <w:rsid w:val="0022136B"/>
    <w:rsid w:val="002215D2"/>
    <w:rsid w:val="00222087"/>
    <w:rsid w:val="00222341"/>
    <w:rsid w:val="002225E3"/>
    <w:rsid w:val="002243FC"/>
    <w:rsid w:val="002306C9"/>
    <w:rsid w:val="00231B62"/>
    <w:rsid w:val="002330CA"/>
    <w:rsid w:val="002332D3"/>
    <w:rsid w:val="00237AD7"/>
    <w:rsid w:val="0024032B"/>
    <w:rsid w:val="00242261"/>
    <w:rsid w:val="00242885"/>
    <w:rsid w:val="00242944"/>
    <w:rsid w:val="00242E69"/>
    <w:rsid w:val="00246B69"/>
    <w:rsid w:val="00247986"/>
    <w:rsid w:val="00247FC1"/>
    <w:rsid w:val="0026065F"/>
    <w:rsid w:val="002631C1"/>
    <w:rsid w:val="002640F2"/>
    <w:rsid w:val="00264C0E"/>
    <w:rsid w:val="00265C39"/>
    <w:rsid w:val="00266019"/>
    <w:rsid w:val="00266A06"/>
    <w:rsid w:val="00267009"/>
    <w:rsid w:val="00270DB2"/>
    <w:rsid w:val="00271A77"/>
    <w:rsid w:val="00273145"/>
    <w:rsid w:val="002759C1"/>
    <w:rsid w:val="00275EA7"/>
    <w:rsid w:val="002769B7"/>
    <w:rsid w:val="00276CBA"/>
    <w:rsid w:val="002818A1"/>
    <w:rsid w:val="00281AF5"/>
    <w:rsid w:val="00285D79"/>
    <w:rsid w:val="00285E1A"/>
    <w:rsid w:val="0028655B"/>
    <w:rsid w:val="00287B07"/>
    <w:rsid w:val="00287DD6"/>
    <w:rsid w:val="00291ACE"/>
    <w:rsid w:val="00292A48"/>
    <w:rsid w:val="002940C4"/>
    <w:rsid w:val="0029427C"/>
    <w:rsid w:val="002951AC"/>
    <w:rsid w:val="0029563B"/>
    <w:rsid w:val="002961C9"/>
    <w:rsid w:val="002962EA"/>
    <w:rsid w:val="0029648D"/>
    <w:rsid w:val="002966BE"/>
    <w:rsid w:val="00297854"/>
    <w:rsid w:val="002A0B4E"/>
    <w:rsid w:val="002A2BDE"/>
    <w:rsid w:val="002A7896"/>
    <w:rsid w:val="002A790E"/>
    <w:rsid w:val="002A7E1A"/>
    <w:rsid w:val="002A7E73"/>
    <w:rsid w:val="002B11CF"/>
    <w:rsid w:val="002B19DD"/>
    <w:rsid w:val="002B24AB"/>
    <w:rsid w:val="002B2AD4"/>
    <w:rsid w:val="002B3CB9"/>
    <w:rsid w:val="002B7266"/>
    <w:rsid w:val="002B7527"/>
    <w:rsid w:val="002C06EA"/>
    <w:rsid w:val="002C0B5A"/>
    <w:rsid w:val="002C225E"/>
    <w:rsid w:val="002C2B27"/>
    <w:rsid w:val="002C6520"/>
    <w:rsid w:val="002C6D7B"/>
    <w:rsid w:val="002C6DF2"/>
    <w:rsid w:val="002C7C3C"/>
    <w:rsid w:val="002D155A"/>
    <w:rsid w:val="002D1D4F"/>
    <w:rsid w:val="002D44F5"/>
    <w:rsid w:val="002D4AC7"/>
    <w:rsid w:val="002D6BC2"/>
    <w:rsid w:val="002D6BE3"/>
    <w:rsid w:val="002D7B1B"/>
    <w:rsid w:val="002E05C3"/>
    <w:rsid w:val="002E2BC0"/>
    <w:rsid w:val="002E3DED"/>
    <w:rsid w:val="002E46D7"/>
    <w:rsid w:val="002E54B5"/>
    <w:rsid w:val="002F1E2E"/>
    <w:rsid w:val="002F2074"/>
    <w:rsid w:val="002F211E"/>
    <w:rsid w:val="002F3F6D"/>
    <w:rsid w:val="002F50A3"/>
    <w:rsid w:val="002F66B1"/>
    <w:rsid w:val="002F68F6"/>
    <w:rsid w:val="003026F5"/>
    <w:rsid w:val="00306429"/>
    <w:rsid w:val="00307E80"/>
    <w:rsid w:val="003123ED"/>
    <w:rsid w:val="003137F2"/>
    <w:rsid w:val="0031445C"/>
    <w:rsid w:val="003154CF"/>
    <w:rsid w:val="00317638"/>
    <w:rsid w:val="00320987"/>
    <w:rsid w:val="003215E2"/>
    <w:rsid w:val="00322A50"/>
    <w:rsid w:val="00323511"/>
    <w:rsid w:val="0032522B"/>
    <w:rsid w:val="00330931"/>
    <w:rsid w:val="00330FD6"/>
    <w:rsid w:val="00333237"/>
    <w:rsid w:val="00333679"/>
    <w:rsid w:val="003336F7"/>
    <w:rsid w:val="00333F0C"/>
    <w:rsid w:val="00334F74"/>
    <w:rsid w:val="00336068"/>
    <w:rsid w:val="003369A7"/>
    <w:rsid w:val="00342DF8"/>
    <w:rsid w:val="003431C7"/>
    <w:rsid w:val="0034487F"/>
    <w:rsid w:val="00344CB0"/>
    <w:rsid w:val="00345036"/>
    <w:rsid w:val="00352A1F"/>
    <w:rsid w:val="003532E6"/>
    <w:rsid w:val="00353894"/>
    <w:rsid w:val="00355528"/>
    <w:rsid w:val="00360142"/>
    <w:rsid w:val="00360FE3"/>
    <w:rsid w:val="0036532A"/>
    <w:rsid w:val="003659AF"/>
    <w:rsid w:val="00367C29"/>
    <w:rsid w:val="003703AC"/>
    <w:rsid w:val="00371CDD"/>
    <w:rsid w:val="003726C2"/>
    <w:rsid w:val="00372795"/>
    <w:rsid w:val="00372AA7"/>
    <w:rsid w:val="0037431E"/>
    <w:rsid w:val="00375D08"/>
    <w:rsid w:val="00376451"/>
    <w:rsid w:val="00377AE1"/>
    <w:rsid w:val="0038018C"/>
    <w:rsid w:val="00380369"/>
    <w:rsid w:val="0038158C"/>
    <w:rsid w:val="00383076"/>
    <w:rsid w:val="00387C59"/>
    <w:rsid w:val="00390C24"/>
    <w:rsid w:val="003940F0"/>
    <w:rsid w:val="003945E5"/>
    <w:rsid w:val="0039535D"/>
    <w:rsid w:val="0039673F"/>
    <w:rsid w:val="003979A1"/>
    <w:rsid w:val="003A1410"/>
    <w:rsid w:val="003A30E5"/>
    <w:rsid w:val="003A4F07"/>
    <w:rsid w:val="003A51B0"/>
    <w:rsid w:val="003A54AA"/>
    <w:rsid w:val="003A6024"/>
    <w:rsid w:val="003A6B7B"/>
    <w:rsid w:val="003A6DEE"/>
    <w:rsid w:val="003A726C"/>
    <w:rsid w:val="003B1340"/>
    <w:rsid w:val="003B1506"/>
    <w:rsid w:val="003B4B05"/>
    <w:rsid w:val="003B5DEA"/>
    <w:rsid w:val="003C0916"/>
    <w:rsid w:val="003C104A"/>
    <w:rsid w:val="003C1181"/>
    <w:rsid w:val="003C11E0"/>
    <w:rsid w:val="003C1361"/>
    <w:rsid w:val="003C1814"/>
    <w:rsid w:val="003C29ED"/>
    <w:rsid w:val="003C2F52"/>
    <w:rsid w:val="003C515E"/>
    <w:rsid w:val="003C5DC5"/>
    <w:rsid w:val="003C5EB4"/>
    <w:rsid w:val="003C756C"/>
    <w:rsid w:val="003C7D64"/>
    <w:rsid w:val="003D36D7"/>
    <w:rsid w:val="003D3A28"/>
    <w:rsid w:val="003D49AD"/>
    <w:rsid w:val="003D4BBC"/>
    <w:rsid w:val="003D5389"/>
    <w:rsid w:val="003D55BE"/>
    <w:rsid w:val="003D65F2"/>
    <w:rsid w:val="003D7BA3"/>
    <w:rsid w:val="003E0139"/>
    <w:rsid w:val="003E0AD5"/>
    <w:rsid w:val="003E16F3"/>
    <w:rsid w:val="003E277A"/>
    <w:rsid w:val="003E399E"/>
    <w:rsid w:val="003E40CE"/>
    <w:rsid w:val="003E43F4"/>
    <w:rsid w:val="003E46C5"/>
    <w:rsid w:val="003E7379"/>
    <w:rsid w:val="003F1846"/>
    <w:rsid w:val="003F2488"/>
    <w:rsid w:val="003F784C"/>
    <w:rsid w:val="004008A7"/>
    <w:rsid w:val="00401C64"/>
    <w:rsid w:val="004038C3"/>
    <w:rsid w:val="00404A81"/>
    <w:rsid w:val="00405405"/>
    <w:rsid w:val="004054AD"/>
    <w:rsid w:val="0040782C"/>
    <w:rsid w:val="00407946"/>
    <w:rsid w:val="00411088"/>
    <w:rsid w:val="00411479"/>
    <w:rsid w:val="00412D2C"/>
    <w:rsid w:val="00413681"/>
    <w:rsid w:val="004142E4"/>
    <w:rsid w:val="00422C78"/>
    <w:rsid w:val="00422E33"/>
    <w:rsid w:val="00423845"/>
    <w:rsid w:val="004255F7"/>
    <w:rsid w:val="00425D01"/>
    <w:rsid w:val="004265DC"/>
    <w:rsid w:val="004275E3"/>
    <w:rsid w:val="00427FD7"/>
    <w:rsid w:val="00431AC3"/>
    <w:rsid w:val="00431BE1"/>
    <w:rsid w:val="00431F66"/>
    <w:rsid w:val="004324F7"/>
    <w:rsid w:val="00434945"/>
    <w:rsid w:val="004359C6"/>
    <w:rsid w:val="004365D5"/>
    <w:rsid w:val="00437913"/>
    <w:rsid w:val="00440182"/>
    <w:rsid w:val="00440E3A"/>
    <w:rsid w:val="0044103D"/>
    <w:rsid w:val="00441241"/>
    <w:rsid w:val="0044256A"/>
    <w:rsid w:val="00442664"/>
    <w:rsid w:val="00443C07"/>
    <w:rsid w:val="0044539E"/>
    <w:rsid w:val="00446CD2"/>
    <w:rsid w:val="00447EF8"/>
    <w:rsid w:val="00450FE9"/>
    <w:rsid w:val="00451539"/>
    <w:rsid w:val="004535FF"/>
    <w:rsid w:val="00456C08"/>
    <w:rsid w:val="00456F57"/>
    <w:rsid w:val="004611DE"/>
    <w:rsid w:val="00461247"/>
    <w:rsid w:val="00461F61"/>
    <w:rsid w:val="00464303"/>
    <w:rsid w:val="00465799"/>
    <w:rsid w:val="00467DCB"/>
    <w:rsid w:val="00470498"/>
    <w:rsid w:val="00470E62"/>
    <w:rsid w:val="0047119A"/>
    <w:rsid w:val="00471F87"/>
    <w:rsid w:val="00473B5C"/>
    <w:rsid w:val="00474024"/>
    <w:rsid w:val="00475541"/>
    <w:rsid w:val="00475804"/>
    <w:rsid w:val="00475AE5"/>
    <w:rsid w:val="00476249"/>
    <w:rsid w:val="0048026F"/>
    <w:rsid w:val="004828D8"/>
    <w:rsid w:val="00484433"/>
    <w:rsid w:val="00486012"/>
    <w:rsid w:val="0048671F"/>
    <w:rsid w:val="0048715E"/>
    <w:rsid w:val="004902D5"/>
    <w:rsid w:val="004907C1"/>
    <w:rsid w:val="00491DA6"/>
    <w:rsid w:val="00492BCA"/>
    <w:rsid w:val="00492E8F"/>
    <w:rsid w:val="00493296"/>
    <w:rsid w:val="00493DC8"/>
    <w:rsid w:val="00494817"/>
    <w:rsid w:val="00497C6B"/>
    <w:rsid w:val="004A4931"/>
    <w:rsid w:val="004A77A8"/>
    <w:rsid w:val="004A7ADA"/>
    <w:rsid w:val="004B024C"/>
    <w:rsid w:val="004B0D13"/>
    <w:rsid w:val="004B0ED0"/>
    <w:rsid w:val="004B144E"/>
    <w:rsid w:val="004B27A2"/>
    <w:rsid w:val="004B2B89"/>
    <w:rsid w:val="004B2C2F"/>
    <w:rsid w:val="004B31DB"/>
    <w:rsid w:val="004B4E5D"/>
    <w:rsid w:val="004B6573"/>
    <w:rsid w:val="004B7155"/>
    <w:rsid w:val="004B7BBC"/>
    <w:rsid w:val="004B7C6E"/>
    <w:rsid w:val="004C007C"/>
    <w:rsid w:val="004C1766"/>
    <w:rsid w:val="004C2330"/>
    <w:rsid w:val="004C707D"/>
    <w:rsid w:val="004D0342"/>
    <w:rsid w:val="004D2553"/>
    <w:rsid w:val="004D2A62"/>
    <w:rsid w:val="004D2E26"/>
    <w:rsid w:val="004D2FCF"/>
    <w:rsid w:val="004D4661"/>
    <w:rsid w:val="004D5ACC"/>
    <w:rsid w:val="004E0435"/>
    <w:rsid w:val="004E0F7D"/>
    <w:rsid w:val="004E1291"/>
    <w:rsid w:val="004E14CC"/>
    <w:rsid w:val="004E2130"/>
    <w:rsid w:val="004E3D38"/>
    <w:rsid w:val="004E7184"/>
    <w:rsid w:val="004F0A7A"/>
    <w:rsid w:val="004F42C1"/>
    <w:rsid w:val="004F6344"/>
    <w:rsid w:val="005017A2"/>
    <w:rsid w:val="005019AC"/>
    <w:rsid w:val="00501B6F"/>
    <w:rsid w:val="00502A59"/>
    <w:rsid w:val="00503D3F"/>
    <w:rsid w:val="00504AC5"/>
    <w:rsid w:val="00505AC7"/>
    <w:rsid w:val="00506941"/>
    <w:rsid w:val="00511C6C"/>
    <w:rsid w:val="00513B3E"/>
    <w:rsid w:val="005140D7"/>
    <w:rsid w:val="005143A9"/>
    <w:rsid w:val="00515D94"/>
    <w:rsid w:val="00516942"/>
    <w:rsid w:val="00516E20"/>
    <w:rsid w:val="00520F5E"/>
    <w:rsid w:val="00521B52"/>
    <w:rsid w:val="0052319D"/>
    <w:rsid w:val="00524830"/>
    <w:rsid w:val="005248B6"/>
    <w:rsid w:val="00524BAD"/>
    <w:rsid w:val="00526015"/>
    <w:rsid w:val="00527783"/>
    <w:rsid w:val="00527B02"/>
    <w:rsid w:val="00535763"/>
    <w:rsid w:val="00535880"/>
    <w:rsid w:val="00537E9D"/>
    <w:rsid w:val="00540BE9"/>
    <w:rsid w:val="00542A28"/>
    <w:rsid w:val="005445ED"/>
    <w:rsid w:val="005451F9"/>
    <w:rsid w:val="005456CF"/>
    <w:rsid w:val="0054720E"/>
    <w:rsid w:val="00547C44"/>
    <w:rsid w:val="005502D9"/>
    <w:rsid w:val="00550F23"/>
    <w:rsid w:val="005549E1"/>
    <w:rsid w:val="0055613F"/>
    <w:rsid w:val="00556EE6"/>
    <w:rsid w:val="00557A00"/>
    <w:rsid w:val="00557B43"/>
    <w:rsid w:val="00560010"/>
    <w:rsid w:val="005630A4"/>
    <w:rsid w:val="00564D50"/>
    <w:rsid w:val="00565F62"/>
    <w:rsid w:val="005660EE"/>
    <w:rsid w:val="0056678C"/>
    <w:rsid w:val="00566BC7"/>
    <w:rsid w:val="00567FC5"/>
    <w:rsid w:val="00570215"/>
    <w:rsid w:val="00570851"/>
    <w:rsid w:val="005715BA"/>
    <w:rsid w:val="00571B4A"/>
    <w:rsid w:val="00571E6E"/>
    <w:rsid w:val="005752B1"/>
    <w:rsid w:val="00580351"/>
    <w:rsid w:val="00580A4E"/>
    <w:rsid w:val="005822B8"/>
    <w:rsid w:val="00582659"/>
    <w:rsid w:val="00582D4A"/>
    <w:rsid w:val="00583F43"/>
    <w:rsid w:val="00584149"/>
    <w:rsid w:val="005849A4"/>
    <w:rsid w:val="00586675"/>
    <w:rsid w:val="00591E65"/>
    <w:rsid w:val="00592546"/>
    <w:rsid w:val="00593932"/>
    <w:rsid w:val="00593AFE"/>
    <w:rsid w:val="00594A4C"/>
    <w:rsid w:val="00595488"/>
    <w:rsid w:val="005A06D7"/>
    <w:rsid w:val="005A1ED1"/>
    <w:rsid w:val="005A41FF"/>
    <w:rsid w:val="005A7140"/>
    <w:rsid w:val="005B060E"/>
    <w:rsid w:val="005B0A60"/>
    <w:rsid w:val="005B1738"/>
    <w:rsid w:val="005B1842"/>
    <w:rsid w:val="005B240C"/>
    <w:rsid w:val="005B3C50"/>
    <w:rsid w:val="005B4925"/>
    <w:rsid w:val="005B6483"/>
    <w:rsid w:val="005B66FD"/>
    <w:rsid w:val="005B685B"/>
    <w:rsid w:val="005B6A9D"/>
    <w:rsid w:val="005B6E41"/>
    <w:rsid w:val="005B77B1"/>
    <w:rsid w:val="005B78AB"/>
    <w:rsid w:val="005C0810"/>
    <w:rsid w:val="005C2546"/>
    <w:rsid w:val="005C3BCB"/>
    <w:rsid w:val="005C3F89"/>
    <w:rsid w:val="005C4FF8"/>
    <w:rsid w:val="005C5A94"/>
    <w:rsid w:val="005C6AF7"/>
    <w:rsid w:val="005C7F22"/>
    <w:rsid w:val="005D2E49"/>
    <w:rsid w:val="005D31D4"/>
    <w:rsid w:val="005D3BFB"/>
    <w:rsid w:val="005D500B"/>
    <w:rsid w:val="005D58AE"/>
    <w:rsid w:val="005D6727"/>
    <w:rsid w:val="005D7F1C"/>
    <w:rsid w:val="005E041C"/>
    <w:rsid w:val="005E2933"/>
    <w:rsid w:val="005E4419"/>
    <w:rsid w:val="005E6DD6"/>
    <w:rsid w:val="005E6E86"/>
    <w:rsid w:val="005F0A71"/>
    <w:rsid w:val="005F0B96"/>
    <w:rsid w:val="005F0EBB"/>
    <w:rsid w:val="005F20E0"/>
    <w:rsid w:val="005F288F"/>
    <w:rsid w:val="005F2B6C"/>
    <w:rsid w:val="005F2BCB"/>
    <w:rsid w:val="005F3385"/>
    <w:rsid w:val="005F3898"/>
    <w:rsid w:val="005F3B5B"/>
    <w:rsid w:val="005F3CC2"/>
    <w:rsid w:val="005F3E7C"/>
    <w:rsid w:val="00601FEB"/>
    <w:rsid w:val="00604636"/>
    <w:rsid w:val="0060476E"/>
    <w:rsid w:val="00604DBB"/>
    <w:rsid w:val="00607523"/>
    <w:rsid w:val="006100CE"/>
    <w:rsid w:val="0061136C"/>
    <w:rsid w:val="006114C3"/>
    <w:rsid w:val="00611B88"/>
    <w:rsid w:val="00611F48"/>
    <w:rsid w:val="00613F8A"/>
    <w:rsid w:val="00613FA0"/>
    <w:rsid w:val="00615A06"/>
    <w:rsid w:val="00620FF8"/>
    <w:rsid w:val="00621321"/>
    <w:rsid w:val="00622B5E"/>
    <w:rsid w:val="0062431B"/>
    <w:rsid w:val="006244CD"/>
    <w:rsid w:val="006251A8"/>
    <w:rsid w:val="006256CA"/>
    <w:rsid w:val="00630010"/>
    <w:rsid w:val="00631DFF"/>
    <w:rsid w:val="00632A76"/>
    <w:rsid w:val="00632EEC"/>
    <w:rsid w:val="00636D06"/>
    <w:rsid w:val="00640F20"/>
    <w:rsid w:val="00642102"/>
    <w:rsid w:val="00644B26"/>
    <w:rsid w:val="006475D5"/>
    <w:rsid w:val="006520C3"/>
    <w:rsid w:val="00652128"/>
    <w:rsid w:val="00652650"/>
    <w:rsid w:val="00652DBF"/>
    <w:rsid w:val="006570F9"/>
    <w:rsid w:val="006578DB"/>
    <w:rsid w:val="00660A76"/>
    <w:rsid w:val="00660B0B"/>
    <w:rsid w:val="00660D25"/>
    <w:rsid w:val="00663B13"/>
    <w:rsid w:val="00664949"/>
    <w:rsid w:val="00667E4B"/>
    <w:rsid w:val="00670B94"/>
    <w:rsid w:val="0067124A"/>
    <w:rsid w:val="00672A62"/>
    <w:rsid w:val="00673714"/>
    <w:rsid w:val="00676C5D"/>
    <w:rsid w:val="00676CFF"/>
    <w:rsid w:val="0067725F"/>
    <w:rsid w:val="00677614"/>
    <w:rsid w:val="00681481"/>
    <w:rsid w:val="00682374"/>
    <w:rsid w:val="00683A15"/>
    <w:rsid w:val="00683E8C"/>
    <w:rsid w:val="006841EB"/>
    <w:rsid w:val="00685EC8"/>
    <w:rsid w:val="00686353"/>
    <w:rsid w:val="00691621"/>
    <w:rsid w:val="00694A60"/>
    <w:rsid w:val="00694C3B"/>
    <w:rsid w:val="006975FC"/>
    <w:rsid w:val="00697602"/>
    <w:rsid w:val="006A2310"/>
    <w:rsid w:val="006A292D"/>
    <w:rsid w:val="006A2CB1"/>
    <w:rsid w:val="006A4448"/>
    <w:rsid w:val="006A7F71"/>
    <w:rsid w:val="006B2ACD"/>
    <w:rsid w:val="006B36BB"/>
    <w:rsid w:val="006B42CE"/>
    <w:rsid w:val="006B61D0"/>
    <w:rsid w:val="006B6355"/>
    <w:rsid w:val="006B6A5C"/>
    <w:rsid w:val="006B7B59"/>
    <w:rsid w:val="006C2D9F"/>
    <w:rsid w:val="006C5162"/>
    <w:rsid w:val="006C7BF9"/>
    <w:rsid w:val="006C7C04"/>
    <w:rsid w:val="006D1B6A"/>
    <w:rsid w:val="006D1DD6"/>
    <w:rsid w:val="006D2279"/>
    <w:rsid w:val="006D385A"/>
    <w:rsid w:val="006D3F83"/>
    <w:rsid w:val="006D5FE6"/>
    <w:rsid w:val="006D62EB"/>
    <w:rsid w:val="006E01EB"/>
    <w:rsid w:val="006E463B"/>
    <w:rsid w:val="006E4B07"/>
    <w:rsid w:val="006E4F81"/>
    <w:rsid w:val="006E56FE"/>
    <w:rsid w:val="006E5ECE"/>
    <w:rsid w:val="006E7E3E"/>
    <w:rsid w:val="006F0146"/>
    <w:rsid w:val="006F0528"/>
    <w:rsid w:val="006F0560"/>
    <w:rsid w:val="006F0FE2"/>
    <w:rsid w:val="006F11D9"/>
    <w:rsid w:val="006F1996"/>
    <w:rsid w:val="006F2C40"/>
    <w:rsid w:val="006F6BDA"/>
    <w:rsid w:val="006F7C8E"/>
    <w:rsid w:val="007011A9"/>
    <w:rsid w:val="00701585"/>
    <w:rsid w:val="007027FA"/>
    <w:rsid w:val="007030BF"/>
    <w:rsid w:val="00703FD5"/>
    <w:rsid w:val="0070491F"/>
    <w:rsid w:val="0070609D"/>
    <w:rsid w:val="00707180"/>
    <w:rsid w:val="00707AF7"/>
    <w:rsid w:val="007124F5"/>
    <w:rsid w:val="00712663"/>
    <w:rsid w:val="007171DE"/>
    <w:rsid w:val="00717934"/>
    <w:rsid w:val="00717FC9"/>
    <w:rsid w:val="007206A3"/>
    <w:rsid w:val="00722A46"/>
    <w:rsid w:val="007244D7"/>
    <w:rsid w:val="00727284"/>
    <w:rsid w:val="00731589"/>
    <w:rsid w:val="007328E1"/>
    <w:rsid w:val="00732CE8"/>
    <w:rsid w:val="00734A9B"/>
    <w:rsid w:val="00734ADA"/>
    <w:rsid w:val="00735EE5"/>
    <w:rsid w:val="0074108A"/>
    <w:rsid w:val="0074155D"/>
    <w:rsid w:val="00741591"/>
    <w:rsid w:val="00746CAE"/>
    <w:rsid w:val="00752925"/>
    <w:rsid w:val="00752ED3"/>
    <w:rsid w:val="00754294"/>
    <w:rsid w:val="00755BCE"/>
    <w:rsid w:val="00755BD7"/>
    <w:rsid w:val="0075647E"/>
    <w:rsid w:val="00756BF1"/>
    <w:rsid w:val="00756E58"/>
    <w:rsid w:val="00757919"/>
    <w:rsid w:val="00757EF2"/>
    <w:rsid w:val="0076074D"/>
    <w:rsid w:val="0076471D"/>
    <w:rsid w:val="007662C0"/>
    <w:rsid w:val="00766662"/>
    <w:rsid w:val="00766773"/>
    <w:rsid w:val="00766CC7"/>
    <w:rsid w:val="00766F04"/>
    <w:rsid w:val="00772F60"/>
    <w:rsid w:val="0077494E"/>
    <w:rsid w:val="00774C8E"/>
    <w:rsid w:val="00774D42"/>
    <w:rsid w:val="00775C62"/>
    <w:rsid w:val="00777419"/>
    <w:rsid w:val="007801DE"/>
    <w:rsid w:val="00780560"/>
    <w:rsid w:val="00781111"/>
    <w:rsid w:val="0078152B"/>
    <w:rsid w:val="0078195F"/>
    <w:rsid w:val="00784864"/>
    <w:rsid w:val="00785967"/>
    <w:rsid w:val="00785A06"/>
    <w:rsid w:val="00786005"/>
    <w:rsid w:val="007861DB"/>
    <w:rsid w:val="0078628A"/>
    <w:rsid w:val="00787792"/>
    <w:rsid w:val="00787899"/>
    <w:rsid w:val="00790B95"/>
    <w:rsid w:val="00790DAC"/>
    <w:rsid w:val="007911F6"/>
    <w:rsid w:val="00791636"/>
    <w:rsid w:val="00792AAD"/>
    <w:rsid w:val="007937B3"/>
    <w:rsid w:val="00793C1F"/>
    <w:rsid w:val="00794257"/>
    <w:rsid w:val="00794F2B"/>
    <w:rsid w:val="00795F2B"/>
    <w:rsid w:val="00796B3C"/>
    <w:rsid w:val="00796DD2"/>
    <w:rsid w:val="00797097"/>
    <w:rsid w:val="0079722C"/>
    <w:rsid w:val="00797644"/>
    <w:rsid w:val="007A2B27"/>
    <w:rsid w:val="007A351B"/>
    <w:rsid w:val="007A35C0"/>
    <w:rsid w:val="007A3A16"/>
    <w:rsid w:val="007A3F9F"/>
    <w:rsid w:val="007A6E8B"/>
    <w:rsid w:val="007A703D"/>
    <w:rsid w:val="007A7A82"/>
    <w:rsid w:val="007B0E25"/>
    <w:rsid w:val="007B26CA"/>
    <w:rsid w:val="007B2DFC"/>
    <w:rsid w:val="007B2EB0"/>
    <w:rsid w:val="007B4881"/>
    <w:rsid w:val="007B65FA"/>
    <w:rsid w:val="007C0329"/>
    <w:rsid w:val="007C0BF0"/>
    <w:rsid w:val="007C1033"/>
    <w:rsid w:val="007C7465"/>
    <w:rsid w:val="007D2175"/>
    <w:rsid w:val="007D3CD7"/>
    <w:rsid w:val="007D4EBE"/>
    <w:rsid w:val="007D5C10"/>
    <w:rsid w:val="007E1AC2"/>
    <w:rsid w:val="007E330C"/>
    <w:rsid w:val="007E53FF"/>
    <w:rsid w:val="007E6F7F"/>
    <w:rsid w:val="007E7A88"/>
    <w:rsid w:val="007F0197"/>
    <w:rsid w:val="007F0C87"/>
    <w:rsid w:val="007F29F5"/>
    <w:rsid w:val="007F2F36"/>
    <w:rsid w:val="007F419F"/>
    <w:rsid w:val="007F54BA"/>
    <w:rsid w:val="007F64C0"/>
    <w:rsid w:val="007F678E"/>
    <w:rsid w:val="0080033D"/>
    <w:rsid w:val="00800A9F"/>
    <w:rsid w:val="00801335"/>
    <w:rsid w:val="00802AA3"/>
    <w:rsid w:val="00804494"/>
    <w:rsid w:val="00805F2E"/>
    <w:rsid w:val="00806B5F"/>
    <w:rsid w:val="00806BB3"/>
    <w:rsid w:val="00806BE9"/>
    <w:rsid w:val="00807072"/>
    <w:rsid w:val="00807401"/>
    <w:rsid w:val="00810902"/>
    <w:rsid w:val="00811A25"/>
    <w:rsid w:val="00811F94"/>
    <w:rsid w:val="00812583"/>
    <w:rsid w:val="00813A33"/>
    <w:rsid w:val="0081420C"/>
    <w:rsid w:val="00815297"/>
    <w:rsid w:val="0081594C"/>
    <w:rsid w:val="00816A29"/>
    <w:rsid w:val="00820A94"/>
    <w:rsid w:val="0082124A"/>
    <w:rsid w:val="00822FD6"/>
    <w:rsid w:val="008232D2"/>
    <w:rsid w:val="0082507C"/>
    <w:rsid w:val="008265D3"/>
    <w:rsid w:val="008268A7"/>
    <w:rsid w:val="00826953"/>
    <w:rsid w:val="008274A4"/>
    <w:rsid w:val="00827FB4"/>
    <w:rsid w:val="00830F1B"/>
    <w:rsid w:val="00832DBF"/>
    <w:rsid w:val="008334AE"/>
    <w:rsid w:val="00835BBB"/>
    <w:rsid w:val="00835EAD"/>
    <w:rsid w:val="00836508"/>
    <w:rsid w:val="00836E06"/>
    <w:rsid w:val="00841986"/>
    <w:rsid w:val="00842A4E"/>
    <w:rsid w:val="0084364F"/>
    <w:rsid w:val="0084367A"/>
    <w:rsid w:val="00843C14"/>
    <w:rsid w:val="008460EA"/>
    <w:rsid w:val="00846296"/>
    <w:rsid w:val="00846A99"/>
    <w:rsid w:val="00852396"/>
    <w:rsid w:val="0085390A"/>
    <w:rsid w:val="00854772"/>
    <w:rsid w:val="00854D0D"/>
    <w:rsid w:val="0085557E"/>
    <w:rsid w:val="008570BB"/>
    <w:rsid w:val="00860E5A"/>
    <w:rsid w:val="00860F41"/>
    <w:rsid w:val="00864095"/>
    <w:rsid w:val="008650F1"/>
    <w:rsid w:val="00865974"/>
    <w:rsid w:val="00866432"/>
    <w:rsid w:val="00870568"/>
    <w:rsid w:val="0087067E"/>
    <w:rsid w:val="00870727"/>
    <w:rsid w:val="008726BD"/>
    <w:rsid w:val="00872BB9"/>
    <w:rsid w:val="0087504C"/>
    <w:rsid w:val="00875ACE"/>
    <w:rsid w:val="00877385"/>
    <w:rsid w:val="008774FC"/>
    <w:rsid w:val="00880D4D"/>
    <w:rsid w:val="00884A40"/>
    <w:rsid w:val="0088517F"/>
    <w:rsid w:val="0088608E"/>
    <w:rsid w:val="00886692"/>
    <w:rsid w:val="00894EC0"/>
    <w:rsid w:val="00895C7C"/>
    <w:rsid w:val="00896C5A"/>
    <w:rsid w:val="00896D71"/>
    <w:rsid w:val="008A0D1F"/>
    <w:rsid w:val="008A0EC8"/>
    <w:rsid w:val="008A2276"/>
    <w:rsid w:val="008A273A"/>
    <w:rsid w:val="008A2DBE"/>
    <w:rsid w:val="008A381C"/>
    <w:rsid w:val="008A3BF5"/>
    <w:rsid w:val="008A3D23"/>
    <w:rsid w:val="008A475E"/>
    <w:rsid w:val="008A48F8"/>
    <w:rsid w:val="008A4AF8"/>
    <w:rsid w:val="008A583E"/>
    <w:rsid w:val="008A5B6B"/>
    <w:rsid w:val="008A6F2E"/>
    <w:rsid w:val="008A70DB"/>
    <w:rsid w:val="008A7AFB"/>
    <w:rsid w:val="008A7E71"/>
    <w:rsid w:val="008B007A"/>
    <w:rsid w:val="008B35A5"/>
    <w:rsid w:val="008B3600"/>
    <w:rsid w:val="008B4216"/>
    <w:rsid w:val="008B64CD"/>
    <w:rsid w:val="008C0FCB"/>
    <w:rsid w:val="008C115C"/>
    <w:rsid w:val="008C27DB"/>
    <w:rsid w:val="008C75C4"/>
    <w:rsid w:val="008C7602"/>
    <w:rsid w:val="008D1B5E"/>
    <w:rsid w:val="008D2326"/>
    <w:rsid w:val="008D251D"/>
    <w:rsid w:val="008D3DBB"/>
    <w:rsid w:val="008D4DA6"/>
    <w:rsid w:val="008D4F39"/>
    <w:rsid w:val="008D6E17"/>
    <w:rsid w:val="008E125E"/>
    <w:rsid w:val="008E1EC1"/>
    <w:rsid w:val="008E4344"/>
    <w:rsid w:val="008E6C96"/>
    <w:rsid w:val="008F0650"/>
    <w:rsid w:val="008F2631"/>
    <w:rsid w:val="008F2B93"/>
    <w:rsid w:val="008F6378"/>
    <w:rsid w:val="00900BD8"/>
    <w:rsid w:val="00901401"/>
    <w:rsid w:val="00901436"/>
    <w:rsid w:val="00903789"/>
    <w:rsid w:val="009045B4"/>
    <w:rsid w:val="00904B77"/>
    <w:rsid w:val="009058D2"/>
    <w:rsid w:val="00906C29"/>
    <w:rsid w:val="00907862"/>
    <w:rsid w:val="0090792E"/>
    <w:rsid w:val="00910249"/>
    <w:rsid w:val="0091039D"/>
    <w:rsid w:val="00912F9F"/>
    <w:rsid w:val="00913B1D"/>
    <w:rsid w:val="00913B61"/>
    <w:rsid w:val="00915748"/>
    <w:rsid w:val="009168FE"/>
    <w:rsid w:val="00917561"/>
    <w:rsid w:val="0092043E"/>
    <w:rsid w:val="009207A4"/>
    <w:rsid w:val="00921C43"/>
    <w:rsid w:val="00921CA5"/>
    <w:rsid w:val="00921F94"/>
    <w:rsid w:val="00923A95"/>
    <w:rsid w:val="00925601"/>
    <w:rsid w:val="009256B1"/>
    <w:rsid w:val="00925CD6"/>
    <w:rsid w:val="009261AE"/>
    <w:rsid w:val="00926997"/>
    <w:rsid w:val="00926B86"/>
    <w:rsid w:val="00930091"/>
    <w:rsid w:val="009329F7"/>
    <w:rsid w:val="00932F29"/>
    <w:rsid w:val="00935656"/>
    <w:rsid w:val="00937F6D"/>
    <w:rsid w:val="009428D7"/>
    <w:rsid w:val="00944BA7"/>
    <w:rsid w:val="009454F9"/>
    <w:rsid w:val="00946A85"/>
    <w:rsid w:val="0094778B"/>
    <w:rsid w:val="00950757"/>
    <w:rsid w:val="00950CCE"/>
    <w:rsid w:val="00950F26"/>
    <w:rsid w:val="00952850"/>
    <w:rsid w:val="00952965"/>
    <w:rsid w:val="00952B6F"/>
    <w:rsid w:val="00953A0C"/>
    <w:rsid w:val="00953D84"/>
    <w:rsid w:val="00954268"/>
    <w:rsid w:val="00954499"/>
    <w:rsid w:val="00954EED"/>
    <w:rsid w:val="009556C6"/>
    <w:rsid w:val="00955893"/>
    <w:rsid w:val="00957CFA"/>
    <w:rsid w:val="009610E7"/>
    <w:rsid w:val="009615C7"/>
    <w:rsid w:val="00961AF3"/>
    <w:rsid w:val="00962DED"/>
    <w:rsid w:val="00965373"/>
    <w:rsid w:val="00966A97"/>
    <w:rsid w:val="00966E0D"/>
    <w:rsid w:val="00971C82"/>
    <w:rsid w:val="00971F2C"/>
    <w:rsid w:val="00972F4E"/>
    <w:rsid w:val="0097369D"/>
    <w:rsid w:val="009745DC"/>
    <w:rsid w:val="009774A1"/>
    <w:rsid w:val="00977BEA"/>
    <w:rsid w:val="00977F16"/>
    <w:rsid w:val="00980FD0"/>
    <w:rsid w:val="00981211"/>
    <w:rsid w:val="00982B83"/>
    <w:rsid w:val="00983463"/>
    <w:rsid w:val="0098566E"/>
    <w:rsid w:val="00985BCB"/>
    <w:rsid w:val="00987B0E"/>
    <w:rsid w:val="0099009F"/>
    <w:rsid w:val="009913D9"/>
    <w:rsid w:val="0099216A"/>
    <w:rsid w:val="009958EF"/>
    <w:rsid w:val="00996942"/>
    <w:rsid w:val="009969AC"/>
    <w:rsid w:val="009A2D7C"/>
    <w:rsid w:val="009A3982"/>
    <w:rsid w:val="009A3A62"/>
    <w:rsid w:val="009A3ED6"/>
    <w:rsid w:val="009A457B"/>
    <w:rsid w:val="009A45B2"/>
    <w:rsid w:val="009A4C7F"/>
    <w:rsid w:val="009B2078"/>
    <w:rsid w:val="009B26B2"/>
    <w:rsid w:val="009B28CB"/>
    <w:rsid w:val="009B302B"/>
    <w:rsid w:val="009B3884"/>
    <w:rsid w:val="009B41D2"/>
    <w:rsid w:val="009B4212"/>
    <w:rsid w:val="009B4503"/>
    <w:rsid w:val="009B579C"/>
    <w:rsid w:val="009B57E0"/>
    <w:rsid w:val="009B5CE9"/>
    <w:rsid w:val="009B60DF"/>
    <w:rsid w:val="009C08FE"/>
    <w:rsid w:val="009C340D"/>
    <w:rsid w:val="009C3F7E"/>
    <w:rsid w:val="009C4402"/>
    <w:rsid w:val="009C4AAE"/>
    <w:rsid w:val="009C4DE8"/>
    <w:rsid w:val="009C5BB6"/>
    <w:rsid w:val="009C6D89"/>
    <w:rsid w:val="009C7626"/>
    <w:rsid w:val="009D2821"/>
    <w:rsid w:val="009D394C"/>
    <w:rsid w:val="009D7312"/>
    <w:rsid w:val="009D78E5"/>
    <w:rsid w:val="009E00E4"/>
    <w:rsid w:val="009E2853"/>
    <w:rsid w:val="009E285D"/>
    <w:rsid w:val="009E3AEA"/>
    <w:rsid w:val="009E411C"/>
    <w:rsid w:val="009E59D7"/>
    <w:rsid w:val="009E5B23"/>
    <w:rsid w:val="009F0843"/>
    <w:rsid w:val="009F0F8E"/>
    <w:rsid w:val="009F1103"/>
    <w:rsid w:val="009F18B6"/>
    <w:rsid w:val="009F1F57"/>
    <w:rsid w:val="009F25A2"/>
    <w:rsid w:val="009F2FF4"/>
    <w:rsid w:val="009F3FE1"/>
    <w:rsid w:val="009F53A5"/>
    <w:rsid w:val="009F6E17"/>
    <w:rsid w:val="009F6F97"/>
    <w:rsid w:val="009F74A9"/>
    <w:rsid w:val="00A01902"/>
    <w:rsid w:val="00A01C18"/>
    <w:rsid w:val="00A01D86"/>
    <w:rsid w:val="00A02729"/>
    <w:rsid w:val="00A04270"/>
    <w:rsid w:val="00A0429B"/>
    <w:rsid w:val="00A0506D"/>
    <w:rsid w:val="00A063D0"/>
    <w:rsid w:val="00A101E3"/>
    <w:rsid w:val="00A10943"/>
    <w:rsid w:val="00A10ED9"/>
    <w:rsid w:val="00A13F97"/>
    <w:rsid w:val="00A15F89"/>
    <w:rsid w:val="00A16593"/>
    <w:rsid w:val="00A21CE1"/>
    <w:rsid w:val="00A22BCB"/>
    <w:rsid w:val="00A24175"/>
    <w:rsid w:val="00A245E5"/>
    <w:rsid w:val="00A246A9"/>
    <w:rsid w:val="00A26AB3"/>
    <w:rsid w:val="00A27125"/>
    <w:rsid w:val="00A27BEE"/>
    <w:rsid w:val="00A32231"/>
    <w:rsid w:val="00A33F18"/>
    <w:rsid w:val="00A352A1"/>
    <w:rsid w:val="00A36248"/>
    <w:rsid w:val="00A40295"/>
    <w:rsid w:val="00A41504"/>
    <w:rsid w:val="00A41860"/>
    <w:rsid w:val="00A419E5"/>
    <w:rsid w:val="00A4286A"/>
    <w:rsid w:val="00A42A69"/>
    <w:rsid w:val="00A4458A"/>
    <w:rsid w:val="00A46101"/>
    <w:rsid w:val="00A47A6A"/>
    <w:rsid w:val="00A50139"/>
    <w:rsid w:val="00A5644B"/>
    <w:rsid w:val="00A56A92"/>
    <w:rsid w:val="00A57F64"/>
    <w:rsid w:val="00A6202F"/>
    <w:rsid w:val="00A620DD"/>
    <w:rsid w:val="00A62F39"/>
    <w:rsid w:val="00A64AA0"/>
    <w:rsid w:val="00A64BBA"/>
    <w:rsid w:val="00A664A1"/>
    <w:rsid w:val="00A7031D"/>
    <w:rsid w:val="00A703E9"/>
    <w:rsid w:val="00A70FEB"/>
    <w:rsid w:val="00A723EA"/>
    <w:rsid w:val="00A73353"/>
    <w:rsid w:val="00A81138"/>
    <w:rsid w:val="00A83D75"/>
    <w:rsid w:val="00A84AB9"/>
    <w:rsid w:val="00A862EB"/>
    <w:rsid w:val="00A86CDE"/>
    <w:rsid w:val="00A86DBF"/>
    <w:rsid w:val="00A90182"/>
    <w:rsid w:val="00A903EA"/>
    <w:rsid w:val="00A93209"/>
    <w:rsid w:val="00A93473"/>
    <w:rsid w:val="00A96A42"/>
    <w:rsid w:val="00A9753C"/>
    <w:rsid w:val="00AA062D"/>
    <w:rsid w:val="00AA0844"/>
    <w:rsid w:val="00AA3CE7"/>
    <w:rsid w:val="00AA3F16"/>
    <w:rsid w:val="00AA44BE"/>
    <w:rsid w:val="00AA6EF7"/>
    <w:rsid w:val="00AA7A1E"/>
    <w:rsid w:val="00AA7E18"/>
    <w:rsid w:val="00AB0598"/>
    <w:rsid w:val="00AB09A1"/>
    <w:rsid w:val="00AB1D9C"/>
    <w:rsid w:val="00AB3AE2"/>
    <w:rsid w:val="00AB3B4C"/>
    <w:rsid w:val="00AB3D14"/>
    <w:rsid w:val="00AB5F29"/>
    <w:rsid w:val="00AB65AE"/>
    <w:rsid w:val="00AC14EA"/>
    <w:rsid w:val="00AC54D8"/>
    <w:rsid w:val="00AC7BE3"/>
    <w:rsid w:val="00AD065B"/>
    <w:rsid w:val="00AD2E99"/>
    <w:rsid w:val="00AD397F"/>
    <w:rsid w:val="00AD57B5"/>
    <w:rsid w:val="00AD5D67"/>
    <w:rsid w:val="00AD70A7"/>
    <w:rsid w:val="00AD75A0"/>
    <w:rsid w:val="00AE00E1"/>
    <w:rsid w:val="00AE0A46"/>
    <w:rsid w:val="00AE14EF"/>
    <w:rsid w:val="00AE2549"/>
    <w:rsid w:val="00AE27C3"/>
    <w:rsid w:val="00AE2D7D"/>
    <w:rsid w:val="00AE39C8"/>
    <w:rsid w:val="00AE4057"/>
    <w:rsid w:val="00AE4C6E"/>
    <w:rsid w:val="00AE5425"/>
    <w:rsid w:val="00AE7235"/>
    <w:rsid w:val="00AE7F08"/>
    <w:rsid w:val="00AE7F6A"/>
    <w:rsid w:val="00AF2353"/>
    <w:rsid w:val="00AF29BA"/>
    <w:rsid w:val="00AF29CE"/>
    <w:rsid w:val="00B0090E"/>
    <w:rsid w:val="00B00B62"/>
    <w:rsid w:val="00B03923"/>
    <w:rsid w:val="00B047DD"/>
    <w:rsid w:val="00B06D03"/>
    <w:rsid w:val="00B06D85"/>
    <w:rsid w:val="00B10244"/>
    <w:rsid w:val="00B112C7"/>
    <w:rsid w:val="00B1162C"/>
    <w:rsid w:val="00B1198E"/>
    <w:rsid w:val="00B204A8"/>
    <w:rsid w:val="00B21114"/>
    <w:rsid w:val="00B21652"/>
    <w:rsid w:val="00B22381"/>
    <w:rsid w:val="00B2251C"/>
    <w:rsid w:val="00B23A73"/>
    <w:rsid w:val="00B23FF4"/>
    <w:rsid w:val="00B25AA6"/>
    <w:rsid w:val="00B30863"/>
    <w:rsid w:val="00B32C0D"/>
    <w:rsid w:val="00B3563B"/>
    <w:rsid w:val="00B361BB"/>
    <w:rsid w:val="00B368D9"/>
    <w:rsid w:val="00B37C57"/>
    <w:rsid w:val="00B37D2D"/>
    <w:rsid w:val="00B4022D"/>
    <w:rsid w:val="00B42CB4"/>
    <w:rsid w:val="00B43F78"/>
    <w:rsid w:val="00B44EEC"/>
    <w:rsid w:val="00B46621"/>
    <w:rsid w:val="00B5336D"/>
    <w:rsid w:val="00B544D6"/>
    <w:rsid w:val="00B565C2"/>
    <w:rsid w:val="00B571EB"/>
    <w:rsid w:val="00B60BD7"/>
    <w:rsid w:val="00B61804"/>
    <w:rsid w:val="00B6306F"/>
    <w:rsid w:val="00B63447"/>
    <w:rsid w:val="00B638DC"/>
    <w:rsid w:val="00B646AF"/>
    <w:rsid w:val="00B7051B"/>
    <w:rsid w:val="00B71C1F"/>
    <w:rsid w:val="00B7337A"/>
    <w:rsid w:val="00B74B7A"/>
    <w:rsid w:val="00B75087"/>
    <w:rsid w:val="00B75C83"/>
    <w:rsid w:val="00B76A3B"/>
    <w:rsid w:val="00B8043C"/>
    <w:rsid w:val="00B80807"/>
    <w:rsid w:val="00B811D5"/>
    <w:rsid w:val="00B8320E"/>
    <w:rsid w:val="00B839FC"/>
    <w:rsid w:val="00B83A85"/>
    <w:rsid w:val="00B8449D"/>
    <w:rsid w:val="00B859F1"/>
    <w:rsid w:val="00B85DA7"/>
    <w:rsid w:val="00B862CC"/>
    <w:rsid w:val="00B86630"/>
    <w:rsid w:val="00B90D94"/>
    <w:rsid w:val="00B924D6"/>
    <w:rsid w:val="00B93FC3"/>
    <w:rsid w:val="00B9518F"/>
    <w:rsid w:val="00B95CFC"/>
    <w:rsid w:val="00B96881"/>
    <w:rsid w:val="00BA0223"/>
    <w:rsid w:val="00BA10C2"/>
    <w:rsid w:val="00BA1FCF"/>
    <w:rsid w:val="00BA6A0F"/>
    <w:rsid w:val="00BB0623"/>
    <w:rsid w:val="00BB204F"/>
    <w:rsid w:val="00BB7F82"/>
    <w:rsid w:val="00BC005C"/>
    <w:rsid w:val="00BC0F8E"/>
    <w:rsid w:val="00BC1462"/>
    <w:rsid w:val="00BC163C"/>
    <w:rsid w:val="00BC2AB2"/>
    <w:rsid w:val="00BC40D7"/>
    <w:rsid w:val="00BC4F68"/>
    <w:rsid w:val="00BC66EB"/>
    <w:rsid w:val="00BC751E"/>
    <w:rsid w:val="00BD0295"/>
    <w:rsid w:val="00BD0BFF"/>
    <w:rsid w:val="00BD27C8"/>
    <w:rsid w:val="00BD2D7E"/>
    <w:rsid w:val="00BD310C"/>
    <w:rsid w:val="00BD3127"/>
    <w:rsid w:val="00BD3407"/>
    <w:rsid w:val="00BD3A23"/>
    <w:rsid w:val="00BD4FD3"/>
    <w:rsid w:val="00BE1360"/>
    <w:rsid w:val="00BE1F96"/>
    <w:rsid w:val="00BE1FE7"/>
    <w:rsid w:val="00BE32ED"/>
    <w:rsid w:val="00BE3691"/>
    <w:rsid w:val="00BE4978"/>
    <w:rsid w:val="00BE4A3A"/>
    <w:rsid w:val="00BE6E72"/>
    <w:rsid w:val="00BE76B9"/>
    <w:rsid w:val="00BF1376"/>
    <w:rsid w:val="00BF24DC"/>
    <w:rsid w:val="00BF2874"/>
    <w:rsid w:val="00BF2C5A"/>
    <w:rsid w:val="00BF41DA"/>
    <w:rsid w:val="00BF4FB5"/>
    <w:rsid w:val="00BF5A45"/>
    <w:rsid w:val="00BF5C40"/>
    <w:rsid w:val="00BF6E03"/>
    <w:rsid w:val="00C002A2"/>
    <w:rsid w:val="00C00451"/>
    <w:rsid w:val="00C00AA3"/>
    <w:rsid w:val="00C01E9C"/>
    <w:rsid w:val="00C0227B"/>
    <w:rsid w:val="00C024D8"/>
    <w:rsid w:val="00C0367A"/>
    <w:rsid w:val="00C06268"/>
    <w:rsid w:val="00C06BE6"/>
    <w:rsid w:val="00C079FF"/>
    <w:rsid w:val="00C10685"/>
    <w:rsid w:val="00C10926"/>
    <w:rsid w:val="00C114A2"/>
    <w:rsid w:val="00C120AC"/>
    <w:rsid w:val="00C15231"/>
    <w:rsid w:val="00C164AD"/>
    <w:rsid w:val="00C179EC"/>
    <w:rsid w:val="00C20E2E"/>
    <w:rsid w:val="00C22902"/>
    <w:rsid w:val="00C242E8"/>
    <w:rsid w:val="00C267A8"/>
    <w:rsid w:val="00C267AD"/>
    <w:rsid w:val="00C312FC"/>
    <w:rsid w:val="00C329D4"/>
    <w:rsid w:val="00C3313D"/>
    <w:rsid w:val="00C337EB"/>
    <w:rsid w:val="00C342C2"/>
    <w:rsid w:val="00C34680"/>
    <w:rsid w:val="00C34FE9"/>
    <w:rsid w:val="00C35D67"/>
    <w:rsid w:val="00C36551"/>
    <w:rsid w:val="00C405A7"/>
    <w:rsid w:val="00C41223"/>
    <w:rsid w:val="00C443D4"/>
    <w:rsid w:val="00C44C70"/>
    <w:rsid w:val="00C451DC"/>
    <w:rsid w:val="00C46966"/>
    <w:rsid w:val="00C479DB"/>
    <w:rsid w:val="00C5120F"/>
    <w:rsid w:val="00C52154"/>
    <w:rsid w:val="00C5361F"/>
    <w:rsid w:val="00C55A43"/>
    <w:rsid w:val="00C60E74"/>
    <w:rsid w:val="00C666E3"/>
    <w:rsid w:val="00C73BD5"/>
    <w:rsid w:val="00C74879"/>
    <w:rsid w:val="00C7566F"/>
    <w:rsid w:val="00C77CA7"/>
    <w:rsid w:val="00C77D41"/>
    <w:rsid w:val="00C8101F"/>
    <w:rsid w:val="00C81E26"/>
    <w:rsid w:val="00C82637"/>
    <w:rsid w:val="00C82765"/>
    <w:rsid w:val="00C8304B"/>
    <w:rsid w:val="00C83466"/>
    <w:rsid w:val="00C861CA"/>
    <w:rsid w:val="00C928F5"/>
    <w:rsid w:val="00C92F34"/>
    <w:rsid w:val="00C937F0"/>
    <w:rsid w:val="00C94905"/>
    <w:rsid w:val="00C94E5A"/>
    <w:rsid w:val="00CA13E6"/>
    <w:rsid w:val="00CA2396"/>
    <w:rsid w:val="00CA2560"/>
    <w:rsid w:val="00CA41FE"/>
    <w:rsid w:val="00CA47A3"/>
    <w:rsid w:val="00CA65F8"/>
    <w:rsid w:val="00CA6D82"/>
    <w:rsid w:val="00CB174C"/>
    <w:rsid w:val="00CB1D7B"/>
    <w:rsid w:val="00CB2D8D"/>
    <w:rsid w:val="00CB40E0"/>
    <w:rsid w:val="00CB5002"/>
    <w:rsid w:val="00CB5BC9"/>
    <w:rsid w:val="00CB60CC"/>
    <w:rsid w:val="00CB6149"/>
    <w:rsid w:val="00CB647B"/>
    <w:rsid w:val="00CC01C2"/>
    <w:rsid w:val="00CC13D2"/>
    <w:rsid w:val="00CC2A6E"/>
    <w:rsid w:val="00CC30EC"/>
    <w:rsid w:val="00CC32DD"/>
    <w:rsid w:val="00CC3D2F"/>
    <w:rsid w:val="00CC4287"/>
    <w:rsid w:val="00CC4451"/>
    <w:rsid w:val="00CC694F"/>
    <w:rsid w:val="00CC7F18"/>
    <w:rsid w:val="00CD012C"/>
    <w:rsid w:val="00CD15F0"/>
    <w:rsid w:val="00CD3C50"/>
    <w:rsid w:val="00CD4109"/>
    <w:rsid w:val="00CD5FFC"/>
    <w:rsid w:val="00CE276D"/>
    <w:rsid w:val="00CE323B"/>
    <w:rsid w:val="00CE606A"/>
    <w:rsid w:val="00CE6364"/>
    <w:rsid w:val="00CE6D88"/>
    <w:rsid w:val="00CE7CC4"/>
    <w:rsid w:val="00CF070D"/>
    <w:rsid w:val="00CF2FDE"/>
    <w:rsid w:val="00CF502F"/>
    <w:rsid w:val="00CF5676"/>
    <w:rsid w:val="00CF6DD7"/>
    <w:rsid w:val="00CF71EE"/>
    <w:rsid w:val="00CF7755"/>
    <w:rsid w:val="00CF7C44"/>
    <w:rsid w:val="00D00BB6"/>
    <w:rsid w:val="00D02099"/>
    <w:rsid w:val="00D076A4"/>
    <w:rsid w:val="00D10B32"/>
    <w:rsid w:val="00D121DA"/>
    <w:rsid w:val="00D1282F"/>
    <w:rsid w:val="00D12E7D"/>
    <w:rsid w:val="00D13508"/>
    <w:rsid w:val="00D13AC5"/>
    <w:rsid w:val="00D1474B"/>
    <w:rsid w:val="00D1595B"/>
    <w:rsid w:val="00D16D15"/>
    <w:rsid w:val="00D204A6"/>
    <w:rsid w:val="00D20847"/>
    <w:rsid w:val="00D20F45"/>
    <w:rsid w:val="00D2114E"/>
    <w:rsid w:val="00D219DF"/>
    <w:rsid w:val="00D21EC3"/>
    <w:rsid w:val="00D2395F"/>
    <w:rsid w:val="00D24A96"/>
    <w:rsid w:val="00D25D20"/>
    <w:rsid w:val="00D2621F"/>
    <w:rsid w:val="00D27602"/>
    <w:rsid w:val="00D27D3A"/>
    <w:rsid w:val="00D31995"/>
    <w:rsid w:val="00D31BFA"/>
    <w:rsid w:val="00D34969"/>
    <w:rsid w:val="00D35023"/>
    <w:rsid w:val="00D35600"/>
    <w:rsid w:val="00D362A4"/>
    <w:rsid w:val="00D37F98"/>
    <w:rsid w:val="00D41337"/>
    <w:rsid w:val="00D438F7"/>
    <w:rsid w:val="00D46506"/>
    <w:rsid w:val="00D47B40"/>
    <w:rsid w:val="00D51987"/>
    <w:rsid w:val="00D520A3"/>
    <w:rsid w:val="00D531CD"/>
    <w:rsid w:val="00D55C41"/>
    <w:rsid w:val="00D56ABD"/>
    <w:rsid w:val="00D56DFA"/>
    <w:rsid w:val="00D64D49"/>
    <w:rsid w:val="00D664D8"/>
    <w:rsid w:val="00D72C9C"/>
    <w:rsid w:val="00D748CF"/>
    <w:rsid w:val="00D74CE7"/>
    <w:rsid w:val="00D74DB0"/>
    <w:rsid w:val="00D7640E"/>
    <w:rsid w:val="00D766FD"/>
    <w:rsid w:val="00D76F14"/>
    <w:rsid w:val="00D81BE8"/>
    <w:rsid w:val="00D81FEA"/>
    <w:rsid w:val="00D82E9F"/>
    <w:rsid w:val="00D8566A"/>
    <w:rsid w:val="00D871F7"/>
    <w:rsid w:val="00D879AD"/>
    <w:rsid w:val="00D92CC1"/>
    <w:rsid w:val="00D9351F"/>
    <w:rsid w:val="00D94926"/>
    <w:rsid w:val="00D94A1E"/>
    <w:rsid w:val="00D954A3"/>
    <w:rsid w:val="00D95676"/>
    <w:rsid w:val="00D959DA"/>
    <w:rsid w:val="00D95DCA"/>
    <w:rsid w:val="00D95EFC"/>
    <w:rsid w:val="00D9632F"/>
    <w:rsid w:val="00DA31C9"/>
    <w:rsid w:val="00DA3242"/>
    <w:rsid w:val="00DA4514"/>
    <w:rsid w:val="00DA4D85"/>
    <w:rsid w:val="00DA5F3F"/>
    <w:rsid w:val="00DA614E"/>
    <w:rsid w:val="00DB301D"/>
    <w:rsid w:val="00DB3BE4"/>
    <w:rsid w:val="00DB3CF8"/>
    <w:rsid w:val="00DB4A78"/>
    <w:rsid w:val="00DB4AE5"/>
    <w:rsid w:val="00DB5BB7"/>
    <w:rsid w:val="00DB7853"/>
    <w:rsid w:val="00DB79AF"/>
    <w:rsid w:val="00DB7EC3"/>
    <w:rsid w:val="00DC0097"/>
    <w:rsid w:val="00DC0C3C"/>
    <w:rsid w:val="00DC18DD"/>
    <w:rsid w:val="00DC3796"/>
    <w:rsid w:val="00DC4479"/>
    <w:rsid w:val="00DC4B1A"/>
    <w:rsid w:val="00DC6BFE"/>
    <w:rsid w:val="00DC6EC1"/>
    <w:rsid w:val="00DC7D10"/>
    <w:rsid w:val="00DC7E74"/>
    <w:rsid w:val="00DD0660"/>
    <w:rsid w:val="00DD1A6D"/>
    <w:rsid w:val="00DD25A5"/>
    <w:rsid w:val="00DD34E8"/>
    <w:rsid w:val="00DD363B"/>
    <w:rsid w:val="00DD3AC3"/>
    <w:rsid w:val="00DD568D"/>
    <w:rsid w:val="00DD5B89"/>
    <w:rsid w:val="00DE0157"/>
    <w:rsid w:val="00DE08B6"/>
    <w:rsid w:val="00DE40EA"/>
    <w:rsid w:val="00DE4F7C"/>
    <w:rsid w:val="00DE521E"/>
    <w:rsid w:val="00DE7719"/>
    <w:rsid w:val="00DE7E91"/>
    <w:rsid w:val="00DF0E65"/>
    <w:rsid w:val="00DF1605"/>
    <w:rsid w:val="00DF2AB8"/>
    <w:rsid w:val="00DF33E6"/>
    <w:rsid w:val="00DF34B5"/>
    <w:rsid w:val="00DF3717"/>
    <w:rsid w:val="00DF4957"/>
    <w:rsid w:val="00DF4B20"/>
    <w:rsid w:val="00DF560A"/>
    <w:rsid w:val="00DF75D4"/>
    <w:rsid w:val="00E00308"/>
    <w:rsid w:val="00E008E1"/>
    <w:rsid w:val="00E01A48"/>
    <w:rsid w:val="00E04FF3"/>
    <w:rsid w:val="00E059BE"/>
    <w:rsid w:val="00E05D3F"/>
    <w:rsid w:val="00E062AD"/>
    <w:rsid w:val="00E0643C"/>
    <w:rsid w:val="00E1062A"/>
    <w:rsid w:val="00E12670"/>
    <w:rsid w:val="00E12CDB"/>
    <w:rsid w:val="00E13C85"/>
    <w:rsid w:val="00E140DB"/>
    <w:rsid w:val="00E151BA"/>
    <w:rsid w:val="00E15472"/>
    <w:rsid w:val="00E169DE"/>
    <w:rsid w:val="00E16F85"/>
    <w:rsid w:val="00E200E1"/>
    <w:rsid w:val="00E20DBE"/>
    <w:rsid w:val="00E21218"/>
    <w:rsid w:val="00E22360"/>
    <w:rsid w:val="00E22B9A"/>
    <w:rsid w:val="00E22E09"/>
    <w:rsid w:val="00E2406B"/>
    <w:rsid w:val="00E24640"/>
    <w:rsid w:val="00E24732"/>
    <w:rsid w:val="00E2473B"/>
    <w:rsid w:val="00E25A21"/>
    <w:rsid w:val="00E26B2F"/>
    <w:rsid w:val="00E302B0"/>
    <w:rsid w:val="00E309FF"/>
    <w:rsid w:val="00E31932"/>
    <w:rsid w:val="00E31C1B"/>
    <w:rsid w:val="00E3280F"/>
    <w:rsid w:val="00E33ADC"/>
    <w:rsid w:val="00E33F5C"/>
    <w:rsid w:val="00E34149"/>
    <w:rsid w:val="00E35675"/>
    <w:rsid w:val="00E36674"/>
    <w:rsid w:val="00E36939"/>
    <w:rsid w:val="00E36D28"/>
    <w:rsid w:val="00E401CD"/>
    <w:rsid w:val="00E41A40"/>
    <w:rsid w:val="00E42CDA"/>
    <w:rsid w:val="00E43062"/>
    <w:rsid w:val="00E43354"/>
    <w:rsid w:val="00E43A57"/>
    <w:rsid w:val="00E4548E"/>
    <w:rsid w:val="00E47B7D"/>
    <w:rsid w:val="00E51C8F"/>
    <w:rsid w:val="00E578ED"/>
    <w:rsid w:val="00E60608"/>
    <w:rsid w:val="00E60BC8"/>
    <w:rsid w:val="00E61E70"/>
    <w:rsid w:val="00E64659"/>
    <w:rsid w:val="00E64E60"/>
    <w:rsid w:val="00E65123"/>
    <w:rsid w:val="00E669C2"/>
    <w:rsid w:val="00E678B6"/>
    <w:rsid w:val="00E72662"/>
    <w:rsid w:val="00E7380A"/>
    <w:rsid w:val="00E74729"/>
    <w:rsid w:val="00E75929"/>
    <w:rsid w:val="00E76012"/>
    <w:rsid w:val="00E77AEC"/>
    <w:rsid w:val="00E77CC9"/>
    <w:rsid w:val="00E77DD3"/>
    <w:rsid w:val="00E80CAD"/>
    <w:rsid w:val="00E81E20"/>
    <w:rsid w:val="00E83907"/>
    <w:rsid w:val="00E843D2"/>
    <w:rsid w:val="00E86C77"/>
    <w:rsid w:val="00E870E0"/>
    <w:rsid w:val="00E87495"/>
    <w:rsid w:val="00E8764F"/>
    <w:rsid w:val="00E90D07"/>
    <w:rsid w:val="00E913CB"/>
    <w:rsid w:val="00E93B78"/>
    <w:rsid w:val="00E9435F"/>
    <w:rsid w:val="00E954BF"/>
    <w:rsid w:val="00E957BA"/>
    <w:rsid w:val="00E9606B"/>
    <w:rsid w:val="00E96121"/>
    <w:rsid w:val="00E96960"/>
    <w:rsid w:val="00EA0B13"/>
    <w:rsid w:val="00EA0B55"/>
    <w:rsid w:val="00EA0C8B"/>
    <w:rsid w:val="00EA1101"/>
    <w:rsid w:val="00EA12B6"/>
    <w:rsid w:val="00EA252F"/>
    <w:rsid w:val="00EA29A3"/>
    <w:rsid w:val="00EA2B62"/>
    <w:rsid w:val="00EA2B8A"/>
    <w:rsid w:val="00EA566E"/>
    <w:rsid w:val="00EA58BA"/>
    <w:rsid w:val="00EA5911"/>
    <w:rsid w:val="00EA74D6"/>
    <w:rsid w:val="00EA76F9"/>
    <w:rsid w:val="00EB106E"/>
    <w:rsid w:val="00EB1B58"/>
    <w:rsid w:val="00EB1DFD"/>
    <w:rsid w:val="00EB27B7"/>
    <w:rsid w:val="00EB2A4D"/>
    <w:rsid w:val="00EB2BFD"/>
    <w:rsid w:val="00EB3012"/>
    <w:rsid w:val="00EB46DD"/>
    <w:rsid w:val="00EB4A2A"/>
    <w:rsid w:val="00EB552C"/>
    <w:rsid w:val="00EB5A16"/>
    <w:rsid w:val="00EB5DC2"/>
    <w:rsid w:val="00EC0230"/>
    <w:rsid w:val="00EC0CD9"/>
    <w:rsid w:val="00EC0F17"/>
    <w:rsid w:val="00EC1519"/>
    <w:rsid w:val="00EC38EC"/>
    <w:rsid w:val="00EC3A70"/>
    <w:rsid w:val="00EC3ACF"/>
    <w:rsid w:val="00EC41BB"/>
    <w:rsid w:val="00EC4787"/>
    <w:rsid w:val="00EC6738"/>
    <w:rsid w:val="00EC6E75"/>
    <w:rsid w:val="00ED0D81"/>
    <w:rsid w:val="00ED1B91"/>
    <w:rsid w:val="00ED20F2"/>
    <w:rsid w:val="00ED2A25"/>
    <w:rsid w:val="00ED3B44"/>
    <w:rsid w:val="00ED4113"/>
    <w:rsid w:val="00ED4121"/>
    <w:rsid w:val="00ED4EC9"/>
    <w:rsid w:val="00ED7203"/>
    <w:rsid w:val="00EE0B25"/>
    <w:rsid w:val="00EE0F73"/>
    <w:rsid w:val="00EE1299"/>
    <w:rsid w:val="00EE1700"/>
    <w:rsid w:val="00EE227F"/>
    <w:rsid w:val="00EE2F7F"/>
    <w:rsid w:val="00EF0A4E"/>
    <w:rsid w:val="00EF2577"/>
    <w:rsid w:val="00EF272F"/>
    <w:rsid w:val="00EF303D"/>
    <w:rsid w:val="00EF3E4E"/>
    <w:rsid w:val="00EF475E"/>
    <w:rsid w:val="00F03538"/>
    <w:rsid w:val="00F06A78"/>
    <w:rsid w:val="00F1286B"/>
    <w:rsid w:val="00F13963"/>
    <w:rsid w:val="00F13999"/>
    <w:rsid w:val="00F13BAB"/>
    <w:rsid w:val="00F1403C"/>
    <w:rsid w:val="00F1558D"/>
    <w:rsid w:val="00F158D6"/>
    <w:rsid w:val="00F15A80"/>
    <w:rsid w:val="00F17916"/>
    <w:rsid w:val="00F223D5"/>
    <w:rsid w:val="00F22C9F"/>
    <w:rsid w:val="00F24D91"/>
    <w:rsid w:val="00F25338"/>
    <w:rsid w:val="00F25685"/>
    <w:rsid w:val="00F2568A"/>
    <w:rsid w:val="00F263AE"/>
    <w:rsid w:val="00F26E24"/>
    <w:rsid w:val="00F27352"/>
    <w:rsid w:val="00F27F44"/>
    <w:rsid w:val="00F30148"/>
    <w:rsid w:val="00F32EB2"/>
    <w:rsid w:val="00F33824"/>
    <w:rsid w:val="00F33A8C"/>
    <w:rsid w:val="00F347C9"/>
    <w:rsid w:val="00F34C94"/>
    <w:rsid w:val="00F35823"/>
    <w:rsid w:val="00F415E7"/>
    <w:rsid w:val="00F440CF"/>
    <w:rsid w:val="00F44562"/>
    <w:rsid w:val="00F45BAE"/>
    <w:rsid w:val="00F45DA5"/>
    <w:rsid w:val="00F4628E"/>
    <w:rsid w:val="00F464B4"/>
    <w:rsid w:val="00F47E8C"/>
    <w:rsid w:val="00F50E48"/>
    <w:rsid w:val="00F51D3B"/>
    <w:rsid w:val="00F524FE"/>
    <w:rsid w:val="00F5262B"/>
    <w:rsid w:val="00F528D3"/>
    <w:rsid w:val="00F52F1C"/>
    <w:rsid w:val="00F52F5B"/>
    <w:rsid w:val="00F57D27"/>
    <w:rsid w:val="00F57FDF"/>
    <w:rsid w:val="00F60271"/>
    <w:rsid w:val="00F60907"/>
    <w:rsid w:val="00F617B0"/>
    <w:rsid w:val="00F621BB"/>
    <w:rsid w:val="00F63BAD"/>
    <w:rsid w:val="00F647BA"/>
    <w:rsid w:val="00F64C0B"/>
    <w:rsid w:val="00F65136"/>
    <w:rsid w:val="00F665FE"/>
    <w:rsid w:val="00F66D91"/>
    <w:rsid w:val="00F67A52"/>
    <w:rsid w:val="00F67AC6"/>
    <w:rsid w:val="00F708B2"/>
    <w:rsid w:val="00F74CBB"/>
    <w:rsid w:val="00F75C2F"/>
    <w:rsid w:val="00F7649D"/>
    <w:rsid w:val="00F84435"/>
    <w:rsid w:val="00F848C5"/>
    <w:rsid w:val="00F84B55"/>
    <w:rsid w:val="00F85DBF"/>
    <w:rsid w:val="00F87F1A"/>
    <w:rsid w:val="00F90DB7"/>
    <w:rsid w:val="00F913BD"/>
    <w:rsid w:val="00F92336"/>
    <w:rsid w:val="00F927EF"/>
    <w:rsid w:val="00F93B57"/>
    <w:rsid w:val="00F94F04"/>
    <w:rsid w:val="00F9534F"/>
    <w:rsid w:val="00F95D6B"/>
    <w:rsid w:val="00F95FF6"/>
    <w:rsid w:val="00F97809"/>
    <w:rsid w:val="00F97BB0"/>
    <w:rsid w:val="00F97C50"/>
    <w:rsid w:val="00FA0E11"/>
    <w:rsid w:val="00FA20C5"/>
    <w:rsid w:val="00FA4754"/>
    <w:rsid w:val="00FA6503"/>
    <w:rsid w:val="00FA7884"/>
    <w:rsid w:val="00FB27EB"/>
    <w:rsid w:val="00FB7845"/>
    <w:rsid w:val="00FB7B1C"/>
    <w:rsid w:val="00FB7F4F"/>
    <w:rsid w:val="00FC0DF4"/>
    <w:rsid w:val="00FC16AD"/>
    <w:rsid w:val="00FC1F16"/>
    <w:rsid w:val="00FC217E"/>
    <w:rsid w:val="00FC6337"/>
    <w:rsid w:val="00FD08AE"/>
    <w:rsid w:val="00FD1EED"/>
    <w:rsid w:val="00FD209A"/>
    <w:rsid w:val="00FD2D65"/>
    <w:rsid w:val="00FD520D"/>
    <w:rsid w:val="00FD5FFF"/>
    <w:rsid w:val="00FD74C1"/>
    <w:rsid w:val="00FE13D9"/>
    <w:rsid w:val="00FE1AF1"/>
    <w:rsid w:val="00FE2BF6"/>
    <w:rsid w:val="00FE37A6"/>
    <w:rsid w:val="00FE4D41"/>
    <w:rsid w:val="00FE67A8"/>
    <w:rsid w:val="00FE792D"/>
    <w:rsid w:val="00FF32BC"/>
    <w:rsid w:val="00FF517F"/>
    <w:rsid w:val="27E84267"/>
    <w:rsid w:val="2BEF693D"/>
    <w:rsid w:val="34B01BFE"/>
    <w:rsid w:val="36794874"/>
    <w:rsid w:val="39AD1DAE"/>
    <w:rsid w:val="55945A22"/>
    <w:rsid w:val="56447083"/>
    <w:rsid w:val="63007B71"/>
    <w:rsid w:val="6B0D6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before="260" w:after="260" w:line="416" w:lineRule="auto"/>
      <w:outlineLvl w:val="1"/>
    </w:pPr>
    <w:rPr>
      <w:rFonts w:ascii="Arial" w:hAnsi="Arial" w:eastAsia="黑体"/>
      <w:b/>
      <w:sz w:val="32"/>
      <w:szCs w:val="20"/>
    </w:rPr>
  </w:style>
  <w:style w:type="character" w:default="1" w:styleId="27">
    <w:name w:val="Default Paragraph Font"/>
    <w:semiHidden/>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style>
  <w:style w:type="paragraph" w:styleId="5">
    <w:name w:val="toc 7"/>
    <w:basedOn w:val="1"/>
    <w:next w:val="1"/>
    <w:semiHidden/>
    <w:qFormat/>
    <w:uiPriority w:val="0"/>
    <w:pPr>
      <w:ind w:left="2520" w:leftChars="1200"/>
    </w:pPr>
  </w:style>
  <w:style w:type="paragraph" w:styleId="6">
    <w:name w:val="Document Map"/>
    <w:basedOn w:val="1"/>
    <w:semiHidden/>
    <w:qFormat/>
    <w:uiPriority w:val="0"/>
    <w:pPr>
      <w:shd w:val="clear" w:color="auto" w:fill="000080"/>
    </w:pPr>
  </w:style>
  <w:style w:type="paragraph" w:styleId="7">
    <w:name w:val="annotation text"/>
    <w:basedOn w:val="1"/>
    <w:link w:val="40"/>
    <w:qFormat/>
    <w:uiPriority w:val="0"/>
    <w:pPr>
      <w:jc w:val="left"/>
    </w:pPr>
  </w:style>
  <w:style w:type="paragraph" w:styleId="8">
    <w:name w:val="Body Text"/>
    <w:basedOn w:val="1"/>
    <w:qFormat/>
    <w:uiPriority w:val="0"/>
    <w:pPr>
      <w:spacing w:line="360" w:lineRule="auto"/>
    </w:pPr>
    <w:rPr>
      <w:rFonts w:ascii="仿宋_GB2312" w:eastAsia="仿宋_GB2312"/>
      <w:color w:val="000000"/>
      <w:kern w:val="0"/>
      <w:sz w:val="24"/>
      <w:szCs w:val="28"/>
    </w:rPr>
  </w:style>
  <w:style w:type="paragraph" w:styleId="9">
    <w:name w:val="Body Text Indent"/>
    <w:basedOn w:val="1"/>
    <w:qFormat/>
    <w:uiPriority w:val="0"/>
    <w:pPr>
      <w:adjustRightInd w:val="0"/>
      <w:snapToGrid w:val="0"/>
      <w:spacing w:line="560" w:lineRule="exact"/>
      <w:ind w:firstLine="480" w:firstLineChars="200"/>
    </w:pPr>
    <w:rPr>
      <w:rFonts w:eastAsia="方正仿宋简体"/>
      <w:sz w:val="24"/>
      <w:szCs w:val="30"/>
    </w:rPr>
  </w:style>
  <w:style w:type="paragraph" w:styleId="10">
    <w:name w:val="toc 5"/>
    <w:basedOn w:val="1"/>
    <w:next w:val="1"/>
    <w:semiHidden/>
    <w:qFormat/>
    <w:uiPriority w:val="0"/>
    <w:pPr>
      <w:ind w:left="1680" w:leftChars="800"/>
    </w:pPr>
  </w:style>
  <w:style w:type="paragraph" w:styleId="11">
    <w:name w:val="toc 3"/>
    <w:basedOn w:val="1"/>
    <w:next w:val="1"/>
    <w:semiHidden/>
    <w:qFormat/>
    <w:uiPriority w:val="0"/>
    <w:pPr>
      <w:ind w:left="840" w:leftChars="400"/>
    </w:pPr>
  </w:style>
  <w:style w:type="paragraph" w:styleId="12">
    <w:name w:val="toc 8"/>
    <w:basedOn w:val="1"/>
    <w:next w:val="1"/>
    <w:semiHidden/>
    <w:qFormat/>
    <w:uiPriority w:val="0"/>
    <w:pPr>
      <w:ind w:left="2940" w:leftChars="1400"/>
    </w:pPr>
  </w:style>
  <w:style w:type="paragraph" w:styleId="13">
    <w:name w:val="Body Text Indent 2"/>
    <w:basedOn w:val="1"/>
    <w:qFormat/>
    <w:uiPriority w:val="0"/>
    <w:pPr>
      <w:spacing w:line="360" w:lineRule="auto"/>
      <w:ind w:firstLine="525"/>
    </w:pPr>
    <w:rPr>
      <w:rFonts w:ascii="宋体" w:hAnsi="宋体"/>
      <w:sz w:val="28"/>
      <w:szCs w:val="20"/>
    </w:rPr>
  </w:style>
  <w:style w:type="paragraph" w:styleId="14">
    <w:name w:val="Balloon Text"/>
    <w:basedOn w:val="1"/>
    <w:semiHidden/>
    <w:qFormat/>
    <w:uiPriority w:val="0"/>
    <w:rPr>
      <w:sz w:val="18"/>
      <w:szCs w:val="18"/>
    </w:rPr>
  </w:style>
  <w:style w:type="paragraph" w:styleId="15">
    <w:name w:val="footer"/>
    <w:basedOn w:val="1"/>
    <w:link w:val="43"/>
    <w:qFormat/>
    <w:uiPriority w:val="99"/>
    <w:pPr>
      <w:tabs>
        <w:tab w:val="center" w:pos="4153"/>
        <w:tab w:val="right" w:pos="8306"/>
      </w:tabs>
      <w:snapToGrid w:val="0"/>
      <w:jc w:val="left"/>
    </w:pPr>
    <w:rPr>
      <w:sz w:val="18"/>
      <w:szCs w:val="18"/>
    </w:rPr>
  </w:style>
  <w:style w:type="paragraph" w:styleId="16">
    <w:name w:val="header"/>
    <w:basedOn w:val="1"/>
    <w:link w:val="44"/>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toc 4"/>
    <w:basedOn w:val="1"/>
    <w:next w:val="1"/>
    <w:semiHidden/>
    <w:qFormat/>
    <w:uiPriority w:val="0"/>
    <w:pPr>
      <w:ind w:left="1260" w:leftChars="600"/>
    </w:pPr>
  </w:style>
  <w:style w:type="paragraph" w:styleId="19">
    <w:name w:val="toc 6"/>
    <w:basedOn w:val="1"/>
    <w:next w:val="1"/>
    <w:semiHidden/>
    <w:qFormat/>
    <w:uiPriority w:val="0"/>
    <w:pPr>
      <w:ind w:left="2100" w:leftChars="1000"/>
    </w:pPr>
  </w:style>
  <w:style w:type="paragraph" w:styleId="20">
    <w:name w:val="Body Text Indent 3"/>
    <w:basedOn w:val="1"/>
    <w:qFormat/>
    <w:uiPriority w:val="0"/>
    <w:pPr>
      <w:adjustRightInd w:val="0"/>
      <w:snapToGrid w:val="0"/>
      <w:ind w:firstLine="480" w:firstLineChars="200"/>
    </w:pPr>
    <w:rPr>
      <w:rFonts w:ascii="仿宋_GB2312" w:hAnsi="宋体" w:eastAsia="仿宋_GB2312" w:cs="Arial"/>
      <w:color w:val="000000"/>
      <w:sz w:val="24"/>
    </w:rPr>
  </w:style>
  <w:style w:type="paragraph" w:styleId="21">
    <w:name w:val="toc 2"/>
    <w:basedOn w:val="1"/>
    <w:next w:val="1"/>
    <w:qFormat/>
    <w:uiPriority w:val="39"/>
    <w:pPr>
      <w:ind w:left="420" w:leftChars="200"/>
    </w:pPr>
  </w:style>
  <w:style w:type="paragraph" w:styleId="22">
    <w:name w:val="toc 9"/>
    <w:basedOn w:val="1"/>
    <w:next w:val="1"/>
    <w:semiHidden/>
    <w:qFormat/>
    <w:uiPriority w:val="0"/>
    <w:pPr>
      <w:ind w:left="3360" w:leftChars="1600"/>
    </w:pPr>
  </w:style>
  <w:style w:type="paragraph" w:styleId="23">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24">
    <w:name w:val="Title"/>
    <w:basedOn w:val="1"/>
    <w:link w:val="42"/>
    <w:qFormat/>
    <w:uiPriority w:val="0"/>
    <w:pPr>
      <w:spacing w:before="240" w:after="60"/>
      <w:jc w:val="center"/>
      <w:outlineLvl w:val="0"/>
    </w:pPr>
    <w:rPr>
      <w:rFonts w:ascii="Arial" w:hAnsi="Arial"/>
      <w:b/>
      <w:bCs/>
      <w:sz w:val="32"/>
      <w:szCs w:val="32"/>
    </w:rPr>
  </w:style>
  <w:style w:type="paragraph" w:styleId="25">
    <w:name w:val="annotation subject"/>
    <w:basedOn w:val="7"/>
    <w:next w:val="7"/>
    <w:semiHidden/>
    <w:qFormat/>
    <w:uiPriority w:val="0"/>
    <w:rPr>
      <w:b/>
      <w:bCs/>
    </w:rPr>
  </w:style>
  <w:style w:type="character" w:styleId="28">
    <w:name w:val="Strong"/>
    <w:qFormat/>
    <w:uiPriority w:val="22"/>
    <w:rPr>
      <w:b/>
      <w:bCs/>
    </w:rPr>
  </w:style>
  <w:style w:type="character" w:styleId="29">
    <w:name w:val="page number"/>
    <w:basedOn w:val="27"/>
    <w:qFormat/>
    <w:uiPriority w:val="0"/>
  </w:style>
  <w:style w:type="character" w:styleId="30">
    <w:name w:val="FollowedHyperlink"/>
    <w:qFormat/>
    <w:uiPriority w:val="0"/>
    <w:rPr>
      <w:color w:val="800080"/>
      <w:u w:val="single"/>
    </w:rPr>
  </w:style>
  <w:style w:type="character" w:styleId="31">
    <w:name w:val="Hyperlink"/>
    <w:qFormat/>
    <w:uiPriority w:val="99"/>
    <w:rPr>
      <w:color w:val="0000FF"/>
      <w:u w:val="single"/>
    </w:rPr>
  </w:style>
  <w:style w:type="character" w:styleId="32">
    <w:name w:val="annotation reference"/>
    <w:qFormat/>
    <w:uiPriority w:val="99"/>
    <w:rPr>
      <w:sz w:val="21"/>
      <w:szCs w:val="21"/>
    </w:rPr>
  </w:style>
  <w:style w:type="paragraph" w:customStyle="1" w:styleId="33">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szCs w:val="22"/>
    </w:rPr>
  </w:style>
  <w:style w:type="character" w:customStyle="1" w:styleId="34">
    <w:name w:val="read"/>
    <w:basedOn w:val="27"/>
    <w:qFormat/>
    <w:uiPriority w:val="0"/>
  </w:style>
  <w:style w:type="paragraph" w:customStyle="1" w:styleId="35">
    <w:name w:val="Char"/>
    <w:basedOn w:val="1"/>
    <w:qFormat/>
    <w:uiPriority w:val="0"/>
  </w:style>
  <w:style w:type="paragraph" w:customStyle="1" w:styleId="36">
    <w:name w:val="Char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37">
    <w:name w:val="Char2"/>
    <w:basedOn w:val="1"/>
    <w:qFormat/>
    <w:uiPriority w:val="0"/>
  </w:style>
  <w:style w:type="paragraph" w:customStyle="1" w:styleId="38">
    <w:name w:val="Char Char Char Char Char Char Char"/>
    <w:basedOn w:val="1"/>
    <w:qFormat/>
    <w:uiPriority w:val="0"/>
  </w:style>
  <w:style w:type="paragraph" w:customStyle="1" w:styleId="39">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40">
    <w:name w:val="批注文字 Char1"/>
    <w:link w:val="7"/>
    <w:qFormat/>
    <w:uiPriority w:val="0"/>
    <w:rPr>
      <w:kern w:val="2"/>
      <w:sz w:val="21"/>
      <w:szCs w:val="24"/>
    </w:rPr>
  </w:style>
  <w:style w:type="paragraph" w:customStyle="1" w:styleId="4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2">
    <w:name w:val="标题 Char1"/>
    <w:link w:val="24"/>
    <w:qFormat/>
    <w:uiPriority w:val="0"/>
    <w:rPr>
      <w:rFonts w:ascii="Arial" w:hAnsi="Arial" w:cs="Arial"/>
      <w:b/>
      <w:bCs/>
      <w:kern w:val="2"/>
      <w:sz w:val="32"/>
      <w:szCs w:val="32"/>
    </w:rPr>
  </w:style>
  <w:style w:type="character" w:customStyle="1" w:styleId="43">
    <w:name w:val="页脚 Char1"/>
    <w:link w:val="15"/>
    <w:qFormat/>
    <w:uiPriority w:val="99"/>
    <w:rPr>
      <w:kern w:val="2"/>
      <w:sz w:val="18"/>
      <w:szCs w:val="18"/>
    </w:rPr>
  </w:style>
  <w:style w:type="character" w:customStyle="1" w:styleId="44">
    <w:name w:val="页眉 Char1"/>
    <w:link w:val="16"/>
    <w:qFormat/>
    <w:uiPriority w:val="99"/>
    <w:rPr>
      <w:kern w:val="2"/>
      <w:sz w:val="18"/>
      <w:szCs w:val="18"/>
    </w:rPr>
  </w:style>
  <w:style w:type="character" w:customStyle="1" w:styleId="45">
    <w:name w:val="标题 1 Char1"/>
    <w:link w:val="2"/>
    <w:qFormat/>
    <w:uiPriority w:val="0"/>
    <w:rPr>
      <w:b/>
      <w:bCs/>
      <w:kern w:val="44"/>
      <w:sz w:val="44"/>
      <w:szCs w:val="44"/>
    </w:rPr>
  </w:style>
  <w:style w:type="paragraph" w:customStyle="1" w:styleId="46">
    <w:name w:val="Char3"/>
    <w:basedOn w:val="1"/>
    <w:qFormat/>
    <w:uiPriority w:val="0"/>
  </w:style>
  <w:style w:type="paragraph" w:customStyle="1" w:styleId="47">
    <w:name w:val="Char1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48">
    <w:name w:val="Char Char Char Char Char Char Char1"/>
    <w:basedOn w:val="1"/>
    <w:qFormat/>
    <w:uiPriority w:val="0"/>
  </w:style>
  <w:style w:type="paragraph" w:customStyle="1" w:styleId="49">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50">
    <w:name w:val="_Style 49"/>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1">
    <w:name w:val="批注文字 Char"/>
    <w:qFormat/>
    <w:uiPriority w:val="0"/>
    <w:rPr>
      <w:rFonts w:eastAsia="宋体"/>
      <w:kern w:val="2"/>
      <w:sz w:val="21"/>
      <w:szCs w:val="24"/>
      <w:lang w:val="en-US" w:eastAsia="zh-CN" w:bidi="ar-SA"/>
    </w:rPr>
  </w:style>
  <w:style w:type="character" w:customStyle="1" w:styleId="52">
    <w:name w:val="标题 Char"/>
    <w:qFormat/>
    <w:uiPriority w:val="0"/>
    <w:rPr>
      <w:rFonts w:ascii="Arial" w:hAnsi="Arial" w:cs="Arial"/>
      <w:b/>
      <w:bCs/>
      <w:kern w:val="2"/>
      <w:sz w:val="32"/>
      <w:szCs w:val="32"/>
    </w:rPr>
  </w:style>
  <w:style w:type="character" w:customStyle="1" w:styleId="53">
    <w:name w:val="页脚 Char"/>
    <w:qFormat/>
    <w:uiPriority w:val="99"/>
    <w:rPr>
      <w:kern w:val="2"/>
      <w:sz w:val="18"/>
      <w:szCs w:val="18"/>
    </w:rPr>
  </w:style>
  <w:style w:type="character" w:customStyle="1" w:styleId="54">
    <w:name w:val="页眉 Char"/>
    <w:qFormat/>
    <w:uiPriority w:val="99"/>
    <w:rPr>
      <w:kern w:val="2"/>
      <w:sz w:val="18"/>
      <w:szCs w:val="18"/>
    </w:rPr>
  </w:style>
  <w:style w:type="character" w:customStyle="1" w:styleId="55">
    <w:name w:val="标题 1 Char"/>
    <w:basedOn w:val="27"/>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customXml" Target="../customXml/item36.xml"/><Relationship Id="rId43" Type="http://schemas.openxmlformats.org/officeDocument/2006/relationships/customXml" Target="../customXml/item35.xml"/><Relationship Id="rId42" Type="http://schemas.openxmlformats.org/officeDocument/2006/relationships/customXml" Target="../customXml/item34.xml"/><Relationship Id="rId41" Type="http://schemas.openxmlformats.org/officeDocument/2006/relationships/customXml" Target="../customXml/item33.xml"/><Relationship Id="rId40" Type="http://schemas.openxmlformats.org/officeDocument/2006/relationships/customXml" Target="../customXml/item32.xml"/><Relationship Id="rId4" Type="http://schemas.openxmlformats.org/officeDocument/2006/relationships/header" Target="header2.xml"/><Relationship Id="rId39" Type="http://schemas.openxmlformats.org/officeDocument/2006/relationships/customXml" Target="../customXml/item31.xml"/><Relationship Id="rId38" Type="http://schemas.openxmlformats.org/officeDocument/2006/relationships/customXml" Target="../customXml/item30.xml"/><Relationship Id="rId37" Type="http://schemas.openxmlformats.org/officeDocument/2006/relationships/customXml" Target="../customXml/item29.xml"/><Relationship Id="rId36" Type="http://schemas.openxmlformats.org/officeDocument/2006/relationships/customXml" Target="../customXml/item28.xml"/><Relationship Id="rId35" Type="http://schemas.openxmlformats.org/officeDocument/2006/relationships/customXml" Target="../customXml/item27.xml"/><Relationship Id="rId34" Type="http://schemas.openxmlformats.org/officeDocument/2006/relationships/customXml" Target="../customXml/item26.xml"/><Relationship Id="rId33" Type="http://schemas.openxmlformats.org/officeDocument/2006/relationships/customXml" Target="../customXml/item25.xml"/><Relationship Id="rId32" Type="http://schemas.openxmlformats.org/officeDocument/2006/relationships/customXml" Target="../customXml/item24.xml"/><Relationship Id="rId31" Type="http://schemas.openxmlformats.org/officeDocument/2006/relationships/customXml" Target="../customXml/item23.xml"/><Relationship Id="rId30" Type="http://schemas.openxmlformats.org/officeDocument/2006/relationships/customXml" Target="../customXml/item22.xml"/><Relationship Id="rId3" Type="http://schemas.openxmlformats.org/officeDocument/2006/relationships/header" Target="header1.xml"/><Relationship Id="rId29" Type="http://schemas.openxmlformats.org/officeDocument/2006/relationships/customXml" Target="../customXml/item21.xml"/><Relationship Id="rId28" Type="http://schemas.openxmlformats.org/officeDocument/2006/relationships/customXml" Target="../customXml/item20.xml"/><Relationship Id="rId27" Type="http://schemas.openxmlformats.org/officeDocument/2006/relationships/customXml" Target="../customXml/item19.xml"/><Relationship Id="rId26" Type="http://schemas.openxmlformats.org/officeDocument/2006/relationships/customXml" Target="../customXml/item18.xml"/><Relationship Id="rId25" Type="http://schemas.openxmlformats.org/officeDocument/2006/relationships/customXml" Target="../customXml/item17.xml"/><Relationship Id="rId24" Type="http://schemas.openxmlformats.org/officeDocument/2006/relationships/customXml" Target="../customXml/item16.xml"/><Relationship Id="rId23" Type="http://schemas.openxmlformats.org/officeDocument/2006/relationships/customXml" Target="../customXml/item15.xml"/><Relationship Id="rId22" Type="http://schemas.openxmlformats.org/officeDocument/2006/relationships/customXml" Target="../customXml/item14.xml"/><Relationship Id="rId21" Type="http://schemas.openxmlformats.org/officeDocument/2006/relationships/customXml" Target="../customXml/item13.xml"/><Relationship Id="rId20" Type="http://schemas.openxmlformats.org/officeDocument/2006/relationships/customXml" Target="../customXml/item12.xml"/><Relationship Id="rId2" Type="http://schemas.openxmlformats.org/officeDocument/2006/relationships/settings" Target="settings.xml"/><Relationship Id="rId19" Type="http://schemas.openxmlformats.org/officeDocument/2006/relationships/customXml" Target="../customXml/item11.xml"/><Relationship Id="rId18" Type="http://schemas.openxmlformats.org/officeDocument/2006/relationships/customXml" Target="../customXml/item10.xml"/><Relationship Id="rId17" Type="http://schemas.openxmlformats.org/officeDocument/2006/relationships/customXml" Target="../customXml/item9.xml"/><Relationship Id="rId16" Type="http://schemas.openxmlformats.org/officeDocument/2006/relationships/customXml" Target="../customXml/item8.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2AEF7-39F2-483C-9A2D-C5688DDAC6C5}">
  <ds:schemaRefs/>
</ds:datastoreItem>
</file>

<file path=customXml/itemProps2.xml><?xml version="1.0" encoding="utf-8"?>
<ds:datastoreItem xmlns:ds="http://schemas.openxmlformats.org/officeDocument/2006/customXml" ds:itemID="{C6AE22F8-0069-4161-88AB-A64BE6AF7136}">
  <ds:schemaRefs/>
</ds:datastoreItem>
</file>

<file path=customXml/itemProps3.xml><?xml version="1.0" encoding="utf-8"?>
<ds:datastoreItem xmlns:ds="http://schemas.openxmlformats.org/officeDocument/2006/customXml" ds:itemID="{1F61CF0F-3F1A-4CFB-A54D-656FABB0D1E9}">
  <ds:schemaRefs/>
</ds:datastoreItem>
</file>

<file path=customXml/itemProps4.xml><?xml version="1.0" encoding="utf-8"?>
<ds:datastoreItem xmlns:ds="http://schemas.openxmlformats.org/officeDocument/2006/customXml" ds:itemID="{86ACA120-9D70-4A82-9527-55AD65C37B41}">
  <ds:schemaRefs/>
</ds:datastoreItem>
</file>

<file path=customXml/itemProps5.xml><?xml version="1.0" encoding="utf-8"?>
<ds:datastoreItem xmlns:ds="http://schemas.openxmlformats.org/officeDocument/2006/customXml" ds:itemID="{DB434A0A-161A-4CAC-B800-E9B672E29706}">
  <ds:schemaRefs/>
</ds:datastoreItem>
</file>

<file path=customXml/itemProps6.xml><?xml version="1.0" encoding="utf-8"?>
<ds:datastoreItem xmlns:ds="http://schemas.openxmlformats.org/officeDocument/2006/customXml" ds:itemID="{ED1F7752-6B2C-4750-8C0A-05374E69707A}">
  <ds:schemaRefs/>
</ds:datastoreItem>
</file>

<file path=customXml/itemProps7.xml><?xml version="1.0" encoding="utf-8"?>
<ds:datastoreItem xmlns:ds="http://schemas.openxmlformats.org/officeDocument/2006/customXml" ds:itemID="{AB41C617-2A45-47EB-9C52-A548E8940691}">
  <ds:schemaRefs/>
</ds:datastoreItem>
</file>

<file path=customXml/itemProps8.xml><?xml version="1.0" encoding="utf-8"?>
<ds:datastoreItem xmlns:ds="http://schemas.openxmlformats.org/officeDocument/2006/customXml" ds:itemID="{817BAC5E-0E1B-44E7-9C7A-333180A0697C}">
  <ds:schemaRefs/>
</ds:datastoreItem>
</file>

<file path=customXml/itemProps9.xml><?xml version="1.0" encoding="utf-8"?>
<ds:datastoreItem xmlns:ds="http://schemas.openxmlformats.org/officeDocument/2006/customXml" ds:itemID="{C8B162DD-10B4-4B72-B1FB-6EA756B37CAA}">
  <ds:schemaRefs/>
</ds:datastoreItem>
</file>

<file path=customXml/itemProps10.xml><?xml version="1.0" encoding="utf-8"?>
<ds:datastoreItem xmlns:ds="http://schemas.openxmlformats.org/officeDocument/2006/customXml" ds:itemID="{238FDADC-594C-49A1-BDFA-3EEACDB3B19A}">
  <ds:schemaRefs/>
</ds:datastoreItem>
</file>

<file path=customXml/itemProps11.xml><?xml version="1.0" encoding="utf-8"?>
<ds:datastoreItem xmlns:ds="http://schemas.openxmlformats.org/officeDocument/2006/customXml" ds:itemID="{E351D1A4-0981-4A35-B5DB-7A761BD4402E}">
  <ds:schemaRefs/>
</ds:datastoreItem>
</file>

<file path=customXml/itemProps12.xml><?xml version="1.0" encoding="utf-8"?>
<ds:datastoreItem xmlns:ds="http://schemas.openxmlformats.org/officeDocument/2006/customXml" ds:itemID="{2386ADDE-C852-47B6-B8D1-DAC6F84095D9}">
  <ds:schemaRefs/>
</ds:datastoreItem>
</file>

<file path=customXml/itemProps13.xml><?xml version="1.0" encoding="utf-8"?>
<ds:datastoreItem xmlns:ds="http://schemas.openxmlformats.org/officeDocument/2006/customXml" ds:itemID="{090FC72C-1701-4D5B-AF01-59D6C89CD40D}">
  <ds:schemaRefs/>
</ds:datastoreItem>
</file>

<file path=customXml/itemProps14.xml><?xml version="1.0" encoding="utf-8"?>
<ds:datastoreItem xmlns:ds="http://schemas.openxmlformats.org/officeDocument/2006/customXml" ds:itemID="{E5AA5825-E9F7-4449-9E9A-D11B65323A10}">
  <ds:schemaRefs/>
</ds:datastoreItem>
</file>

<file path=customXml/itemProps15.xml><?xml version="1.0" encoding="utf-8"?>
<ds:datastoreItem xmlns:ds="http://schemas.openxmlformats.org/officeDocument/2006/customXml" ds:itemID="{1A57EDD2-F38C-405B-88E0-017A481522E7}">
  <ds:schemaRefs/>
</ds:datastoreItem>
</file>

<file path=customXml/itemProps16.xml><?xml version="1.0" encoding="utf-8"?>
<ds:datastoreItem xmlns:ds="http://schemas.openxmlformats.org/officeDocument/2006/customXml" ds:itemID="{5E06433C-C75E-4AB8-B408-4DD43A2378F2}">
  <ds:schemaRefs/>
</ds:datastoreItem>
</file>

<file path=customXml/itemProps17.xml><?xml version="1.0" encoding="utf-8"?>
<ds:datastoreItem xmlns:ds="http://schemas.openxmlformats.org/officeDocument/2006/customXml" ds:itemID="{DB98B7AC-5B3F-46D5-AF89-24FC1E8EEEEA}">
  <ds:schemaRefs/>
</ds:datastoreItem>
</file>

<file path=customXml/itemProps18.xml><?xml version="1.0" encoding="utf-8"?>
<ds:datastoreItem xmlns:ds="http://schemas.openxmlformats.org/officeDocument/2006/customXml" ds:itemID="{FB10AF98-D9F9-4634-9E87-80EDE35D4528}">
  <ds:schemaRefs/>
</ds:datastoreItem>
</file>

<file path=customXml/itemProps19.xml><?xml version="1.0" encoding="utf-8"?>
<ds:datastoreItem xmlns:ds="http://schemas.openxmlformats.org/officeDocument/2006/customXml" ds:itemID="{565767DD-6A4E-4C23-9BB0-B25CD371D33E}">
  <ds:schemaRefs/>
</ds:datastoreItem>
</file>

<file path=customXml/itemProps20.xml><?xml version="1.0" encoding="utf-8"?>
<ds:datastoreItem xmlns:ds="http://schemas.openxmlformats.org/officeDocument/2006/customXml" ds:itemID="{9AE5D645-87E7-410D-995B-CC06AF4C484F}">
  <ds:schemaRefs/>
</ds:datastoreItem>
</file>

<file path=customXml/itemProps21.xml><?xml version="1.0" encoding="utf-8"?>
<ds:datastoreItem xmlns:ds="http://schemas.openxmlformats.org/officeDocument/2006/customXml" ds:itemID="{C74110F4-58DD-4234-82F5-10C8B23B80DA}">
  <ds:schemaRefs/>
</ds:datastoreItem>
</file>

<file path=customXml/itemProps22.xml><?xml version="1.0" encoding="utf-8"?>
<ds:datastoreItem xmlns:ds="http://schemas.openxmlformats.org/officeDocument/2006/customXml" ds:itemID="{0F3932B4-45D7-44B7-A880-348D80EFA007}">
  <ds:schemaRefs/>
</ds:datastoreItem>
</file>

<file path=customXml/itemProps23.xml><?xml version="1.0" encoding="utf-8"?>
<ds:datastoreItem xmlns:ds="http://schemas.openxmlformats.org/officeDocument/2006/customXml" ds:itemID="{28CFB15E-CACB-4F60-B638-CB24D273B8A5}">
  <ds:schemaRefs/>
</ds:datastoreItem>
</file>

<file path=customXml/itemProps24.xml><?xml version="1.0" encoding="utf-8"?>
<ds:datastoreItem xmlns:ds="http://schemas.openxmlformats.org/officeDocument/2006/customXml" ds:itemID="{07779D14-4F8C-4F66-AB50-E304A5D30AA0}">
  <ds:schemaRefs/>
</ds:datastoreItem>
</file>

<file path=customXml/itemProps25.xml><?xml version="1.0" encoding="utf-8"?>
<ds:datastoreItem xmlns:ds="http://schemas.openxmlformats.org/officeDocument/2006/customXml" ds:itemID="{46B3A2C0-2E55-42B5-98C2-F83CFD39699B}">
  <ds:schemaRefs/>
</ds:datastoreItem>
</file>

<file path=customXml/itemProps26.xml><?xml version="1.0" encoding="utf-8"?>
<ds:datastoreItem xmlns:ds="http://schemas.openxmlformats.org/officeDocument/2006/customXml" ds:itemID="{857EC992-459C-4EEE-9313-33A4E5BD9587}">
  <ds:schemaRefs/>
</ds:datastoreItem>
</file>

<file path=customXml/itemProps27.xml><?xml version="1.0" encoding="utf-8"?>
<ds:datastoreItem xmlns:ds="http://schemas.openxmlformats.org/officeDocument/2006/customXml" ds:itemID="{CA3BB0B1-237D-484D-848B-50545336FCC8}">
  <ds:schemaRefs/>
</ds:datastoreItem>
</file>

<file path=customXml/itemProps28.xml><?xml version="1.0" encoding="utf-8"?>
<ds:datastoreItem xmlns:ds="http://schemas.openxmlformats.org/officeDocument/2006/customXml" ds:itemID="{A062E61D-2E92-40DB-B608-12461C5DC53C}">
  <ds:schemaRefs/>
</ds:datastoreItem>
</file>

<file path=customXml/itemProps29.xml><?xml version="1.0" encoding="utf-8"?>
<ds:datastoreItem xmlns:ds="http://schemas.openxmlformats.org/officeDocument/2006/customXml" ds:itemID="{5F9C0404-0D93-41D2-BA66-89FF3F2A4075}">
  <ds:schemaRefs/>
</ds:datastoreItem>
</file>

<file path=customXml/itemProps30.xml><?xml version="1.0" encoding="utf-8"?>
<ds:datastoreItem xmlns:ds="http://schemas.openxmlformats.org/officeDocument/2006/customXml" ds:itemID="{E16B262A-07DE-4934-977B-68BAF06241D4}">
  <ds:schemaRefs/>
</ds:datastoreItem>
</file>

<file path=customXml/itemProps31.xml><?xml version="1.0" encoding="utf-8"?>
<ds:datastoreItem xmlns:ds="http://schemas.openxmlformats.org/officeDocument/2006/customXml" ds:itemID="{E92142C7-2A82-4CE7-9513-B9D75F6135B8}">
  <ds:schemaRefs/>
</ds:datastoreItem>
</file>

<file path=customXml/itemProps32.xml><?xml version="1.0" encoding="utf-8"?>
<ds:datastoreItem xmlns:ds="http://schemas.openxmlformats.org/officeDocument/2006/customXml" ds:itemID="{D34C7CBB-DFAF-44CF-9784-A741EFDBBC6D}">
  <ds:schemaRefs/>
</ds:datastoreItem>
</file>

<file path=customXml/itemProps33.xml><?xml version="1.0" encoding="utf-8"?>
<ds:datastoreItem xmlns:ds="http://schemas.openxmlformats.org/officeDocument/2006/customXml" ds:itemID="{0964907B-EBA7-40A1-B095-004AFC6F0CCD}">
  <ds:schemaRefs/>
</ds:datastoreItem>
</file>

<file path=customXml/itemProps34.xml><?xml version="1.0" encoding="utf-8"?>
<ds:datastoreItem xmlns:ds="http://schemas.openxmlformats.org/officeDocument/2006/customXml" ds:itemID="{E5C81D25-8508-4AA7-88DA-92E5591BE66B}">
  <ds:schemaRefs/>
</ds:datastoreItem>
</file>

<file path=customXml/itemProps35.xml><?xml version="1.0" encoding="utf-8"?>
<ds:datastoreItem xmlns:ds="http://schemas.openxmlformats.org/officeDocument/2006/customXml" ds:itemID="{09157004-379A-4D7E-BA8D-082D9E7D5C60}">
  <ds:schemaRefs/>
</ds:datastoreItem>
</file>

<file path=customXml/itemProps36.xml><?xml version="1.0" encoding="utf-8"?>
<ds:datastoreItem xmlns:ds="http://schemas.openxmlformats.org/officeDocument/2006/customXml" ds:itemID="{DA93E27B-9CC2-4854-8820-B5D8DE430FBE}">
  <ds:schemaRefs/>
</ds:datastoreItem>
</file>

<file path=docProps/app.xml><?xml version="1.0" encoding="utf-8"?>
<Properties xmlns="http://schemas.openxmlformats.org/officeDocument/2006/extended-properties" xmlns:vt="http://schemas.openxmlformats.org/officeDocument/2006/docPropsVTypes">
  <Template>Normal</Template>
  <Pages>50</Pages>
  <Words>4678</Words>
  <Characters>26668</Characters>
  <Lines>222</Lines>
  <Paragraphs>62</Paragraphs>
  <TotalTime>0</TotalTime>
  <ScaleCrop>false</ScaleCrop>
  <LinksUpToDate>false</LinksUpToDate>
  <CharactersWithSpaces>31284</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2020-01-09T08:52:00Z</dcterms:created>
  <dc:creator>资产托管部</dc:creator>
  <cp:lastModifiedBy>刘晨晨</cp:lastModifiedBy>
  <cp:lastPrinted>2018-10-08T11:53:00Z</cp:lastPrinted>
  <dcterms:modified xsi:type="dcterms:W3CDTF">2026-09-23T02:49:35Z</dcterms:modified>
  <dc:title>托管协议</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contractId">
    <vt:lpwstr>bf33995ec32f49b59e849d889ec629bc</vt:lpwstr>
  </property>
  <property fmtid="{D5CDD505-2E9C-101B-9397-08002B2CF9AE}" pid="4" name="verificationId">
    <vt:lpwstr>b0a0921ea07eead6</vt:lpwstr>
  </property>
  <property fmtid="{D5CDD505-2E9C-101B-9397-08002B2CF9AE}" pid="5" name="ICV">
    <vt:lpwstr>8BC9DA87811C473994EEB74F885FE7D7_12</vt:lpwstr>
  </property>
</Properties>
</file>