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D1D40">
      <w:pPr>
        <w:jc w:val="center"/>
        <w:rPr>
          <w:rFonts w:ascii="Times New Roman" w:hAnsi="Times New Roman" w:eastAsia="宋体" w:cs="Times New Roman"/>
          <w:b/>
          <w:sz w:val="30"/>
          <w:szCs w:val="30"/>
        </w:rPr>
      </w:pPr>
      <w:bookmarkStart w:id="1" w:name="_GoBack"/>
      <w:bookmarkEnd w:id="1"/>
      <w:r>
        <w:rPr>
          <w:rFonts w:hint="eastAsia" w:ascii="Times New Roman" w:hAnsi="Times New Roman" w:eastAsia="宋体" w:cs="Times New Roman"/>
          <w:b/>
          <w:sz w:val="30"/>
          <w:szCs w:val="30"/>
        </w:rPr>
        <w:t>交银施罗德基金管理有限公司关于</w:t>
      </w:r>
      <w:r>
        <w:rPr>
          <w:rFonts w:hint="eastAsia" w:ascii="Times New Roman" w:hAnsi="Times New Roman" w:eastAsia="宋体" w:cs="Times New Roman"/>
          <w:b/>
          <w:sz w:val="30"/>
          <w:szCs w:val="30"/>
          <w:lang w:eastAsia="zh-CN"/>
        </w:rPr>
        <w:t>交银施罗德招享一年持有期混合型基金中基金（FOF）</w:t>
      </w:r>
      <w:r>
        <w:rPr>
          <w:rFonts w:hint="eastAsia" w:ascii="Times New Roman" w:hAnsi="Times New Roman" w:eastAsia="宋体" w:cs="Times New Roman"/>
          <w:b/>
          <w:sz w:val="30"/>
          <w:szCs w:val="30"/>
        </w:rPr>
        <w:t>增加</w:t>
      </w:r>
      <w:r>
        <w:rPr>
          <w:rFonts w:ascii="Times New Roman" w:hAnsi="Times New Roman" w:eastAsia="宋体" w:cs="Times New Roman"/>
          <w:b/>
          <w:sz w:val="30"/>
          <w:szCs w:val="30"/>
        </w:rPr>
        <w:t>Y</w:t>
      </w:r>
      <w:r>
        <w:rPr>
          <w:rFonts w:hint="eastAsia" w:ascii="Times New Roman" w:hAnsi="Times New Roman" w:eastAsia="宋体" w:cs="Times New Roman"/>
          <w:b/>
          <w:sz w:val="30"/>
          <w:szCs w:val="30"/>
        </w:rPr>
        <w:t>类基金份额并修改基金合同和托管协议的公告</w:t>
      </w:r>
    </w:p>
    <w:p w14:paraId="4867E6E8">
      <w:pPr>
        <w:rPr>
          <w:rFonts w:ascii="Times New Roman" w:hAnsi="Times New Roman" w:eastAsia="宋体" w:cs="Times New Roman"/>
          <w:b/>
          <w:sz w:val="30"/>
          <w:szCs w:val="30"/>
        </w:rPr>
      </w:pPr>
    </w:p>
    <w:p w14:paraId="55123722">
      <w:pPr>
        <w:adjustRightInd w:val="0"/>
        <w:snapToGrid w:val="0"/>
        <w:spacing w:line="360" w:lineRule="auto"/>
        <w:ind w:firstLine="480" w:firstLineChars="200"/>
        <w:rPr>
          <w:rFonts w:ascii="Times New Roman" w:hAnsi="Times New Roman" w:eastAsia="宋体" w:cs="Times New Roman"/>
          <w:bCs/>
          <w:sz w:val="24"/>
          <w:szCs w:val="20"/>
        </w:rPr>
      </w:pPr>
      <w:r>
        <w:rPr>
          <w:rFonts w:hint="eastAsia" w:ascii="Times New Roman" w:hAnsi="Times New Roman" w:eastAsia="宋体" w:cs="Times New Roman"/>
          <w:bCs/>
          <w:sz w:val="24"/>
          <w:szCs w:val="20"/>
        </w:rPr>
        <w:t>为更好地满足广大投资者的需求，交银施罗德基金管理有限公司（以下简称</w:t>
      </w:r>
      <w:r>
        <w:rPr>
          <w:rFonts w:cs="Times New Roman" w:asciiTheme="minorEastAsia" w:hAnsiTheme="minorEastAsia"/>
          <w:bCs/>
          <w:sz w:val="24"/>
          <w:szCs w:val="20"/>
        </w:rPr>
        <w:t>“</w:t>
      </w:r>
      <w:r>
        <w:rPr>
          <w:rFonts w:hint="eastAsia" w:cs="Times New Roman" w:asciiTheme="minorEastAsia" w:hAnsiTheme="minorEastAsia"/>
          <w:bCs/>
          <w:sz w:val="24"/>
          <w:szCs w:val="20"/>
        </w:rPr>
        <w:t>本公司</w:t>
      </w:r>
      <w:r>
        <w:rPr>
          <w:rFonts w:cs="Times New Roman" w:asciiTheme="minorEastAsia" w:hAnsiTheme="minorEastAsia"/>
          <w:bCs/>
          <w:sz w:val="24"/>
          <w:szCs w:val="20"/>
        </w:rPr>
        <w:t>”</w:t>
      </w:r>
      <w:r>
        <w:rPr>
          <w:rFonts w:hint="eastAsia" w:cs="Times New Roman" w:asciiTheme="minorEastAsia" w:hAnsiTheme="minorEastAsia"/>
          <w:bCs/>
          <w:sz w:val="24"/>
          <w:szCs w:val="20"/>
        </w:rPr>
        <w:t>或“基金管理人”）根据《中华人民共和国证券投资基金法》、《公开募集</w:t>
      </w:r>
      <w:r>
        <w:rPr>
          <w:rFonts w:hint="eastAsia" w:ascii="Times New Roman" w:hAnsi="Times New Roman" w:eastAsia="宋体" w:cs="Times New Roman"/>
          <w:bCs/>
          <w:sz w:val="24"/>
          <w:szCs w:val="20"/>
        </w:rPr>
        <w:t>证券投资基金运作管理办法》</w:t>
      </w:r>
      <w:r>
        <w:rPr>
          <w:rFonts w:hint="eastAsia" w:ascii="Times New Roman" w:hAnsi="Times New Roman" w:eastAsia="宋体" w:cs="Times New Roman"/>
          <w:bCs/>
          <w:sz w:val="24"/>
          <w:szCs w:val="20"/>
          <w:lang w:eastAsia="zh-CN"/>
        </w:rPr>
        <w:t>、</w:t>
      </w:r>
      <w:r>
        <w:rPr>
          <w:rFonts w:hint="eastAsia" w:ascii="Times New Roman" w:hAnsi="Times New Roman" w:eastAsia="宋体" w:cs="Times New Roman"/>
          <w:bCs/>
          <w:sz w:val="24"/>
          <w:szCs w:val="20"/>
        </w:rPr>
        <w:t>《个人养老金投资公开募集证券投资基金业务管理暂行规定》和《</w:t>
      </w:r>
      <w:r>
        <w:rPr>
          <w:rFonts w:hint="eastAsia" w:ascii="Times New Roman" w:hAnsi="Times New Roman" w:eastAsia="宋体" w:cs="Times New Roman"/>
          <w:bCs/>
          <w:sz w:val="24"/>
          <w:szCs w:val="20"/>
          <w:lang w:eastAsia="zh-CN"/>
        </w:rPr>
        <w:t>交银施罗德招享一年持有期混合型基金中基金（FOF）</w:t>
      </w:r>
      <w:r>
        <w:rPr>
          <w:rFonts w:hint="eastAsia" w:ascii="Times New Roman" w:hAnsi="Times New Roman" w:eastAsia="宋体" w:cs="Times New Roman"/>
          <w:bCs/>
          <w:sz w:val="24"/>
          <w:szCs w:val="20"/>
        </w:rPr>
        <w:t>基金合同》（以下简称</w:t>
      </w:r>
      <w:r>
        <w:rPr>
          <w:rFonts w:cs="Times New Roman" w:asciiTheme="minorEastAsia" w:hAnsiTheme="minorEastAsia"/>
          <w:bCs/>
          <w:sz w:val="24"/>
          <w:szCs w:val="20"/>
        </w:rPr>
        <w:t>“</w:t>
      </w:r>
      <w:r>
        <w:rPr>
          <w:rFonts w:hint="eastAsia" w:cs="Times New Roman" w:asciiTheme="minorEastAsia" w:hAnsiTheme="minorEastAsia"/>
          <w:bCs/>
          <w:sz w:val="24"/>
          <w:szCs w:val="20"/>
        </w:rPr>
        <w:t>基金合同</w:t>
      </w:r>
      <w:r>
        <w:rPr>
          <w:rFonts w:cs="Times New Roman" w:asciiTheme="minorEastAsia" w:hAnsiTheme="minorEastAsia"/>
          <w:bCs/>
          <w:sz w:val="24"/>
          <w:szCs w:val="20"/>
        </w:rPr>
        <w:t>”</w:t>
      </w:r>
      <w:r>
        <w:rPr>
          <w:rFonts w:hint="eastAsia" w:ascii="Times New Roman" w:hAnsi="Times New Roman" w:eastAsia="宋体"/>
          <w:bCs/>
          <w:sz w:val="24"/>
          <w:szCs w:val="20"/>
        </w:rPr>
        <w:t>或“</w:t>
      </w:r>
      <w:r>
        <w:rPr>
          <w:rFonts w:ascii="Times New Roman" w:hAnsi="Times New Roman" w:eastAsia="宋体"/>
          <w:bCs/>
          <w:sz w:val="24"/>
          <w:szCs w:val="20"/>
        </w:rPr>
        <w:t>《</w:t>
      </w:r>
      <w:r>
        <w:rPr>
          <w:rFonts w:hint="eastAsia" w:ascii="Times New Roman" w:hAnsi="Times New Roman" w:eastAsia="宋体"/>
          <w:bCs/>
          <w:sz w:val="24"/>
          <w:szCs w:val="20"/>
        </w:rPr>
        <w:t>基金</w:t>
      </w:r>
      <w:r>
        <w:rPr>
          <w:rFonts w:ascii="Times New Roman" w:hAnsi="Times New Roman" w:eastAsia="宋体"/>
          <w:bCs/>
          <w:sz w:val="24"/>
          <w:szCs w:val="20"/>
        </w:rPr>
        <w:t>合同》</w:t>
      </w:r>
      <w:r>
        <w:rPr>
          <w:rFonts w:hint="eastAsia" w:ascii="Times New Roman" w:hAnsi="Times New Roman" w:eastAsia="宋体"/>
          <w:bCs/>
          <w:sz w:val="24"/>
          <w:szCs w:val="20"/>
        </w:rPr>
        <w:t>”</w:t>
      </w:r>
      <w:r>
        <w:rPr>
          <w:rFonts w:hint="eastAsia" w:ascii="Times New Roman" w:hAnsi="Times New Roman" w:eastAsia="宋体" w:cs="Times New Roman"/>
          <w:bCs/>
          <w:sz w:val="24"/>
          <w:szCs w:val="20"/>
        </w:rPr>
        <w:t>）的有关规定，经与基金托管人招商银行股份有限公司（以下简称</w:t>
      </w:r>
      <w:r>
        <w:rPr>
          <w:rFonts w:cs="Times New Roman" w:asciiTheme="minorEastAsia" w:hAnsiTheme="minorEastAsia"/>
          <w:bCs/>
          <w:sz w:val="24"/>
          <w:szCs w:val="20"/>
        </w:rPr>
        <w:t>“</w:t>
      </w:r>
      <w:r>
        <w:rPr>
          <w:rFonts w:hint="eastAsia" w:cs="Times New Roman" w:asciiTheme="minorEastAsia" w:hAnsiTheme="minorEastAsia"/>
          <w:bCs/>
          <w:sz w:val="24"/>
          <w:szCs w:val="20"/>
        </w:rPr>
        <w:t>招商银行</w:t>
      </w:r>
      <w:r>
        <w:rPr>
          <w:rFonts w:cs="Times New Roman" w:asciiTheme="minorEastAsia" w:hAnsiTheme="minorEastAsia"/>
          <w:bCs/>
          <w:sz w:val="24"/>
          <w:szCs w:val="20"/>
        </w:rPr>
        <w:t>”</w:t>
      </w:r>
      <w:r>
        <w:rPr>
          <w:rFonts w:hint="eastAsia" w:ascii="Times New Roman" w:hAnsi="Times New Roman" w:eastAsia="宋体" w:cs="Times New Roman"/>
          <w:bCs/>
          <w:sz w:val="24"/>
          <w:szCs w:val="20"/>
        </w:rPr>
        <w:t>）协商一致</w:t>
      </w:r>
      <w:r>
        <w:rPr>
          <w:rFonts w:hint="eastAsia" w:ascii="Times New Roman" w:hAnsi="Times New Roman" w:eastAsia="宋体"/>
          <w:color w:val="000000"/>
          <w:sz w:val="24"/>
          <w:szCs w:val="24"/>
        </w:rPr>
        <w:t>并报中国证券监督管理委员会备案</w:t>
      </w:r>
      <w:r>
        <w:rPr>
          <w:rFonts w:hint="eastAsia" w:ascii="Times New Roman" w:hAnsi="Times New Roman" w:eastAsia="宋体" w:cs="Times New Roman"/>
          <w:bCs/>
          <w:sz w:val="24"/>
          <w:szCs w:val="20"/>
        </w:rPr>
        <w:t>，决定自202</w:t>
      </w:r>
      <w:r>
        <w:rPr>
          <w:rFonts w:hint="eastAsia" w:ascii="Times New Roman" w:hAnsi="Times New Roman" w:eastAsia="宋体" w:cs="Times New Roman"/>
          <w:bCs/>
          <w:sz w:val="24"/>
          <w:szCs w:val="20"/>
          <w:lang w:val="en-US" w:eastAsia="zh-CN"/>
        </w:rPr>
        <w:t>6</w:t>
      </w:r>
      <w:r>
        <w:rPr>
          <w:rFonts w:hint="eastAsia" w:ascii="Times New Roman" w:hAnsi="Times New Roman" w:eastAsia="宋体" w:cs="Times New Roman"/>
          <w:bCs/>
          <w:sz w:val="24"/>
          <w:szCs w:val="20"/>
        </w:rPr>
        <w:t>年</w:t>
      </w:r>
      <w:r>
        <w:rPr>
          <w:rFonts w:hint="eastAsia" w:ascii="Times New Roman" w:hAnsi="Times New Roman" w:eastAsia="宋体" w:cs="Times New Roman"/>
          <w:bCs/>
          <w:sz w:val="24"/>
          <w:szCs w:val="20"/>
          <w:lang w:val="en-US" w:eastAsia="zh-CN"/>
        </w:rPr>
        <w:t>9</w:t>
      </w:r>
      <w:r>
        <w:rPr>
          <w:rFonts w:hint="eastAsia" w:ascii="Times New Roman" w:hAnsi="Times New Roman" w:eastAsia="宋体" w:cs="Times New Roman"/>
          <w:bCs/>
          <w:sz w:val="24"/>
          <w:szCs w:val="20"/>
        </w:rPr>
        <w:t>月</w:t>
      </w:r>
      <w:r>
        <w:rPr>
          <w:rFonts w:hint="eastAsia" w:ascii="Times New Roman" w:hAnsi="Times New Roman" w:eastAsia="宋体" w:cs="Times New Roman"/>
          <w:bCs/>
          <w:sz w:val="24"/>
          <w:szCs w:val="20"/>
          <w:lang w:val="en-US" w:eastAsia="zh-CN"/>
        </w:rPr>
        <w:t>29</w:t>
      </w:r>
      <w:r>
        <w:rPr>
          <w:rFonts w:hint="eastAsia" w:ascii="Times New Roman" w:hAnsi="Times New Roman" w:eastAsia="宋体" w:cs="Times New Roman"/>
          <w:bCs/>
          <w:sz w:val="24"/>
          <w:szCs w:val="20"/>
        </w:rPr>
        <w:t>日起对本公司管理的</w:t>
      </w:r>
      <w:r>
        <w:rPr>
          <w:rFonts w:hint="eastAsia" w:ascii="Times New Roman" w:hAnsi="Times New Roman" w:eastAsia="宋体" w:cs="Times New Roman"/>
          <w:bCs/>
          <w:sz w:val="24"/>
          <w:szCs w:val="20"/>
          <w:lang w:eastAsia="zh-CN"/>
        </w:rPr>
        <w:t>交银施罗德招享一年持有期混合型基金中基金（FOF）</w:t>
      </w:r>
      <w:r>
        <w:rPr>
          <w:rFonts w:hint="eastAsia" w:ascii="Times New Roman" w:hAnsi="Times New Roman" w:eastAsia="宋体" w:cs="Times New Roman"/>
          <w:bCs/>
          <w:sz w:val="24"/>
          <w:szCs w:val="20"/>
        </w:rPr>
        <w:t>（</w:t>
      </w:r>
      <w:r>
        <w:rPr>
          <w:rFonts w:hint="eastAsia" w:cs="Times New Roman" w:asciiTheme="minorEastAsia" w:hAnsiTheme="minorEastAsia"/>
          <w:bCs/>
          <w:sz w:val="24"/>
          <w:szCs w:val="20"/>
        </w:rPr>
        <w:t>以下简称</w:t>
      </w:r>
      <w:r>
        <w:rPr>
          <w:rFonts w:cs="Times New Roman" w:asciiTheme="minorEastAsia" w:hAnsiTheme="minorEastAsia"/>
          <w:bCs/>
          <w:sz w:val="24"/>
          <w:szCs w:val="20"/>
        </w:rPr>
        <w:t>“</w:t>
      </w:r>
      <w:r>
        <w:rPr>
          <w:rFonts w:hint="eastAsia" w:cs="Times New Roman" w:asciiTheme="minorEastAsia" w:hAnsiTheme="minorEastAsia"/>
          <w:bCs/>
          <w:sz w:val="24"/>
          <w:szCs w:val="20"/>
        </w:rPr>
        <w:t>本基金</w:t>
      </w:r>
      <w:r>
        <w:rPr>
          <w:rFonts w:cs="Times New Roman" w:asciiTheme="minorEastAsia" w:hAnsiTheme="minorEastAsia"/>
          <w:bCs/>
          <w:sz w:val="24"/>
          <w:szCs w:val="20"/>
        </w:rPr>
        <w:t>”</w:t>
      </w:r>
      <w:r>
        <w:rPr>
          <w:rFonts w:hint="eastAsia" w:cs="Times New Roman" w:asciiTheme="minorEastAsia" w:hAnsiTheme="minorEastAsia"/>
          <w:bCs/>
          <w:sz w:val="24"/>
          <w:szCs w:val="20"/>
        </w:rPr>
        <w:t>）增</w:t>
      </w:r>
      <w:r>
        <w:rPr>
          <w:rFonts w:hint="eastAsia" w:ascii="Times New Roman" w:hAnsi="Times New Roman" w:eastAsia="宋体" w:cs="Times New Roman"/>
          <w:bCs/>
          <w:sz w:val="24"/>
          <w:szCs w:val="20"/>
        </w:rPr>
        <w:t>加Y类基金份额，并对本基金的基金合同</w:t>
      </w:r>
      <w:r>
        <w:rPr>
          <w:rFonts w:hint="eastAsia" w:ascii="Times New Roman" w:hAnsi="Times New Roman" w:eastAsia="宋体"/>
          <w:bCs/>
          <w:sz w:val="24"/>
          <w:szCs w:val="20"/>
        </w:rPr>
        <w:t>、托管协议</w:t>
      </w:r>
      <w:r>
        <w:rPr>
          <w:rFonts w:hint="eastAsia" w:ascii="Times New Roman" w:hAnsi="Times New Roman" w:eastAsia="宋体" w:cs="Times New Roman"/>
          <w:bCs/>
          <w:sz w:val="24"/>
          <w:szCs w:val="20"/>
        </w:rPr>
        <w:t>作相应修改。</w:t>
      </w:r>
    </w:p>
    <w:p w14:paraId="36D9FFEC">
      <w:pPr>
        <w:adjustRightInd w:val="0"/>
        <w:snapToGrid w:val="0"/>
        <w:spacing w:line="360" w:lineRule="auto"/>
        <w:ind w:firstLine="480" w:firstLineChars="200"/>
        <w:rPr>
          <w:rFonts w:ascii="Times New Roman" w:hAnsi="Times New Roman" w:eastAsia="宋体" w:cs="Times New Roman"/>
          <w:bCs/>
          <w:sz w:val="24"/>
          <w:szCs w:val="20"/>
        </w:rPr>
      </w:pPr>
      <w:r>
        <w:rPr>
          <w:rFonts w:hint="eastAsia" w:ascii="Times New Roman" w:hAnsi="Times New Roman" w:eastAsia="宋体" w:cs="Times New Roman"/>
          <w:bCs/>
          <w:sz w:val="24"/>
          <w:szCs w:val="20"/>
        </w:rPr>
        <w:t>现将具体事项公告如下：</w:t>
      </w:r>
    </w:p>
    <w:p w14:paraId="643BE224">
      <w:pPr>
        <w:adjustRightInd w:val="0"/>
        <w:snapToGrid w:val="0"/>
        <w:spacing w:line="360" w:lineRule="auto"/>
        <w:ind w:firstLine="482" w:firstLineChars="200"/>
        <w:rPr>
          <w:rFonts w:ascii="Times New Roman" w:hAnsi="Times New Roman" w:eastAsia="宋体" w:cs="Times New Roman"/>
          <w:b/>
          <w:bCs/>
          <w:sz w:val="24"/>
          <w:szCs w:val="20"/>
        </w:rPr>
      </w:pPr>
      <w:r>
        <w:rPr>
          <w:rFonts w:hint="eastAsia" w:ascii="Times New Roman" w:hAnsi="Times New Roman" w:eastAsia="宋体" w:cs="Times New Roman"/>
          <w:b/>
          <w:bCs/>
          <w:sz w:val="24"/>
          <w:szCs w:val="20"/>
        </w:rPr>
        <w:t>一、新增</w:t>
      </w:r>
      <w:r>
        <w:rPr>
          <w:rFonts w:ascii="Times New Roman" w:hAnsi="Times New Roman" w:eastAsia="宋体" w:cs="Times New Roman"/>
          <w:b/>
          <w:bCs/>
          <w:sz w:val="24"/>
          <w:szCs w:val="20"/>
        </w:rPr>
        <w:t>Y</w:t>
      </w:r>
      <w:r>
        <w:rPr>
          <w:rFonts w:hint="eastAsia" w:ascii="Times New Roman" w:hAnsi="Times New Roman" w:eastAsia="宋体" w:cs="Times New Roman"/>
          <w:b/>
          <w:bCs/>
          <w:sz w:val="24"/>
          <w:szCs w:val="20"/>
        </w:rPr>
        <w:t>类基金份额的基本情况</w:t>
      </w:r>
    </w:p>
    <w:p w14:paraId="409B8DBB">
      <w:pPr>
        <w:adjustRightInd w:val="0"/>
        <w:snapToGrid w:val="0"/>
        <w:spacing w:line="360" w:lineRule="auto"/>
        <w:ind w:firstLine="480" w:firstLineChars="200"/>
        <w:rPr>
          <w:rFonts w:ascii="Times New Roman" w:hAnsi="Times New Roman" w:eastAsia="宋体" w:cs="Times New Roman"/>
          <w:bCs/>
          <w:sz w:val="24"/>
          <w:szCs w:val="20"/>
          <w:highlight w:val="none"/>
        </w:rPr>
      </w:pPr>
      <w:r>
        <w:rPr>
          <w:rFonts w:hint="eastAsia" w:ascii="Times New Roman" w:hAnsi="Times New Roman" w:eastAsia="宋体" w:cs="Times New Roman"/>
          <w:bCs/>
          <w:sz w:val="24"/>
          <w:szCs w:val="20"/>
        </w:rPr>
        <w:t>自202</w:t>
      </w:r>
      <w:r>
        <w:rPr>
          <w:rFonts w:hint="eastAsia" w:ascii="Times New Roman" w:hAnsi="Times New Roman" w:eastAsia="宋体" w:cs="Times New Roman"/>
          <w:bCs/>
          <w:sz w:val="24"/>
          <w:szCs w:val="20"/>
          <w:lang w:val="en-US" w:eastAsia="zh-CN"/>
        </w:rPr>
        <w:t>6</w:t>
      </w:r>
      <w:r>
        <w:rPr>
          <w:rFonts w:hint="eastAsia" w:ascii="Times New Roman" w:hAnsi="Times New Roman" w:eastAsia="宋体" w:cs="Times New Roman"/>
          <w:bCs/>
          <w:sz w:val="24"/>
          <w:szCs w:val="20"/>
        </w:rPr>
        <w:t>年</w:t>
      </w:r>
      <w:r>
        <w:rPr>
          <w:rFonts w:hint="eastAsia" w:ascii="Times New Roman" w:hAnsi="Times New Roman" w:eastAsia="宋体" w:cs="Times New Roman"/>
          <w:bCs/>
          <w:sz w:val="24"/>
          <w:szCs w:val="20"/>
          <w:lang w:val="en-US" w:eastAsia="zh-CN"/>
        </w:rPr>
        <w:t>9</w:t>
      </w:r>
      <w:r>
        <w:rPr>
          <w:rFonts w:hint="eastAsia" w:ascii="Times New Roman" w:hAnsi="Times New Roman" w:eastAsia="宋体" w:cs="Times New Roman"/>
          <w:bCs/>
          <w:sz w:val="24"/>
          <w:szCs w:val="20"/>
        </w:rPr>
        <w:t>月</w:t>
      </w:r>
      <w:r>
        <w:rPr>
          <w:rFonts w:hint="eastAsia" w:ascii="Times New Roman" w:hAnsi="Times New Roman" w:eastAsia="宋体" w:cs="Times New Roman"/>
          <w:bCs/>
          <w:sz w:val="24"/>
          <w:szCs w:val="20"/>
          <w:lang w:val="en-US" w:eastAsia="zh-CN"/>
        </w:rPr>
        <w:t>29</w:t>
      </w:r>
      <w:r>
        <w:rPr>
          <w:rFonts w:hint="eastAsia" w:ascii="Times New Roman" w:hAnsi="Times New Roman" w:eastAsia="宋体" w:cs="Times New Roman"/>
          <w:bCs/>
          <w:sz w:val="24"/>
          <w:szCs w:val="20"/>
        </w:rPr>
        <w:t>日，本基金增加</w:t>
      </w:r>
      <w:r>
        <w:rPr>
          <w:rFonts w:ascii="Times New Roman" w:hAnsi="Times New Roman" w:eastAsia="宋体" w:cs="Times New Roman"/>
          <w:bCs/>
          <w:sz w:val="24"/>
          <w:szCs w:val="20"/>
        </w:rPr>
        <w:t>Y</w:t>
      </w:r>
      <w:r>
        <w:rPr>
          <w:rFonts w:hint="eastAsia" w:ascii="Times New Roman" w:hAnsi="Times New Roman" w:eastAsia="宋体" w:cs="Times New Roman"/>
          <w:bCs/>
          <w:sz w:val="24"/>
          <w:szCs w:val="20"/>
        </w:rPr>
        <w:t>类基金份额（</w:t>
      </w:r>
      <w:r>
        <w:rPr>
          <w:rFonts w:hint="eastAsia" w:ascii="Times New Roman" w:hAnsi="Times New Roman" w:eastAsia="宋体" w:cs="Times New Roman"/>
          <w:bCs/>
          <w:sz w:val="24"/>
          <w:szCs w:val="20"/>
          <w:lang w:val="en-US" w:eastAsia="zh-CN"/>
        </w:rPr>
        <w:t>基金代码：029372</w:t>
      </w:r>
      <w:r>
        <w:rPr>
          <w:rFonts w:hint="eastAsia" w:ascii="Times New Roman" w:hAnsi="Times New Roman" w:eastAsia="宋体" w:cs="Times New Roman"/>
          <w:bCs/>
          <w:sz w:val="24"/>
          <w:szCs w:val="20"/>
        </w:rPr>
        <w:t>），</w:t>
      </w:r>
      <w:r>
        <w:rPr>
          <w:rFonts w:ascii="Times New Roman" w:hAnsi="Times New Roman" w:eastAsia="宋体" w:cs="Times New Roman"/>
          <w:bCs/>
          <w:sz w:val="24"/>
          <w:szCs w:val="20"/>
        </w:rPr>
        <w:t>Y</w:t>
      </w:r>
      <w:r>
        <w:rPr>
          <w:rFonts w:hint="eastAsia" w:ascii="Times New Roman" w:hAnsi="Times New Roman" w:eastAsia="宋体" w:cs="Times New Roman"/>
          <w:bCs/>
          <w:sz w:val="24"/>
          <w:szCs w:val="20"/>
        </w:rPr>
        <w:t>类基金份额开通申购业务的时间另行公告。基金管理人自Y类基金份额开放申购业务之日起至</w:t>
      </w:r>
      <w:r>
        <w:rPr>
          <w:rFonts w:hint="eastAsia" w:ascii="Times New Roman" w:hAnsi="Times New Roman" w:eastAsia="宋体" w:cs="Times New Roman"/>
          <w:bCs/>
          <w:sz w:val="24"/>
          <w:szCs w:val="20"/>
          <w:lang w:val="en-US" w:eastAsia="zh-CN"/>
        </w:rPr>
        <w:t>一</w:t>
      </w:r>
      <w:r>
        <w:rPr>
          <w:rFonts w:hint="eastAsia" w:ascii="Times New Roman" w:hAnsi="Times New Roman" w:eastAsia="宋体" w:cs="Times New Roman"/>
          <w:bCs/>
          <w:sz w:val="24"/>
          <w:szCs w:val="20"/>
        </w:rPr>
        <w:t>年后的年度对日（含该日）开始办理Y类基金份额的赎回，具体业务办理时间在赎回开始公告中规定。</w:t>
      </w:r>
      <w:r>
        <w:rPr>
          <w:rFonts w:hint="eastAsia" w:ascii="Times New Roman" w:hAnsi="Times New Roman" w:eastAsia="宋体"/>
          <w:bCs/>
          <w:sz w:val="24"/>
          <w:szCs w:val="20"/>
        </w:rPr>
        <w:t>本基金原有</w:t>
      </w:r>
      <w:r>
        <w:rPr>
          <w:rFonts w:ascii="Times New Roman" w:hAnsi="Times New Roman" w:eastAsia="宋体"/>
          <w:bCs/>
          <w:sz w:val="24"/>
          <w:szCs w:val="20"/>
        </w:rPr>
        <w:t>的基金份额</w:t>
      </w:r>
      <w:r>
        <w:rPr>
          <w:rFonts w:hint="eastAsia" w:ascii="Times New Roman" w:hAnsi="Times New Roman" w:eastAsia="宋体"/>
          <w:bCs/>
          <w:sz w:val="24"/>
          <w:szCs w:val="20"/>
        </w:rPr>
        <w:t>（A类基金份</w:t>
      </w:r>
      <w:r>
        <w:rPr>
          <w:rFonts w:hint="eastAsia" w:ascii="Times New Roman" w:hAnsi="Times New Roman" w:eastAsia="宋体"/>
          <w:bCs/>
          <w:sz w:val="24"/>
          <w:szCs w:val="20"/>
          <w:highlight w:val="none"/>
        </w:rPr>
        <w:t>额基金代码：</w:t>
      </w:r>
      <w:r>
        <w:rPr>
          <w:rFonts w:hint="eastAsia" w:ascii="Times New Roman" w:hAnsi="Times New Roman" w:eastAsia="宋体" w:cs="Times New Roman"/>
          <w:bCs/>
          <w:sz w:val="24"/>
          <w:szCs w:val="20"/>
          <w:highlight w:val="none"/>
          <w:lang w:val="en-US" w:eastAsia="zh-CN"/>
        </w:rPr>
        <w:t>011605</w:t>
      </w:r>
      <w:r>
        <w:rPr>
          <w:rFonts w:hint="eastAsia" w:ascii="Times New Roman" w:hAnsi="Times New Roman" w:eastAsia="宋体"/>
          <w:bCs/>
          <w:sz w:val="24"/>
          <w:szCs w:val="20"/>
          <w:highlight w:val="none"/>
        </w:rPr>
        <w:t>，基金简称：交银招享一年持有期混合（FOF）A；C类基金份额基金代码：</w:t>
      </w:r>
      <w:r>
        <w:rPr>
          <w:rFonts w:hint="eastAsia" w:ascii="Times New Roman" w:hAnsi="Times New Roman" w:eastAsia="宋体" w:cs="Times New Roman"/>
          <w:bCs/>
          <w:sz w:val="24"/>
          <w:szCs w:val="20"/>
          <w:highlight w:val="none"/>
          <w:lang w:val="en-US" w:eastAsia="zh-CN"/>
        </w:rPr>
        <w:t>011606</w:t>
      </w:r>
      <w:r>
        <w:rPr>
          <w:rFonts w:hint="eastAsia" w:ascii="Times New Roman" w:hAnsi="Times New Roman" w:eastAsia="宋体"/>
          <w:bCs/>
          <w:sz w:val="24"/>
          <w:szCs w:val="20"/>
          <w:highlight w:val="none"/>
        </w:rPr>
        <w:t>，基金简称：交银招享一年持有期混合（FOF）C）的申购赎回业务规则以及费率结构均保持不变。</w:t>
      </w:r>
      <w:r>
        <w:rPr>
          <w:rFonts w:hint="eastAsia" w:ascii="Times New Roman" w:hAnsi="Times New Roman" w:eastAsia="宋体" w:cs="Times New Roman"/>
          <w:bCs/>
          <w:sz w:val="24"/>
          <w:szCs w:val="20"/>
          <w:highlight w:val="none"/>
          <w:lang w:val="en-US" w:eastAsia="zh-CN"/>
        </w:rPr>
        <w:t>Y</w:t>
      </w:r>
      <w:r>
        <w:rPr>
          <w:rFonts w:hint="eastAsia" w:ascii="Times New Roman" w:hAnsi="Times New Roman" w:eastAsia="宋体" w:cs="Times New Roman"/>
          <w:bCs/>
          <w:sz w:val="24"/>
          <w:szCs w:val="20"/>
          <w:highlight w:val="none"/>
        </w:rPr>
        <w:t>类基金份额的基金份额净值将自首笔</w:t>
      </w:r>
      <w:r>
        <w:rPr>
          <w:rFonts w:hint="eastAsia" w:ascii="Times New Roman" w:hAnsi="Times New Roman" w:eastAsia="宋体" w:cs="Times New Roman"/>
          <w:bCs/>
          <w:sz w:val="24"/>
          <w:szCs w:val="20"/>
          <w:highlight w:val="none"/>
          <w:lang w:val="en-US" w:eastAsia="zh-CN"/>
        </w:rPr>
        <w:t>Y</w:t>
      </w:r>
      <w:r>
        <w:rPr>
          <w:rFonts w:hint="eastAsia" w:ascii="Times New Roman" w:hAnsi="Times New Roman" w:eastAsia="宋体" w:cs="Times New Roman"/>
          <w:bCs/>
          <w:sz w:val="24"/>
          <w:szCs w:val="20"/>
          <w:highlight w:val="none"/>
        </w:rPr>
        <w:t>类基金份额申购的确认日（含当日）起计算，首笔</w:t>
      </w:r>
      <w:r>
        <w:rPr>
          <w:rFonts w:hint="eastAsia" w:ascii="Times New Roman" w:hAnsi="Times New Roman" w:eastAsia="宋体" w:cs="Times New Roman"/>
          <w:bCs/>
          <w:sz w:val="24"/>
          <w:szCs w:val="20"/>
          <w:highlight w:val="none"/>
          <w:lang w:val="en-US" w:eastAsia="zh-CN"/>
        </w:rPr>
        <w:t>Y</w:t>
      </w:r>
      <w:r>
        <w:rPr>
          <w:rFonts w:hint="eastAsia" w:ascii="Times New Roman" w:hAnsi="Times New Roman" w:eastAsia="宋体" w:cs="Times New Roman"/>
          <w:bCs/>
          <w:sz w:val="24"/>
          <w:szCs w:val="20"/>
          <w:highlight w:val="none"/>
        </w:rPr>
        <w:t>类基金份额申购确认日前，</w:t>
      </w:r>
      <w:r>
        <w:rPr>
          <w:rFonts w:hint="eastAsia" w:ascii="Times New Roman" w:hAnsi="Times New Roman" w:eastAsia="宋体" w:cs="Times New Roman"/>
          <w:bCs/>
          <w:sz w:val="24"/>
          <w:szCs w:val="20"/>
          <w:highlight w:val="none"/>
          <w:lang w:val="en-US" w:eastAsia="zh-CN"/>
        </w:rPr>
        <w:t>Y</w:t>
      </w:r>
      <w:r>
        <w:rPr>
          <w:rFonts w:hint="eastAsia" w:ascii="Times New Roman" w:hAnsi="Times New Roman" w:eastAsia="宋体" w:cs="Times New Roman"/>
          <w:bCs/>
          <w:sz w:val="24"/>
          <w:szCs w:val="20"/>
          <w:highlight w:val="none"/>
        </w:rPr>
        <w:t>类基金份额的基金份额净值按照A类基金份额的基金份额净值披露。</w:t>
      </w:r>
      <w:r>
        <w:rPr>
          <w:rFonts w:hint="eastAsia" w:ascii="Times New Roman" w:hAnsi="Times New Roman" w:eastAsia="宋体"/>
          <w:bCs/>
          <w:sz w:val="24"/>
          <w:szCs w:val="20"/>
          <w:highlight w:val="none"/>
          <w:lang w:val="en-US" w:eastAsia="zh-CN"/>
        </w:rPr>
        <w:t>各</w:t>
      </w:r>
      <w:r>
        <w:rPr>
          <w:rFonts w:hint="eastAsia" w:ascii="Times New Roman" w:hAnsi="Times New Roman" w:eastAsia="宋体"/>
          <w:bCs/>
          <w:sz w:val="24"/>
          <w:szCs w:val="20"/>
          <w:highlight w:val="none"/>
        </w:rPr>
        <w:t>类基金份额分别设置对</w:t>
      </w:r>
      <w:r>
        <w:rPr>
          <w:rFonts w:hint="eastAsia" w:ascii="Times New Roman" w:hAnsi="Times New Roman" w:eastAsia="宋体" w:cs="Times New Roman"/>
          <w:bCs/>
          <w:sz w:val="24"/>
          <w:szCs w:val="20"/>
          <w:highlight w:val="none"/>
        </w:rPr>
        <w:t>应的基金代码并分别计算基金份额净值。</w:t>
      </w:r>
    </w:p>
    <w:p w14:paraId="4CCE135C">
      <w:pPr>
        <w:widowControl/>
        <w:adjustRightInd w:val="0"/>
        <w:snapToGrid w:val="0"/>
        <w:spacing w:line="360" w:lineRule="auto"/>
        <w:ind w:firstLine="480" w:firstLineChars="200"/>
        <w:rPr>
          <w:rFonts w:ascii="Times New Roman" w:hAnsi="Times New Roman" w:eastAsia="宋体" w:cs="Times New Roman"/>
          <w:bCs/>
          <w:sz w:val="24"/>
          <w:szCs w:val="20"/>
        </w:rPr>
      </w:pPr>
      <w:r>
        <w:rPr>
          <w:rFonts w:hint="eastAsia" w:ascii="Times New Roman" w:hAnsi="Times New Roman" w:eastAsia="宋体" w:cs="Times New Roman"/>
          <w:bCs/>
          <w:sz w:val="24"/>
          <w:szCs w:val="20"/>
        </w:rPr>
        <w:t>本基金的Y类基金份额为针对个人养老金投资基金业务设立的单独的基金份额类别，投资者仅能通过个人养老金资金账户购买Y类基金份额参与个人养老金投资基金业务。根据个人养老金账户要求，个人养老金投资基金的基金份额申购赎回等款项将在个人养老金账户内流转，投资者未达到领取基本养老金年龄或者政策规定的其他领取条件时不可领取个人养老金。</w:t>
      </w:r>
    </w:p>
    <w:p w14:paraId="77E2F798">
      <w:pPr>
        <w:widowControl/>
        <w:adjustRightInd w:val="0"/>
        <w:snapToGrid w:val="0"/>
        <w:spacing w:line="360" w:lineRule="auto"/>
        <w:ind w:firstLine="480" w:firstLineChars="200"/>
        <w:rPr>
          <w:rFonts w:ascii="Times New Roman" w:hAnsi="Times New Roman" w:eastAsia="宋体" w:cs="Times New Roman"/>
          <w:bCs/>
          <w:sz w:val="24"/>
          <w:szCs w:val="20"/>
        </w:rPr>
      </w:pPr>
      <w:r>
        <w:rPr>
          <w:rFonts w:hint="eastAsia" w:ascii="Times New Roman" w:hAnsi="Times New Roman" w:eastAsia="宋体" w:cs="Times New Roman"/>
          <w:bCs/>
          <w:sz w:val="24"/>
          <w:szCs w:val="20"/>
        </w:rPr>
        <w:t>1、本基金的费率结构如下：</w:t>
      </w:r>
    </w:p>
    <w:p w14:paraId="3A4B56CD">
      <w:pPr>
        <w:widowControl/>
        <w:adjustRightInd w:val="0"/>
        <w:snapToGrid w:val="0"/>
        <w:spacing w:line="360" w:lineRule="auto"/>
        <w:ind w:firstLine="480" w:firstLineChars="200"/>
        <w:rPr>
          <w:rFonts w:ascii="Times New Roman" w:hAnsi="Times New Roman" w:eastAsia="宋体" w:cs="Times New Roman"/>
          <w:color w:val="000000"/>
          <w:kern w:val="0"/>
          <w:sz w:val="24"/>
        </w:rPr>
      </w:pPr>
      <w:r>
        <w:rPr>
          <w:rFonts w:hint="eastAsia" w:ascii="Times New Roman" w:hAnsi="Times New Roman" w:eastAsia="宋体"/>
          <w:sz w:val="24"/>
        </w:rPr>
        <w:t>（1）</w:t>
      </w:r>
      <w:r>
        <w:rPr>
          <w:rFonts w:hint="eastAsia" w:ascii="Times New Roman" w:hAnsi="Times New Roman" w:eastAsia="宋体" w:cs="Times New Roman"/>
          <w:color w:val="000000"/>
          <w:kern w:val="0"/>
          <w:sz w:val="24"/>
        </w:rPr>
        <w:t>基金管理人的管理费</w:t>
      </w:r>
    </w:p>
    <w:p w14:paraId="5ECD3AB9">
      <w:pPr>
        <w:widowControl/>
        <w:adjustRightInd w:val="0"/>
        <w:snapToGrid w:val="0"/>
        <w:spacing w:line="360" w:lineRule="auto"/>
        <w:ind w:firstLine="480" w:firstLineChars="200"/>
        <w:rPr>
          <w:rFonts w:hint="eastAsia"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本基金A类基金份额和C类基金份额的年管理费率为0.5%；本基金Y类基金份额的年管理费率为0.25%。</w:t>
      </w:r>
    </w:p>
    <w:p w14:paraId="68CC9B94">
      <w:pPr>
        <w:widowControl/>
        <w:adjustRightInd w:val="0"/>
        <w:snapToGrid w:val="0"/>
        <w:spacing w:line="360" w:lineRule="auto"/>
        <w:ind w:firstLine="480" w:firstLineChars="200"/>
        <w:rPr>
          <w:rFonts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（2）基金托管人的托管费</w:t>
      </w:r>
    </w:p>
    <w:p w14:paraId="567B3F9E">
      <w:pPr>
        <w:widowControl/>
        <w:adjustRightInd w:val="0"/>
        <w:snapToGrid w:val="0"/>
        <w:spacing w:line="360" w:lineRule="auto"/>
        <w:ind w:firstLine="480" w:firstLineChars="200"/>
        <w:rPr>
          <w:rFonts w:hint="eastAsia"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本基金A类基金份额和C类基金份额的年托管费率为0.15%；本基金Y类基金份额的年托管费率为0.075%。</w:t>
      </w:r>
    </w:p>
    <w:p w14:paraId="37407C09">
      <w:pPr>
        <w:widowControl/>
        <w:adjustRightInd w:val="0"/>
        <w:snapToGrid w:val="0"/>
        <w:spacing w:line="360" w:lineRule="auto"/>
        <w:ind w:firstLine="480" w:firstLineChars="200"/>
        <w:rPr>
          <w:rFonts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本基金</w:t>
      </w:r>
      <w:r>
        <w:rPr>
          <w:rFonts w:hint="eastAsia" w:ascii="Times New Roman" w:hAnsi="Times New Roman" w:eastAsia="宋体" w:cs="Times New Roman"/>
          <w:color w:val="000000"/>
          <w:kern w:val="0"/>
          <w:sz w:val="24"/>
          <w:lang w:val="en-US" w:eastAsia="zh-CN"/>
        </w:rPr>
        <w:t>各</w:t>
      </w:r>
      <w:r>
        <w:rPr>
          <w:rFonts w:hint="eastAsia" w:ascii="Times New Roman" w:hAnsi="Times New Roman" w:eastAsia="宋体" w:cs="Times New Roman"/>
          <w:color w:val="000000"/>
          <w:kern w:val="0"/>
          <w:sz w:val="24"/>
        </w:rPr>
        <w:t>类基金份额的</w:t>
      </w:r>
      <w:r>
        <w:rPr>
          <w:bCs/>
          <w:sz w:val="24"/>
        </w:rPr>
        <w:t>基金费用</w:t>
      </w:r>
      <w:r>
        <w:rPr>
          <w:rFonts w:hint="eastAsia" w:ascii="Times New Roman" w:hAnsi="Times New Roman" w:eastAsia="宋体" w:cs="Times New Roman"/>
          <w:color w:val="000000"/>
          <w:kern w:val="0"/>
          <w:sz w:val="24"/>
        </w:rPr>
        <w:t>计提方法、计提标准和支付方式详见《基金合同》。</w:t>
      </w:r>
    </w:p>
    <w:p w14:paraId="1D6ADAF8">
      <w:pPr>
        <w:widowControl/>
        <w:adjustRightInd w:val="0"/>
        <w:snapToGrid w:val="0"/>
        <w:spacing w:line="360" w:lineRule="auto"/>
        <w:ind w:firstLine="480" w:firstLineChars="200"/>
        <w:rPr>
          <w:rFonts w:ascii="Times New Roman" w:hAnsi="Times New Roman" w:eastAsia="宋体" w:cs="Times New Roman"/>
          <w:color w:val="000000"/>
          <w:kern w:val="0"/>
          <w:sz w:val="24"/>
        </w:rPr>
      </w:pPr>
      <w:r>
        <w:rPr>
          <w:rFonts w:hint="eastAsia" w:ascii="Times New Roman" w:hAnsi="Times New Roman" w:eastAsia="宋体" w:cs="Times New Roman"/>
          <w:bCs/>
          <w:color w:val="000000"/>
          <w:kern w:val="0"/>
          <w:sz w:val="24"/>
        </w:rPr>
        <w:t>本基金Y类基金份额可对</w:t>
      </w:r>
      <w:r>
        <w:rPr>
          <w:rFonts w:ascii="Times New Roman" w:hAnsi="Times New Roman" w:eastAsia="宋体" w:cs="Times New Roman"/>
          <w:bCs/>
          <w:color w:val="000000"/>
          <w:kern w:val="0"/>
          <w:sz w:val="24"/>
        </w:rPr>
        <w:t>基金</w:t>
      </w:r>
      <w:r>
        <w:rPr>
          <w:rFonts w:hint="eastAsia" w:ascii="Times New Roman" w:hAnsi="Times New Roman" w:eastAsia="宋体" w:cs="Times New Roman"/>
          <w:bCs/>
          <w:color w:val="000000"/>
          <w:kern w:val="0"/>
          <w:sz w:val="24"/>
        </w:rPr>
        <w:t>管理费和基金托管费实施一定的费率优惠，具体优惠请参看招募说明书或相关公告。</w:t>
      </w:r>
    </w:p>
    <w:p w14:paraId="30D0CF51">
      <w:pPr>
        <w:widowControl/>
        <w:adjustRightInd w:val="0"/>
        <w:snapToGrid w:val="0"/>
        <w:spacing w:line="360" w:lineRule="auto"/>
        <w:ind w:firstLine="480" w:firstLineChars="200"/>
        <w:rPr>
          <w:rFonts w:ascii="Times New Roman" w:hAnsi="Times New Roman" w:eastAsia="宋体" w:cs="Times New Roman"/>
          <w:bCs/>
          <w:color w:val="000000"/>
          <w:kern w:val="0"/>
          <w:sz w:val="24"/>
        </w:rPr>
      </w:pPr>
      <w:r>
        <w:rPr>
          <w:rFonts w:hint="eastAsia" w:ascii="Times New Roman" w:hAnsi="Times New Roman" w:eastAsia="宋体" w:cs="Times New Roman"/>
          <w:color w:val="000000"/>
          <w:kern w:val="0"/>
          <w:sz w:val="24"/>
        </w:rPr>
        <w:t>2、</w:t>
      </w:r>
      <w:r>
        <w:rPr>
          <w:rFonts w:hint="eastAsia" w:ascii="Times New Roman" w:hAnsi="Times New Roman" w:eastAsia="宋体" w:cs="Times New Roman"/>
          <w:bCs/>
          <w:color w:val="000000"/>
          <w:kern w:val="0"/>
          <w:sz w:val="24"/>
        </w:rPr>
        <w:t>Y类基金份额的申购和赎回费用等规定详见招募说明书（更新）或相关公告。Y类基金份额的</w:t>
      </w:r>
      <w:r>
        <w:rPr>
          <w:rFonts w:ascii="Times New Roman" w:hAnsi="Times New Roman" w:eastAsia="宋体" w:cs="Times New Roman"/>
          <w:bCs/>
          <w:color w:val="000000"/>
          <w:kern w:val="0"/>
          <w:sz w:val="24"/>
        </w:rPr>
        <w:t>销售机构详见基金管理人网站公示或相关公告。</w:t>
      </w:r>
    </w:p>
    <w:p w14:paraId="617C6123">
      <w:pPr>
        <w:widowControl/>
        <w:adjustRightInd w:val="0"/>
        <w:snapToGrid w:val="0"/>
        <w:spacing w:line="360" w:lineRule="auto"/>
        <w:ind w:firstLine="480" w:firstLineChars="200"/>
        <w:rPr>
          <w:rFonts w:hint="eastAsia" w:ascii="Times New Roman" w:hAnsi="Times New Roman" w:eastAsia="宋体" w:cs="Times New Roman"/>
          <w:bCs/>
          <w:color w:val="000000"/>
          <w:kern w:val="0"/>
          <w:sz w:val="24"/>
        </w:rPr>
      </w:pPr>
      <w:r>
        <w:rPr>
          <w:rFonts w:hint="eastAsia" w:ascii="Times New Roman" w:hAnsi="Times New Roman" w:eastAsia="宋体" w:cs="Times New Roman"/>
          <w:bCs/>
          <w:color w:val="000000"/>
          <w:kern w:val="0"/>
          <w:sz w:val="24"/>
        </w:rPr>
        <w:t>3、本基金Y类基金份额默认的收益分配方式为红利再投资。</w:t>
      </w:r>
    </w:p>
    <w:p w14:paraId="0CF1B32E">
      <w:pPr>
        <w:widowControl/>
        <w:adjustRightInd w:val="0"/>
        <w:snapToGrid w:val="0"/>
        <w:spacing w:line="360" w:lineRule="auto"/>
        <w:ind w:firstLine="482" w:firstLineChars="200"/>
        <w:rPr>
          <w:rFonts w:ascii="Times New Roman" w:hAnsi="Times New Roman" w:eastAsia="宋体" w:cs="Times New Roman"/>
          <w:b/>
          <w:color w:val="000000"/>
          <w:kern w:val="0"/>
          <w:sz w:val="24"/>
        </w:rPr>
      </w:pPr>
      <w:r>
        <w:rPr>
          <w:rFonts w:hint="eastAsia" w:ascii="Times New Roman" w:hAnsi="Times New Roman" w:eastAsia="宋体" w:cs="Times New Roman"/>
          <w:b/>
          <w:color w:val="000000"/>
          <w:kern w:val="0"/>
          <w:sz w:val="24"/>
        </w:rPr>
        <w:t>二、基金合同、托管协议的修订内容</w:t>
      </w:r>
    </w:p>
    <w:p w14:paraId="189809FF">
      <w:pPr>
        <w:widowControl/>
        <w:adjustRightInd w:val="0"/>
        <w:snapToGrid w:val="0"/>
        <w:spacing w:line="360" w:lineRule="auto"/>
        <w:ind w:firstLine="480" w:firstLineChars="200"/>
        <w:rPr>
          <w:rFonts w:ascii="Times New Roman" w:hAnsi="Times New Roman" w:eastAsia="宋体" w:cs="Times New Roman"/>
          <w:color w:val="000000"/>
          <w:kern w:val="0"/>
          <w:sz w:val="24"/>
        </w:rPr>
      </w:pPr>
      <w:r>
        <w:rPr>
          <w:rFonts w:hint="eastAsia" w:ascii="Times New Roman" w:hAnsi="Times New Roman" w:eastAsia="宋体" w:cs="Times New Roman"/>
          <w:color w:val="000000"/>
          <w:kern w:val="0"/>
          <w:sz w:val="24"/>
        </w:rPr>
        <w:t>为确保增加</w:t>
      </w:r>
      <w:r>
        <w:rPr>
          <w:rFonts w:ascii="Times New Roman" w:hAnsi="Times New Roman" w:eastAsia="宋体" w:cs="Times New Roman"/>
          <w:color w:val="000000"/>
          <w:kern w:val="0"/>
          <w:sz w:val="24"/>
        </w:rPr>
        <w:t>Y</w:t>
      </w:r>
      <w:r>
        <w:rPr>
          <w:rFonts w:hint="eastAsia" w:ascii="Times New Roman" w:hAnsi="Times New Roman" w:eastAsia="宋体" w:cs="Times New Roman"/>
          <w:color w:val="000000"/>
          <w:kern w:val="0"/>
          <w:sz w:val="24"/>
        </w:rPr>
        <w:t>类基金份额符合法律、法规的规定，本公司对本基金基金合同、托管协议的相关内容进行了修订。此外，根据实际情况更新基金管理人部分基本信息。本次修订对原有基金份额持有人的利益</w:t>
      </w:r>
      <w:r>
        <w:rPr>
          <w:rFonts w:hint="eastAsia" w:ascii="Times New Roman" w:hAnsi="Times New Roman" w:eastAsia="宋体"/>
          <w:color w:val="000000"/>
          <w:kern w:val="0"/>
          <w:sz w:val="24"/>
        </w:rPr>
        <w:t>无实质性</w:t>
      </w:r>
      <w:r>
        <w:rPr>
          <w:rFonts w:ascii="Times New Roman" w:hAnsi="Times New Roman" w:eastAsia="宋体"/>
          <w:color w:val="000000"/>
          <w:kern w:val="0"/>
          <w:sz w:val="24"/>
        </w:rPr>
        <w:t>不利</w:t>
      </w:r>
      <w:r>
        <w:rPr>
          <w:rFonts w:hint="eastAsia" w:ascii="Times New Roman" w:hAnsi="Times New Roman" w:eastAsia="宋体" w:cs="Times New Roman"/>
          <w:color w:val="000000"/>
          <w:kern w:val="0"/>
          <w:sz w:val="24"/>
        </w:rPr>
        <w:t>影响，不需召开基金份额持有人大会。本公司已就修订内容与基金托管人</w:t>
      </w:r>
      <w:r>
        <w:rPr>
          <w:rFonts w:hint="eastAsia" w:ascii="Times New Roman" w:hAnsi="Times New Roman" w:eastAsia="宋体" w:cs="Times New Roman"/>
          <w:bCs/>
          <w:sz w:val="24"/>
          <w:szCs w:val="20"/>
        </w:rPr>
        <w:t>招商银行</w:t>
      </w:r>
      <w:r>
        <w:rPr>
          <w:rFonts w:hint="eastAsia" w:ascii="Times New Roman" w:hAnsi="Times New Roman" w:eastAsia="宋体" w:cs="Times New Roman"/>
          <w:color w:val="000000"/>
          <w:kern w:val="0"/>
          <w:sz w:val="24"/>
        </w:rPr>
        <w:t>协商一致，并已报中国证监会备案。《基金合同》、《托管协议》的具体修订内容见附件1、</w:t>
      </w:r>
      <w:r>
        <w:rPr>
          <w:rFonts w:ascii="Times New Roman" w:hAnsi="Times New Roman" w:eastAsia="宋体" w:cs="Times New Roman"/>
          <w:color w:val="000000"/>
          <w:kern w:val="0"/>
          <w:sz w:val="24"/>
        </w:rPr>
        <w:t>附件2</w:t>
      </w:r>
      <w:r>
        <w:rPr>
          <w:rFonts w:hint="eastAsia" w:ascii="Times New Roman" w:hAnsi="Times New Roman" w:eastAsia="宋体" w:cs="Times New Roman"/>
          <w:color w:val="000000"/>
          <w:kern w:val="0"/>
          <w:sz w:val="24"/>
        </w:rPr>
        <w:t>。</w:t>
      </w:r>
    </w:p>
    <w:p w14:paraId="1BC44A64">
      <w:pPr>
        <w:pStyle w:val="8"/>
        <w:spacing w:before="0" w:beforeAutospacing="0" w:after="0" w:afterAutospacing="0" w:line="360" w:lineRule="auto"/>
        <w:ind w:firstLine="482" w:firstLineChars="200"/>
        <w:jc w:val="both"/>
        <w:rPr>
          <w:rFonts w:ascii="Times New Roman" w:hAnsi="Times New Roman" w:cs="Times New Roman"/>
          <w:b/>
          <w:color w:val="000000"/>
        </w:rPr>
      </w:pPr>
      <w:r>
        <w:rPr>
          <w:rFonts w:hint="eastAsia" w:ascii="Times New Roman" w:hAnsi="Times New Roman" w:cs="Times New Roman"/>
          <w:b/>
          <w:color w:val="000000"/>
        </w:rPr>
        <w:t>重要提示：</w:t>
      </w:r>
    </w:p>
    <w:p w14:paraId="54668E22">
      <w:pPr>
        <w:pStyle w:val="8"/>
        <w:spacing w:before="0" w:beforeAutospacing="0" w:after="0" w:afterAutospacing="0" w:line="360" w:lineRule="auto"/>
        <w:ind w:firstLine="480" w:firstLineChars="200"/>
        <w:jc w:val="both"/>
        <w:rPr>
          <w:rFonts w:ascii="Times New Roman" w:hAnsi="Times New Roman" w:cs="Times New Roman"/>
          <w:color w:val="000000"/>
        </w:rPr>
      </w:pPr>
      <w:r>
        <w:rPr>
          <w:rFonts w:ascii="Times New Roman" w:hAnsi="Times New Roman" w:cs="Times New Roman"/>
          <w:color w:val="000000"/>
        </w:rPr>
        <w:t>1</w:t>
      </w:r>
      <w:r>
        <w:rPr>
          <w:rFonts w:hint="eastAsia" w:ascii="Times New Roman" w:hAnsi="Times New Roman" w:cs="Times New Roman"/>
          <w:color w:val="000000"/>
        </w:rPr>
        <w:t>、上述修改为遵照法律法规、中国证监会的相关规定和基金合同的约定所作出的修改，对基金份额持有人利益无实质性不利影响，可不经基金份额持有人大会表决。</w:t>
      </w:r>
    </w:p>
    <w:p w14:paraId="7D6783D7">
      <w:pPr>
        <w:pStyle w:val="8"/>
        <w:spacing w:before="0" w:beforeAutospacing="0" w:after="0" w:afterAutospacing="0" w:line="360" w:lineRule="auto"/>
        <w:ind w:firstLine="480" w:firstLineChars="200"/>
        <w:jc w:val="both"/>
        <w:rPr>
          <w:rFonts w:ascii="Times New Roman" w:hAnsi="Times New Roman" w:cs="Times New Roman"/>
          <w:color w:val="000000"/>
        </w:rPr>
      </w:pPr>
      <w:r>
        <w:rPr>
          <w:rFonts w:hint="eastAsia" w:ascii="Times New Roman" w:hAnsi="Times New Roman" w:cs="Times New Roman"/>
          <w:color w:val="000000"/>
        </w:rPr>
        <w:t>2、</w:t>
      </w:r>
      <w:r>
        <w:rPr>
          <w:rFonts w:hint="eastAsia" w:ascii="Times New Roman" w:hAnsi="Times New Roman" w:cs="Times New Roman"/>
          <w:bCs/>
          <w:szCs w:val="20"/>
        </w:rPr>
        <w:t>此次修订基金管理人已履行了规定程序，符合相关法律法规的规定及本基金基金合同、托管协议的约定。修改后的本基金基金合同、托管协议全文将与本公告同日登载于基金管理人网站（</w:t>
      </w:r>
      <w:r>
        <w:rPr>
          <w:rFonts w:ascii="Times New Roman" w:hAnsi="Times New Roman" w:cs="Times New Roman"/>
          <w:bCs/>
          <w:szCs w:val="20"/>
        </w:rPr>
        <w:t>www.fund001.com</w:t>
      </w:r>
      <w:r>
        <w:rPr>
          <w:rFonts w:hint="eastAsia" w:ascii="Times New Roman" w:hAnsi="Times New Roman" w:cs="Times New Roman"/>
          <w:bCs/>
          <w:szCs w:val="20"/>
        </w:rPr>
        <w:t>）及中国证监会基金电子披露网站（</w:t>
      </w:r>
      <w:r>
        <w:rPr>
          <w:rFonts w:ascii="Times New Roman" w:hAnsi="Times New Roman" w:cs="Times New Roman"/>
          <w:bCs/>
          <w:szCs w:val="20"/>
        </w:rPr>
        <w:t>http://eid.csrc.gov.cn/fund</w:t>
      </w:r>
      <w:r>
        <w:rPr>
          <w:rFonts w:hint="eastAsia" w:ascii="Times New Roman" w:hAnsi="Times New Roman" w:cs="Times New Roman"/>
          <w:bCs/>
          <w:szCs w:val="20"/>
        </w:rPr>
        <w:t>）。本次修订后的招募说明书（更新）和基金产品资料概要（更新）将在本公司网站发布，供投资者查阅。</w:t>
      </w:r>
    </w:p>
    <w:p w14:paraId="0739D8FA">
      <w:pPr>
        <w:pStyle w:val="8"/>
        <w:spacing w:before="0" w:beforeAutospacing="0" w:after="0" w:afterAutospacing="0" w:line="360" w:lineRule="auto"/>
        <w:ind w:firstLine="480" w:firstLineChars="200"/>
        <w:rPr>
          <w:rFonts w:ascii="Times New Roman" w:hAnsi="Times New Roman" w:cs="Times New Roman"/>
          <w:color w:val="000000"/>
        </w:rPr>
      </w:pPr>
      <w:r>
        <w:rPr>
          <w:rFonts w:ascii="Times New Roman" w:hAnsi="Times New Roman" w:cs="Times New Roman"/>
          <w:color w:val="000000"/>
        </w:rPr>
        <w:t>3</w:t>
      </w:r>
      <w:r>
        <w:rPr>
          <w:rFonts w:hint="eastAsia" w:ascii="Times New Roman" w:hAnsi="Times New Roman" w:cs="Times New Roman"/>
          <w:color w:val="000000"/>
        </w:rPr>
        <w:t>、投资者可登录本基金管理人网站（</w:t>
      </w:r>
      <w:r>
        <w:rPr>
          <w:rFonts w:ascii="Times New Roman" w:hAnsi="Times New Roman" w:cs="Times New Roman"/>
          <w:color w:val="000000"/>
        </w:rPr>
        <w:t>www.fund001.com</w:t>
      </w:r>
      <w:r>
        <w:rPr>
          <w:rFonts w:hint="eastAsia" w:ascii="Times New Roman" w:hAnsi="Times New Roman" w:cs="Times New Roman"/>
          <w:color w:val="000000"/>
        </w:rPr>
        <w:t>）或拨打本基金管理人的客户服务电话</w:t>
      </w:r>
      <w:r>
        <w:rPr>
          <w:rFonts w:ascii="Times New Roman" w:hAnsi="Times New Roman" w:cs="Times New Roman"/>
          <w:color w:val="000000"/>
        </w:rPr>
        <w:t>400-700-5000</w:t>
      </w:r>
      <w:r>
        <w:rPr>
          <w:rFonts w:hint="eastAsia" w:ascii="Times New Roman" w:hAnsi="Times New Roman" w:cs="Times New Roman"/>
          <w:color w:val="000000"/>
        </w:rPr>
        <w:t>（免长途话费），（</w:t>
      </w:r>
      <w:r>
        <w:rPr>
          <w:rFonts w:ascii="Times New Roman" w:hAnsi="Times New Roman" w:cs="Times New Roman"/>
          <w:color w:val="000000"/>
        </w:rPr>
        <w:t>021</w:t>
      </w:r>
      <w:r>
        <w:rPr>
          <w:rFonts w:hint="eastAsia" w:ascii="Times New Roman" w:hAnsi="Times New Roman" w:cs="Times New Roman"/>
          <w:color w:val="000000"/>
        </w:rPr>
        <w:t>）</w:t>
      </w:r>
      <w:r>
        <w:rPr>
          <w:rFonts w:ascii="Times New Roman" w:hAnsi="Times New Roman" w:cs="Times New Roman"/>
          <w:color w:val="000000"/>
        </w:rPr>
        <w:t>61055000</w:t>
      </w:r>
      <w:r>
        <w:rPr>
          <w:rFonts w:hint="eastAsia" w:ascii="Times New Roman" w:hAnsi="Times New Roman" w:cs="Times New Roman"/>
          <w:color w:val="000000"/>
        </w:rPr>
        <w:t>进行咨询、查询。</w:t>
      </w:r>
    </w:p>
    <w:p w14:paraId="5145AAB0">
      <w:pPr>
        <w:pStyle w:val="8"/>
        <w:spacing w:line="360" w:lineRule="auto"/>
        <w:ind w:firstLine="480" w:firstLineChars="200"/>
        <w:rPr>
          <w:rFonts w:ascii="Times New Roman" w:hAnsi="Times New Roman" w:cs="Times New Roman"/>
          <w:color w:val="000000"/>
        </w:rPr>
      </w:pPr>
      <w:r>
        <w:rPr>
          <w:rFonts w:hint="eastAsia" w:ascii="Times New Roman" w:hAnsi="Times New Roman" w:cs="Times New Roman"/>
          <w:color w:val="000000"/>
        </w:rPr>
        <w:t>风险提示：本基金管理人承诺以诚实信用、勤勉尽责的原则管理和运用基金财产，但不保证基金一定盈利，也不保证最低收益。基金的过往业绩并不代表其将来表现。本基金为养老目标基金，致力于满足投资者的养老资金理财需求，但养老目标基金并不代表收益保障或其他任何形式的收益承诺。本基金非保本产品，存在投资者承担亏损的可能性。投资有风险，敬请投资人认真阅读基金的相关法律文件，并选择适合自身风险承受能力的投资品种进行投资。</w:t>
      </w:r>
    </w:p>
    <w:p w14:paraId="78B200CB">
      <w:pPr>
        <w:pStyle w:val="8"/>
        <w:spacing w:before="0" w:beforeAutospacing="0" w:after="0" w:afterAutospacing="0" w:line="360" w:lineRule="auto"/>
        <w:ind w:firstLine="480" w:firstLineChars="200"/>
        <w:rPr>
          <w:rFonts w:ascii="Times New Roman" w:hAnsi="Times New Roman" w:cs="Times New Roman"/>
          <w:color w:val="000000"/>
        </w:rPr>
      </w:pPr>
      <w:r>
        <w:rPr>
          <w:rFonts w:hint="eastAsia" w:ascii="Times New Roman" w:hAnsi="Times New Roman" w:cs="Times New Roman"/>
          <w:color w:val="000000"/>
        </w:rPr>
        <w:t>特此公告。</w:t>
      </w:r>
    </w:p>
    <w:p w14:paraId="5FD56A4C">
      <w:pPr>
        <w:pStyle w:val="8"/>
        <w:spacing w:line="360" w:lineRule="auto"/>
        <w:jc w:val="right"/>
        <w:rPr>
          <w:rFonts w:ascii="Times New Roman" w:hAnsi="Times New Roman" w:cs="Times New Roman"/>
          <w:color w:val="000000"/>
        </w:rPr>
      </w:pPr>
      <w:r>
        <w:rPr>
          <w:rFonts w:ascii="Times New Roman" w:hAnsi="Times New Roman" w:cs="Times New Roman"/>
          <w:color w:val="000000"/>
        </w:rPr>
        <w:t>  </w:t>
      </w:r>
      <w:r>
        <w:rPr>
          <w:rFonts w:hint="eastAsia" w:ascii="Times New Roman" w:hAnsi="Times New Roman" w:cs="Times New Roman"/>
          <w:color w:val="000000"/>
        </w:rPr>
        <w:t>交银施罗德基金管理有限公司</w:t>
      </w:r>
    </w:p>
    <w:p w14:paraId="413C3CFD">
      <w:pPr>
        <w:pStyle w:val="8"/>
        <w:spacing w:line="360" w:lineRule="auto"/>
        <w:jc w:val="right"/>
        <w:rPr>
          <w:rFonts w:ascii="Times New Roman" w:hAnsi="Times New Roman" w:cs="Times New Roman"/>
          <w:color w:val="000000"/>
        </w:rPr>
        <w:sectPr>
          <w:pgSz w:w="11906" w:h="16838"/>
          <w:pgMar w:top="1440" w:right="1800" w:bottom="1440" w:left="1800" w:header="851" w:footer="992" w:gutter="0"/>
          <w:cols w:space="425" w:num="1"/>
          <w:docGrid w:type="lines" w:linePitch="312" w:charSpace="0"/>
        </w:sectPr>
      </w:pPr>
      <w:r>
        <w:rPr>
          <w:rFonts w:ascii="Times New Roman" w:hAnsi="Times New Roman" w:cs="Times New Roman"/>
          <w:color w:val="000000"/>
        </w:rPr>
        <w:t>  </w:t>
      </w:r>
      <w:r>
        <w:rPr>
          <w:rFonts w:hint="eastAsia" w:ascii="Times New Roman" w:hAnsi="Times New Roman" w:cs="Times New Roman"/>
          <w:color w:val="000000"/>
        </w:rPr>
        <w:t>二〇二</w:t>
      </w:r>
      <w:r>
        <w:rPr>
          <w:rFonts w:hint="eastAsia" w:ascii="Times New Roman" w:hAnsi="Times New Roman" w:cs="Times New Roman"/>
          <w:color w:val="000000"/>
          <w:lang w:val="en-US" w:eastAsia="zh-CN"/>
        </w:rPr>
        <w:t>六</w:t>
      </w:r>
      <w:r>
        <w:rPr>
          <w:rFonts w:hint="eastAsia" w:ascii="Times New Roman" w:hAnsi="Times New Roman" w:cs="Times New Roman"/>
          <w:color w:val="000000"/>
        </w:rPr>
        <w:t>年</w:t>
      </w:r>
      <w:r>
        <w:rPr>
          <w:rFonts w:hint="eastAsia" w:ascii="Times New Roman" w:hAnsi="Times New Roman" w:cs="Times New Roman"/>
          <w:color w:val="000000"/>
          <w:lang w:val="en-US" w:eastAsia="zh-CN"/>
        </w:rPr>
        <w:t>九</w:t>
      </w:r>
      <w:r>
        <w:rPr>
          <w:rFonts w:hint="eastAsia" w:ascii="Times New Roman" w:hAnsi="Times New Roman" w:cs="Times New Roman"/>
          <w:color w:val="000000"/>
        </w:rPr>
        <w:t>月</w:t>
      </w:r>
      <w:r>
        <w:rPr>
          <w:rFonts w:hint="eastAsia" w:ascii="Times New Roman" w:hAnsi="Times New Roman" w:cs="Times New Roman"/>
          <w:color w:val="000000"/>
          <w:lang w:val="en-US" w:eastAsia="zh-CN"/>
        </w:rPr>
        <w:t>二十八</w:t>
      </w:r>
      <w:r>
        <w:rPr>
          <w:rFonts w:hint="eastAsia" w:ascii="Times New Roman" w:hAnsi="Times New Roman" w:cs="Times New Roman"/>
          <w:color w:val="000000"/>
        </w:rPr>
        <w:t>日</w:t>
      </w:r>
    </w:p>
    <w:p w14:paraId="410ABCF1">
      <w:pPr>
        <w:jc w:val="center"/>
        <w:rPr>
          <w:rFonts w:ascii="宋体" w:hAnsi="宋体" w:eastAsia="宋体"/>
          <w:b/>
        </w:rPr>
      </w:pPr>
      <w:r>
        <w:rPr>
          <w:rFonts w:hint="eastAsia" w:ascii="宋体" w:hAnsi="宋体" w:eastAsia="宋体"/>
          <w:b/>
        </w:rPr>
        <w:t>附件1：《交银施罗德招享一年持有期混合型基金中基金（FOF）基金合同》修订前后对照表</w:t>
      </w:r>
    </w:p>
    <w:p w14:paraId="1BF4741B">
      <w:pPr>
        <w:jc w:val="center"/>
        <w:rPr>
          <w:rFonts w:ascii="宋体" w:hAnsi="宋体" w:eastAsia="宋体"/>
          <w:b/>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096"/>
        <w:gridCol w:w="6095"/>
      </w:tblGrid>
      <w:tr w14:paraId="57326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361017F">
            <w:pPr>
              <w:spacing w:line="240" w:lineRule="atLeast"/>
              <w:jc w:val="center"/>
              <w:rPr>
                <w:rFonts w:ascii="宋体" w:hAnsi="宋体" w:eastAsia="宋体"/>
                <w:b/>
                <w:szCs w:val="21"/>
              </w:rPr>
            </w:pPr>
            <w:bookmarkStart w:id="0" w:name="_Hlk184808355"/>
            <w:r>
              <w:rPr>
                <w:rFonts w:hint="eastAsia" w:ascii="宋体" w:hAnsi="宋体" w:eastAsia="宋体"/>
                <w:b/>
                <w:szCs w:val="21"/>
              </w:rPr>
              <w:t>章节</w:t>
            </w:r>
          </w:p>
        </w:tc>
        <w:tc>
          <w:tcPr>
            <w:tcW w:w="6096" w:type="dxa"/>
          </w:tcPr>
          <w:p w14:paraId="2699D842">
            <w:pPr>
              <w:spacing w:line="240" w:lineRule="atLeast"/>
              <w:jc w:val="center"/>
              <w:rPr>
                <w:rFonts w:ascii="宋体" w:hAnsi="宋体" w:eastAsia="宋体"/>
                <w:b/>
                <w:szCs w:val="21"/>
              </w:rPr>
            </w:pPr>
            <w:r>
              <w:rPr>
                <w:rFonts w:ascii="宋体" w:hAnsi="宋体" w:eastAsia="宋体"/>
                <w:b/>
                <w:szCs w:val="21"/>
              </w:rPr>
              <w:t>修订前</w:t>
            </w:r>
          </w:p>
        </w:tc>
        <w:tc>
          <w:tcPr>
            <w:tcW w:w="6095" w:type="dxa"/>
          </w:tcPr>
          <w:p w14:paraId="3E178FD2">
            <w:pPr>
              <w:spacing w:line="240" w:lineRule="atLeast"/>
              <w:jc w:val="center"/>
              <w:rPr>
                <w:rFonts w:ascii="宋体" w:hAnsi="宋体" w:eastAsia="宋体"/>
                <w:b/>
                <w:szCs w:val="21"/>
              </w:rPr>
            </w:pPr>
            <w:r>
              <w:rPr>
                <w:rFonts w:ascii="宋体" w:hAnsi="宋体" w:eastAsia="宋体"/>
                <w:b/>
                <w:szCs w:val="21"/>
              </w:rPr>
              <w:t>修订后</w:t>
            </w:r>
          </w:p>
        </w:tc>
      </w:tr>
      <w:tr w14:paraId="0FC1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DEF7A2C">
            <w:pPr>
              <w:spacing w:line="240" w:lineRule="atLeast"/>
              <w:rPr>
                <w:rFonts w:hint="eastAsia" w:ascii="宋体" w:hAnsi="宋体" w:eastAsia="宋体"/>
                <w:b/>
                <w:szCs w:val="21"/>
              </w:rPr>
            </w:pPr>
            <w:r>
              <w:rPr>
                <w:rFonts w:hint="eastAsia" w:ascii="宋体" w:hAnsi="宋体" w:eastAsia="宋体"/>
                <w:b/>
                <w:szCs w:val="21"/>
              </w:rPr>
              <w:t>第一部分</w:t>
            </w:r>
            <w:r>
              <w:rPr>
                <w:rFonts w:hint="eastAsia" w:ascii="宋体" w:hAnsi="宋体" w:eastAsia="宋体"/>
                <w:b/>
                <w:szCs w:val="21"/>
                <w:lang w:val="en-US" w:eastAsia="zh-CN"/>
              </w:rPr>
              <w:t xml:space="preserve"> </w:t>
            </w:r>
            <w:r>
              <w:rPr>
                <w:rFonts w:hint="eastAsia" w:ascii="宋体" w:hAnsi="宋体" w:eastAsia="宋体"/>
                <w:b/>
                <w:szCs w:val="21"/>
              </w:rPr>
              <w:t>前言</w:t>
            </w:r>
          </w:p>
        </w:tc>
        <w:tc>
          <w:tcPr>
            <w:tcW w:w="6096" w:type="dxa"/>
          </w:tcPr>
          <w:p w14:paraId="5D416703">
            <w:pPr>
              <w:spacing w:line="240" w:lineRule="atLeast"/>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rPr>
              <w:t>订立本基金合同的依据是《中华人民共和国合同法》（以下简称“《合同法》”）、《中华人民共和国证券投资基金法》（以下简称“《基金法》”）</w:t>
            </w:r>
            <w:r>
              <w:rPr>
                <w:rFonts w:hint="eastAsia" w:ascii="Times New Roman" w:hAnsi="Times New Roman" w:eastAsia="宋体" w:cs="Times New Roman"/>
                <w:bCs/>
                <w:szCs w:val="21"/>
                <w:lang w:eastAsia="zh-CN"/>
              </w:rPr>
              <w:t>……</w:t>
            </w:r>
          </w:p>
        </w:tc>
        <w:tc>
          <w:tcPr>
            <w:tcW w:w="6095" w:type="dxa"/>
          </w:tcPr>
          <w:p w14:paraId="6DFC0226">
            <w:pPr>
              <w:spacing w:line="240" w:lineRule="atLeast"/>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rPr>
              <w:t>订立本基金合同的依据是《中华人民共和国证券投资基金法》（以下简称“《基金法》”）</w:t>
            </w:r>
            <w:r>
              <w:rPr>
                <w:rFonts w:hint="eastAsia" w:ascii="Times New Roman" w:hAnsi="Times New Roman" w:eastAsia="宋体" w:cs="Times New Roman"/>
                <w:bCs/>
                <w:szCs w:val="21"/>
                <w:lang w:eastAsia="zh-CN"/>
              </w:rPr>
              <w:t>……</w:t>
            </w:r>
          </w:p>
        </w:tc>
      </w:tr>
      <w:tr w14:paraId="6661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6FE463D7">
            <w:pPr>
              <w:spacing w:line="240" w:lineRule="atLeast"/>
              <w:rPr>
                <w:rFonts w:ascii="宋体" w:hAnsi="宋体" w:eastAsia="宋体"/>
                <w:b/>
                <w:szCs w:val="21"/>
              </w:rPr>
            </w:pPr>
            <w:r>
              <w:rPr>
                <w:rFonts w:hint="eastAsia" w:ascii="宋体" w:hAnsi="宋体" w:eastAsia="宋体"/>
                <w:b/>
                <w:szCs w:val="21"/>
              </w:rPr>
              <w:t>第二部分</w:t>
            </w:r>
            <w:r>
              <w:rPr>
                <w:rFonts w:ascii="宋体" w:hAnsi="宋体" w:eastAsia="宋体"/>
                <w:b/>
                <w:szCs w:val="21"/>
              </w:rPr>
              <w:t xml:space="preserve"> 释义</w:t>
            </w:r>
          </w:p>
        </w:tc>
        <w:tc>
          <w:tcPr>
            <w:tcW w:w="6096" w:type="dxa"/>
          </w:tcPr>
          <w:p w14:paraId="04EDA7ED">
            <w:pPr>
              <w:numPr>
                <w:ilvl w:val="0"/>
                <w:numId w:val="0"/>
              </w:numPr>
              <w:spacing w:line="240" w:lineRule="atLeast"/>
              <w:rPr>
                <w:rFonts w:hint="eastAsia" w:ascii="Times New Roman" w:hAnsi="Times New Roman" w:eastAsia="宋体" w:cs="Times New Roman"/>
                <w:bCs/>
                <w:kern w:val="2"/>
                <w:sz w:val="21"/>
                <w:szCs w:val="21"/>
                <w:lang w:val="en-US" w:eastAsia="zh-CN" w:bidi="ar-SA"/>
              </w:rPr>
            </w:pPr>
            <w:r>
              <w:rPr>
                <w:rFonts w:hint="eastAsia" w:ascii="Times New Roman" w:hAnsi="Times New Roman" w:eastAsia="宋体" w:cs="Times New Roman"/>
                <w:bCs/>
                <w:kern w:val="2"/>
                <w:sz w:val="21"/>
                <w:szCs w:val="21"/>
                <w:lang w:val="en-US" w:eastAsia="zh-CN" w:bidi="ar-SA"/>
              </w:rPr>
              <w:t>16、银行业监督管理机构：指中国人民银行和/或中国银行保险监督管理委员会</w:t>
            </w:r>
          </w:p>
          <w:p w14:paraId="532F63FE">
            <w:pPr>
              <w:spacing w:line="240" w:lineRule="atLeast"/>
              <w:rPr>
                <w:rFonts w:ascii="Times New Roman" w:hAnsi="Times New Roman" w:eastAsia="宋体" w:cs="Times New Roman"/>
                <w:bCs/>
                <w:szCs w:val="21"/>
              </w:rPr>
            </w:pPr>
          </w:p>
        </w:tc>
        <w:tc>
          <w:tcPr>
            <w:tcW w:w="6095" w:type="dxa"/>
          </w:tcPr>
          <w:p w14:paraId="09A23E25">
            <w:pPr>
              <w:numPr>
                <w:ilvl w:val="0"/>
                <w:numId w:val="0"/>
              </w:num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kern w:val="2"/>
                <w:sz w:val="21"/>
                <w:szCs w:val="21"/>
                <w:lang w:val="en-US" w:eastAsia="zh-CN" w:bidi="ar-SA"/>
              </w:rPr>
              <w:t>16、</w:t>
            </w:r>
            <w:r>
              <w:rPr>
                <w:rFonts w:hint="eastAsia" w:ascii="Times New Roman" w:hAnsi="Times New Roman" w:eastAsia="宋体" w:cs="Times New Roman"/>
                <w:bCs/>
                <w:szCs w:val="21"/>
              </w:rPr>
              <w:t>银行业监督管理机构：指中国人民银行和/或国家金融监督管理总局</w:t>
            </w:r>
          </w:p>
          <w:p w14:paraId="600FCC5A">
            <w:pPr>
              <w:numPr>
                <w:ilvl w:val="0"/>
                <w:numId w:val="0"/>
              </w:num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56、基金份额类别：指本基金将基金份额分为不同的类别。非针对个人养老金投资基金业务设立的基金份额，分为A类基金份额和C类基金份额；针对个人养老金投资基金业务设立的基金份额，为Y类基金份额</w:t>
            </w:r>
          </w:p>
        </w:tc>
      </w:tr>
      <w:tr w14:paraId="249E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320F8765">
            <w:pPr>
              <w:spacing w:line="240" w:lineRule="atLeast"/>
              <w:rPr>
                <w:rFonts w:ascii="宋体" w:hAnsi="宋体" w:eastAsia="宋体"/>
                <w:b/>
                <w:szCs w:val="21"/>
              </w:rPr>
            </w:pPr>
            <w:r>
              <w:rPr>
                <w:rFonts w:hint="eastAsia" w:ascii="宋体" w:hAnsi="宋体" w:eastAsia="宋体"/>
                <w:b/>
                <w:szCs w:val="21"/>
              </w:rPr>
              <w:t>第三部分</w:t>
            </w:r>
            <w:r>
              <w:rPr>
                <w:rFonts w:ascii="宋体" w:hAnsi="宋体" w:eastAsia="宋体"/>
                <w:b/>
                <w:szCs w:val="21"/>
              </w:rPr>
              <w:t xml:space="preserve"> 基金的基本情况</w:t>
            </w:r>
          </w:p>
        </w:tc>
        <w:tc>
          <w:tcPr>
            <w:tcW w:w="6096" w:type="dxa"/>
          </w:tcPr>
          <w:p w14:paraId="076481E4">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八、基金份额类别</w:t>
            </w:r>
          </w:p>
          <w:p w14:paraId="704DA36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根据认购/申购费用、销售服务费收取方式的不同，将基金份额分为不同的类别。在投资人认购/申购时收取认购/申购费用，且不从本类别基金资产中计提销售服务费的，称为A类基金份额；在投资人认购/申购时不收取认购/申购费用，并从本类别基金资产中计提销售服务费的，称为C类基金份额。</w:t>
            </w:r>
          </w:p>
          <w:p w14:paraId="4593A123">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本基金A类基金份额和C类基金份额分别设置基金代码。由于基金费用的不同，本基金A类基金份额和C类基金份额将分别计算基金份额净值并单独公告。投资者可自行选择认购/申购的基金份额类别。本基金不同基金份额类别之间不得互相转换。</w:t>
            </w:r>
          </w:p>
        </w:tc>
        <w:tc>
          <w:tcPr>
            <w:tcW w:w="6095" w:type="dxa"/>
          </w:tcPr>
          <w:p w14:paraId="2E6AA51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八、基金份额类别</w:t>
            </w:r>
          </w:p>
          <w:p w14:paraId="0AA4CAC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本基金将基金份额分为不同的类别。非针对个人养老金投资基金业务设立的基金份额，分为A类基金份额和C类基金份额；针对个人养老金投资基金业务设立的基金份额，为Y类基金份额。</w:t>
            </w:r>
          </w:p>
          <w:p w14:paraId="6A4C2486">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非针对个人养老金投资基金业务设立的基金份额，根据认购/申购费用、销售服务费收取方式的不同，将基金份额分为不同的类别。在投资人认购/申购时收取认购/申购费用，且不从本类别基金资产中计提销售服务费的，称为A类基金份额；在投资人认购/申购时不收取认购/申购费用，并从本类别基金资产中计提销售服务费的，称为C类基金份额。</w:t>
            </w:r>
          </w:p>
          <w:p w14:paraId="42C0134A">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本基金各类基金份额分别设置基金代码。由于基金费用的不同，本基金各类基金份额将分别计算基金份额净值并单独公告。投资者可自行选择认购/申购的基金份额类别。本基金不同基金份额类别之间的转换规定请见招募说明书或相关公告。</w:t>
            </w:r>
          </w:p>
        </w:tc>
      </w:tr>
      <w:tr w14:paraId="3713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4D17399D">
            <w:pPr>
              <w:spacing w:line="240" w:lineRule="atLeast"/>
              <w:rPr>
                <w:rFonts w:ascii="宋体" w:hAnsi="宋体" w:eastAsia="宋体"/>
                <w:b/>
                <w:szCs w:val="21"/>
              </w:rPr>
            </w:pPr>
            <w:r>
              <w:rPr>
                <w:rFonts w:hint="eastAsia" w:ascii="宋体" w:hAnsi="宋体" w:eastAsia="宋体"/>
                <w:b/>
                <w:szCs w:val="21"/>
              </w:rPr>
              <w:t>第六部分</w:t>
            </w:r>
            <w:r>
              <w:rPr>
                <w:rFonts w:ascii="宋体" w:hAnsi="宋体" w:eastAsia="宋体"/>
                <w:b/>
                <w:szCs w:val="21"/>
              </w:rPr>
              <w:t xml:space="preserve"> 基金份额的申购与赎回</w:t>
            </w:r>
          </w:p>
        </w:tc>
        <w:tc>
          <w:tcPr>
            <w:tcW w:w="6096" w:type="dxa"/>
          </w:tcPr>
          <w:p w14:paraId="72086CCA">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六、申购和赎回的价格、费用及其用途</w:t>
            </w:r>
          </w:p>
          <w:p w14:paraId="4A0D1E2F">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1、本基金基金份额分为A类和C类基金份额。投资人申购A类基金份额在申购时支付申购费用，且不从该类别基金资产中计提销售服务费；申购C类基金份额不支付申购费用，并从该类别基金资产中计提销售服务费。</w:t>
            </w:r>
          </w:p>
          <w:p w14:paraId="2F7712E0">
            <w:pPr>
              <w:spacing w:line="240" w:lineRule="atLeast"/>
              <w:rPr>
                <w:rFonts w:hint="eastAsia" w:ascii="Times New Roman" w:hAnsi="Times New Roman" w:eastAsia="宋体" w:cs="Times New Roman"/>
                <w:bCs/>
                <w:szCs w:val="21"/>
              </w:rPr>
            </w:pPr>
          </w:p>
          <w:p w14:paraId="06E9DA38">
            <w:pPr>
              <w:spacing w:line="240" w:lineRule="atLeast"/>
              <w:rPr>
                <w:rFonts w:hint="eastAsia" w:ascii="Times New Roman" w:hAnsi="Times New Roman" w:eastAsia="宋体" w:cs="Times New Roman"/>
                <w:bCs/>
                <w:szCs w:val="21"/>
              </w:rPr>
            </w:pPr>
          </w:p>
          <w:p w14:paraId="3055D23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本基金A类基金份额和C类基金份额的基金份额净值的计算，保留到小数点后4位，小数点后第5位四舍五入，由此产生的收益或损失由基金财产承担。T日的基金份额净值在所投资基金披露净值或万份收益当日（法定节假日顺延至第一个交易日）计算，并在T+2日内披露本基金T日的各类基金份额净值和基金份额累计净值。遇特殊情况，经履行适当程序，可以适当延迟计算或公告。</w:t>
            </w:r>
          </w:p>
          <w:p w14:paraId="25A354F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3、申购份额的计算及余额的处理方式：本基金申购份额的计算及余额的处理方式详见《招募说明书》。本基金A类基金份额的申购费率由基金管理人决定，并在招募说明书及基金产品资料概要中列示。申购A类基金份额或C类基金份额的有效份额为净申购金额除以当日该类基金份额的基金份额净值，有效份额单位为份。</w:t>
            </w:r>
          </w:p>
          <w:p w14:paraId="15091DA7">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4、赎回金额的计算及处理方式：本基金赎回金额的计算及余额的处理方式详见《招募说明书》。本基金A类基金份额和C类基金份额的赎回费率由基金管理人决定，并在招募说明书及基金产品资料概要中列示。赎回金额为按实际确认的A类基金份额和C类基金份额的有效赎回份额乘以当日该类基金份额的基金份额净值并扣除相应的费用，赎回金额单位为元。</w:t>
            </w:r>
          </w:p>
          <w:p w14:paraId="038E4E72">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5、本基金A类基金份额的申购费用由申购A类基金份额的投资人承担，不列入基金财产。</w:t>
            </w:r>
          </w:p>
          <w:p w14:paraId="5F9B9776">
            <w:pPr>
              <w:spacing w:line="240" w:lineRule="atLeast"/>
              <w:rPr>
                <w:rFonts w:hint="eastAsia" w:ascii="Times New Roman" w:hAnsi="Times New Roman" w:eastAsia="宋体" w:cs="Times New Roman"/>
                <w:bCs/>
                <w:szCs w:val="21"/>
              </w:rPr>
            </w:pPr>
          </w:p>
          <w:p w14:paraId="4E0DC806">
            <w:pPr>
              <w:numPr>
                <w:ilvl w:val="0"/>
                <w:numId w:val="1"/>
              </w:num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A类基金份额和C类基金份额的赎回费用由赎回该类基金份额的基金份额持有人承担，在基金份额持有人赎回基金份额时收取。各类基金份额的赎回费用归入基金财产的比例依照相关法律法规设定，具体见招募说明书的规定，未归入基金财产的部分用于支付登记费和其他必要的手续费。</w:t>
            </w:r>
          </w:p>
          <w:p w14:paraId="24B09C27">
            <w:pPr>
              <w:numPr>
                <w:ilvl w:val="0"/>
                <w:numId w:val="0"/>
              </w:num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7、本基金的申购费率、申购份额具体的计算方法、赎回费率、赎回金额具体的计算方法和收费方式由基金管理人根据基金合同的规定确定，并在招募说明书中列示。基金管理人可以在基金合同约定的范围内调整费率或收费方式，并最迟应于新的费率或收费方式实施日前依照《信息披露办法》的有关规定在规定媒介上公告。</w:t>
            </w:r>
          </w:p>
        </w:tc>
        <w:tc>
          <w:tcPr>
            <w:tcW w:w="6095" w:type="dxa"/>
          </w:tcPr>
          <w:p w14:paraId="6BF24B41">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六、申购和赎回的价格、费用及其用途</w:t>
            </w:r>
          </w:p>
          <w:p w14:paraId="4977CFB6">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1、本基金基金份额分为A类基金份额、C类基金份额和Y类基金份额。投资人申购A类基金份额和Y类基金份额在申购时支付申购费用，且不从该类别基金资产中计提销售服务费（其中，对于投资人通过直销机构申购Y类基金份额时不支付申购费用）；申购C类基金份额不支付申购费用，并从该类别基金资产中计提销售服务费。</w:t>
            </w:r>
          </w:p>
          <w:p w14:paraId="048A986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本基金各类基金份额的基金份额净值的计算，保留到小数点后4位，小数点后第5位四舍五入，由此产生的收益或损失由基金财产承担。T日的基金份额净值在所投资基金披露净值或万份收益当日（法定节假日顺延至第一个交易日）计算，并在T+2日内披露本基金T日的各类基金份额净值和基金份额累计净值。遇特殊情况，经履行适当程序，可以适当延迟计算或公告。</w:t>
            </w:r>
          </w:p>
          <w:p w14:paraId="74FB6E5F">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3、申购份额的计算及余额的处理方式：本基金申购份额的计算及余额的处理方式详见《招募说明书》。本基金A类基金份额和Y类基金份额的申购费率由基金管理人决定，并在招募说明书及基金产品资料概要中列示。申购各类基金份额的有效份额为净申购金额除以当日该类基金份额的基金份额净值，有效份额单位为份。</w:t>
            </w:r>
          </w:p>
          <w:p w14:paraId="6C73932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4、赎回金额的计算及处理方式：本基金赎回金额的计算及余额的处理方式详见《招募说明书》。本基金各类基金份额的赎回费率由基金管理人决定，并在招募说明书及基金产品资料概要中列示。赎回金额为按实际确认的各类基金份额的有效赎回份额乘以当日该类基金份额的基金份额净值并扣除相应的费用，赎回金额单位为元。</w:t>
            </w:r>
          </w:p>
          <w:p w14:paraId="444494D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5、本基金A类基金份额和Y类基金份额的申购费用由申购该类基金份额的投资人承担（其中，对于投资人通过直销机构申购Y类基金份额时不支付申购费用），不列入基金财产。</w:t>
            </w:r>
          </w:p>
          <w:p w14:paraId="336D7679">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6、本基金各类基金份额的赎回费用由赎回该类基金份额的基金份额持有人承担，在基金份额持有人赎回基金份额时收取。各类基金份额的赎回费用归入基金财产的比例依照相关法律法规设定，具体见招募说明书的规定，未归入基金财产的部分用于支付登记费和其他必要的手续费。</w:t>
            </w:r>
          </w:p>
          <w:p w14:paraId="0AD5558F">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7、本基金的申购费率、申购份额具体的计算方法、赎回费率、赎回金额具体的计算方法和收费方式由基金管理人根据基金合同的规定确定，并在招募说明书或相关公告中列示。基金管理人可以在基金合同约定的范围内调整费率或收费方式，并最迟应于新的费率或收费方式实施日前依照《信息披露办法》的有关规定在规定媒介上公告。</w:t>
            </w:r>
          </w:p>
        </w:tc>
      </w:tr>
      <w:tr w14:paraId="1BCD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6C88F224">
            <w:pPr>
              <w:spacing w:line="240" w:lineRule="atLeast"/>
              <w:rPr>
                <w:rFonts w:ascii="宋体" w:hAnsi="宋体" w:eastAsia="宋体"/>
                <w:b/>
                <w:szCs w:val="21"/>
              </w:rPr>
            </w:pPr>
            <w:r>
              <w:rPr>
                <w:rFonts w:hint="eastAsia" w:ascii="宋体" w:hAnsi="宋体" w:eastAsia="宋体"/>
                <w:b/>
                <w:szCs w:val="21"/>
              </w:rPr>
              <w:t>第六部分</w:t>
            </w:r>
            <w:r>
              <w:rPr>
                <w:rFonts w:ascii="宋体" w:hAnsi="宋体" w:eastAsia="宋体"/>
                <w:b/>
                <w:szCs w:val="21"/>
              </w:rPr>
              <w:t xml:space="preserve"> 基金份额的申购与赎回</w:t>
            </w:r>
          </w:p>
        </w:tc>
        <w:tc>
          <w:tcPr>
            <w:tcW w:w="6096" w:type="dxa"/>
          </w:tcPr>
          <w:p w14:paraId="28CE7032">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九、巨额赎回的情形及处理方式</w:t>
            </w:r>
          </w:p>
          <w:p w14:paraId="7D2AE647">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2、巨额赎回的处理方式</w:t>
            </w:r>
          </w:p>
          <w:p w14:paraId="4E388E6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14:paraId="019264F4">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十、暂停申购或赎回的公告和重新开放申购或赎回的公告</w:t>
            </w:r>
          </w:p>
          <w:p w14:paraId="6C98EC61">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2、如发生暂停的时间为1日，基金管理人应于重新开放日，在规定媒介上刊登基金重新开放申购或赎回公告，并公布最近1个开放日</w:t>
            </w:r>
            <w:r>
              <w:rPr>
                <w:rFonts w:hint="eastAsia" w:ascii="Times New Roman" w:hAnsi="Times New Roman" w:eastAsia="宋体" w:cs="Times New Roman"/>
                <w:bCs/>
                <w:szCs w:val="21"/>
                <w:lang w:val="en-US" w:eastAsia="zh-CN"/>
              </w:rPr>
              <w:t>的</w:t>
            </w:r>
            <w:r>
              <w:rPr>
                <w:rFonts w:hint="eastAsia" w:ascii="Times New Roman" w:hAnsi="Times New Roman" w:eastAsia="宋体" w:cs="Times New Roman"/>
                <w:bCs/>
                <w:szCs w:val="21"/>
              </w:rPr>
              <w:t>各类基金份额净值。</w:t>
            </w:r>
          </w:p>
        </w:tc>
        <w:tc>
          <w:tcPr>
            <w:tcW w:w="6095" w:type="dxa"/>
          </w:tcPr>
          <w:p w14:paraId="127A1EB4">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九、巨额赎回的情形及处理方式</w:t>
            </w:r>
          </w:p>
          <w:p w14:paraId="3EC52E3D">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2、巨额赎回的处理方式</w:t>
            </w:r>
          </w:p>
          <w:p w14:paraId="3F26764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14:paraId="44E6B3FB">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十、暂停申购或赎回的公告和重新开放申购或赎回的公告</w:t>
            </w:r>
          </w:p>
          <w:p w14:paraId="7CEA1D93">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2、如发生暂停的时间为1日，基金管理人应于重新开放日，在规定媒介上刊登基金重新开放申购或赎回公告，并公布最近1个开放日各类基金份额的基金份额净值。</w:t>
            </w:r>
          </w:p>
        </w:tc>
      </w:tr>
      <w:tr w14:paraId="16E0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22E8651A">
            <w:pPr>
              <w:spacing w:line="240" w:lineRule="atLeast"/>
              <w:rPr>
                <w:rFonts w:ascii="宋体" w:hAnsi="宋体" w:eastAsia="宋体"/>
                <w:b/>
                <w:szCs w:val="21"/>
              </w:rPr>
            </w:pPr>
            <w:r>
              <w:rPr>
                <w:rFonts w:hint="eastAsia" w:ascii="宋体" w:hAnsi="宋体" w:eastAsia="宋体"/>
                <w:b/>
                <w:szCs w:val="21"/>
              </w:rPr>
              <w:t>第六部分</w:t>
            </w:r>
            <w:r>
              <w:rPr>
                <w:rFonts w:ascii="宋体" w:hAnsi="宋体" w:eastAsia="宋体"/>
                <w:b/>
                <w:szCs w:val="21"/>
              </w:rPr>
              <w:t xml:space="preserve"> 基金份额的申购与赎回</w:t>
            </w:r>
          </w:p>
        </w:tc>
        <w:tc>
          <w:tcPr>
            <w:tcW w:w="6096" w:type="dxa"/>
          </w:tcPr>
          <w:p w14:paraId="64AE01BC">
            <w:pPr>
              <w:rPr>
                <w:rFonts w:ascii="Times New Roman" w:hAnsi="Times New Roman" w:eastAsia="宋体" w:cs="Times New Roman"/>
                <w:bCs/>
                <w:szCs w:val="21"/>
              </w:rPr>
            </w:pPr>
            <w:r>
              <w:rPr>
                <w:rFonts w:ascii="Times New Roman" w:hAnsi="Times New Roman" w:eastAsia="宋体" w:cs="Times New Roman"/>
                <w:bCs/>
                <w:szCs w:val="21"/>
              </w:rPr>
              <w:t>十二、基金的非交易过户</w:t>
            </w:r>
          </w:p>
          <w:p w14:paraId="47AA6305">
            <w:pPr>
              <w:spacing w:line="240" w:lineRule="atLeast"/>
              <w:rPr>
                <w:rFonts w:ascii="Times New Roman" w:hAnsi="Times New Roman" w:eastAsia="宋体" w:cs="Times New Roman"/>
                <w:bCs/>
                <w:szCs w:val="21"/>
              </w:rPr>
            </w:pPr>
          </w:p>
        </w:tc>
        <w:tc>
          <w:tcPr>
            <w:tcW w:w="6095" w:type="dxa"/>
          </w:tcPr>
          <w:p w14:paraId="66C90E65">
            <w:pPr>
              <w:rPr>
                <w:rFonts w:ascii="Times New Roman" w:hAnsi="Times New Roman" w:eastAsia="宋体" w:cs="Times New Roman"/>
                <w:bCs/>
                <w:szCs w:val="21"/>
              </w:rPr>
            </w:pPr>
            <w:r>
              <w:rPr>
                <w:rFonts w:ascii="Times New Roman" w:hAnsi="Times New Roman" w:eastAsia="宋体" w:cs="Times New Roman"/>
                <w:bCs/>
                <w:szCs w:val="21"/>
              </w:rPr>
              <w:t>十二、基金的非交易过户</w:t>
            </w:r>
          </w:p>
          <w:p w14:paraId="5CF799C4">
            <w:pPr>
              <w:rPr>
                <w:rFonts w:ascii="Times New Roman" w:hAnsi="Times New Roman" w:eastAsia="宋体" w:cs="Times New Roman"/>
                <w:bCs/>
                <w:szCs w:val="21"/>
              </w:rPr>
            </w:pPr>
            <w:r>
              <w:rPr>
                <w:rFonts w:hint="eastAsia" w:ascii="Times New Roman" w:hAnsi="Times New Roman" w:eastAsia="宋体" w:cs="Times New Roman"/>
                <w:bCs/>
                <w:szCs w:val="21"/>
              </w:rPr>
              <w:t>法律法规对Y类基金份额的继承等事项另有规定的，按法律法规的规定执行。</w:t>
            </w:r>
          </w:p>
        </w:tc>
      </w:tr>
      <w:tr w14:paraId="7CB6C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14336543">
            <w:pPr>
              <w:spacing w:line="240" w:lineRule="atLeast"/>
              <w:rPr>
                <w:rFonts w:hint="eastAsia" w:ascii="宋体" w:hAnsi="宋体" w:eastAsia="宋体"/>
                <w:b/>
                <w:szCs w:val="21"/>
              </w:rPr>
            </w:pPr>
            <w:r>
              <w:rPr>
                <w:rFonts w:hint="eastAsia" w:ascii="宋体" w:hAnsi="宋体" w:eastAsia="宋体"/>
                <w:b/>
                <w:szCs w:val="21"/>
              </w:rPr>
              <w:t>第八部分  基金份额持有人大会</w:t>
            </w:r>
          </w:p>
        </w:tc>
        <w:tc>
          <w:tcPr>
            <w:tcW w:w="6096" w:type="dxa"/>
          </w:tcPr>
          <w:p w14:paraId="7782B5B5">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一、召开事由</w:t>
            </w:r>
          </w:p>
          <w:p w14:paraId="1DD2C4D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2、在法律法规规定和《基金合同》约定的范围内且对基金份额持有人利益无实质性不利影响的前提下，以下情况可由基金管理人和基金托管人协商后修改，不需召开基金份额持有人大会：</w:t>
            </w:r>
          </w:p>
          <w:p w14:paraId="7E65331F">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（7）在符合法律法规及本基金合同规定、并且对基金份额持有人利益无实质不利影响的前提下，调整本基金份额类别的设置；</w:t>
            </w:r>
          </w:p>
        </w:tc>
        <w:tc>
          <w:tcPr>
            <w:tcW w:w="6095" w:type="dxa"/>
          </w:tcPr>
          <w:p w14:paraId="31D0DB96">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一、召开事由</w:t>
            </w:r>
          </w:p>
          <w:p w14:paraId="6FAA3C8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2、在法律法规规定和《基金合同》约定的范围内且对基金份额持有人利益无实质性不利影响的前提下，以下情况可由基金管理人和基金托管人协商后修改，不需召开基金份额持有人大会：</w:t>
            </w:r>
          </w:p>
          <w:p w14:paraId="569022AB">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（7）在符合法律法规及本基金合同规定、并且对基金份额持有人利益无实质不利影响的前提下，调整本基金份额类别的设置、对基金份额分类办法及规则进行调整；</w:t>
            </w:r>
          </w:p>
        </w:tc>
      </w:tr>
      <w:tr w14:paraId="6055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5B81E4F3">
            <w:pPr>
              <w:spacing w:line="240" w:lineRule="atLeast"/>
              <w:rPr>
                <w:rFonts w:hint="eastAsia" w:ascii="宋体" w:hAnsi="宋体" w:eastAsia="宋体"/>
                <w:b/>
                <w:szCs w:val="21"/>
              </w:rPr>
            </w:pPr>
            <w:r>
              <w:rPr>
                <w:rFonts w:hint="eastAsia" w:ascii="宋体" w:hAnsi="宋体" w:eastAsia="宋体"/>
                <w:b/>
                <w:szCs w:val="21"/>
              </w:rPr>
              <w:t>第十四部分  基金资产估值</w:t>
            </w:r>
          </w:p>
        </w:tc>
        <w:tc>
          <w:tcPr>
            <w:tcW w:w="6096" w:type="dxa"/>
          </w:tcPr>
          <w:p w14:paraId="2481EF0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五、估值程序</w:t>
            </w:r>
          </w:p>
          <w:p w14:paraId="2A648F02">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1、各类基金份额的基金份额净值是按照每个估值日，基金资产净值除以当日该类估值日基金份额的余额数量计算，精确到0.0001元，小数点后第5位四舍五入。基金管理人可以设立大额赎回情形下的净值精度应急调整机制，具体可参见相关公告。国家另有规定的，从其规定。</w:t>
            </w:r>
          </w:p>
          <w:p w14:paraId="0E70B32B">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基金管理人于每个工作日分别计算A类基金份额、C类基金份额的基金资产净值及基金份额净值，并按规定公告。如遇特殊情况，经履行适当程序，可以适当延迟计算或公告。</w:t>
            </w:r>
          </w:p>
        </w:tc>
        <w:tc>
          <w:tcPr>
            <w:tcW w:w="6095" w:type="dxa"/>
          </w:tcPr>
          <w:p w14:paraId="3DC781C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五、估值程序</w:t>
            </w:r>
          </w:p>
          <w:p w14:paraId="395F0C62">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1、各类基金份额的基金份额净值是按照每个估值日，该类基金份额的基金资产净值除以估值日该类基金份额的余额数量计算，精确到0.0001元，小数点后第5位四舍五入。基金管理人可以设立大额赎回情形下的净值精度应急调整机制，具体可参见相关公告。国家另有规定的，从其规定。</w:t>
            </w:r>
          </w:p>
          <w:p w14:paraId="396DECA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基金管理人于每个工作日分别计算各类基金份额的基金资产净值及基金份额净值，并按规定公告。如遇特殊情况，经履行适当程序，可以适当延迟计算或公告。</w:t>
            </w:r>
          </w:p>
        </w:tc>
      </w:tr>
      <w:tr w14:paraId="5936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1026D7B">
            <w:pPr>
              <w:spacing w:line="240" w:lineRule="atLeast"/>
              <w:rPr>
                <w:rFonts w:ascii="宋体" w:hAnsi="宋体" w:eastAsia="宋体"/>
                <w:b/>
                <w:szCs w:val="21"/>
              </w:rPr>
            </w:pPr>
            <w:r>
              <w:rPr>
                <w:rFonts w:hint="eastAsia" w:ascii="宋体" w:hAnsi="宋体" w:eastAsia="宋体"/>
                <w:b/>
                <w:szCs w:val="21"/>
              </w:rPr>
              <w:t>第十五部分</w:t>
            </w:r>
            <w:r>
              <w:rPr>
                <w:rFonts w:ascii="宋体" w:hAnsi="宋体" w:eastAsia="宋体"/>
                <w:b/>
                <w:szCs w:val="21"/>
              </w:rPr>
              <w:t xml:space="preserve"> 基金费用与税收</w:t>
            </w:r>
          </w:p>
        </w:tc>
        <w:tc>
          <w:tcPr>
            <w:tcW w:w="6096" w:type="dxa"/>
          </w:tcPr>
          <w:p w14:paraId="77AD3AFF">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二、基金费用计提方法、计提标准和支付方式</w:t>
            </w:r>
          </w:p>
          <w:p w14:paraId="0184480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1、基金管理人的管理费</w:t>
            </w:r>
          </w:p>
          <w:p w14:paraId="5C52B6E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基金财产中持有的基金管理人自身管理的基金部分不收取管理费。本基金的管理费按前一日基金资产净值扣除基金财产中持有的基金管理人自身管理的基金部分所对应资产后剩余部分（若为负数，则取0）的0.5%年费率计提。管理费的计算方法如下：</w:t>
            </w:r>
          </w:p>
          <w:p w14:paraId="7D614A0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H＝E×0.5%÷当年天数</w:t>
            </w:r>
          </w:p>
          <w:p w14:paraId="37A5474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H为每日应计提的基金管理费</w:t>
            </w:r>
          </w:p>
          <w:p w14:paraId="4EFAD7B2">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E为前一日的基金资产净值扣除基金财产中持有的基金管理人自身管理的基金部分所对应资产后剩余部分，若为负数，则E取0。</w:t>
            </w:r>
          </w:p>
          <w:p w14:paraId="15D65C62">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w:t>
            </w:r>
          </w:p>
          <w:p w14:paraId="46C55596">
            <w:pPr>
              <w:spacing w:line="240" w:lineRule="atLeast"/>
              <w:rPr>
                <w:rFonts w:hint="eastAsia" w:ascii="Times New Roman" w:hAnsi="Times New Roman" w:eastAsia="宋体" w:cs="Times New Roman"/>
                <w:bCs/>
                <w:szCs w:val="21"/>
              </w:rPr>
            </w:pPr>
          </w:p>
          <w:p w14:paraId="4063953B">
            <w:pPr>
              <w:spacing w:line="240" w:lineRule="atLeast"/>
              <w:rPr>
                <w:rFonts w:hint="eastAsia" w:ascii="Times New Roman" w:hAnsi="Times New Roman" w:eastAsia="宋体" w:cs="Times New Roman"/>
                <w:bCs/>
                <w:szCs w:val="21"/>
              </w:rPr>
            </w:pPr>
          </w:p>
          <w:p w14:paraId="4C8EC5E0">
            <w:pPr>
              <w:spacing w:line="240" w:lineRule="atLeast"/>
              <w:rPr>
                <w:rFonts w:hint="eastAsia" w:ascii="Times New Roman" w:hAnsi="Times New Roman" w:eastAsia="宋体" w:cs="Times New Roman"/>
                <w:bCs/>
                <w:szCs w:val="21"/>
              </w:rPr>
            </w:pPr>
          </w:p>
          <w:p w14:paraId="11125C38">
            <w:pPr>
              <w:spacing w:line="240" w:lineRule="atLeast"/>
              <w:rPr>
                <w:rFonts w:hint="eastAsia" w:ascii="Times New Roman" w:hAnsi="Times New Roman" w:eastAsia="宋体" w:cs="Times New Roman"/>
                <w:bCs/>
                <w:szCs w:val="21"/>
              </w:rPr>
            </w:pPr>
          </w:p>
          <w:p w14:paraId="3A680FC4">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2、基金托管人的托管费</w:t>
            </w:r>
          </w:p>
          <w:p w14:paraId="7A8D2C9B">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基金财产中持有的基金托管人自身托管的基金部分不收取托管费。本基金的托管费按前一日基金资产净值扣除基金财产中持有的基金托管人自身托管的基金部分所对应资产后剩余部分（若为负数，则取0）的0.15%的年费率计提。托管费的计算方法如下：</w:t>
            </w:r>
          </w:p>
          <w:p w14:paraId="69F1AA52">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H＝E×0.15%÷当年天数</w:t>
            </w:r>
          </w:p>
          <w:p w14:paraId="2FD960F7">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H为每日应计提的基金托管费</w:t>
            </w:r>
          </w:p>
          <w:p w14:paraId="45A5467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E为前一日的基金资产净值扣除基金财产中持有的基金托管人自身托管的基金部分所对应资产后剩余部分，若为负数，则E取0。</w:t>
            </w:r>
          </w:p>
          <w:p w14:paraId="1A2DB83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w:t>
            </w:r>
          </w:p>
          <w:p w14:paraId="6A87883B">
            <w:pPr>
              <w:spacing w:line="240" w:lineRule="atLeast"/>
              <w:rPr>
                <w:rFonts w:hint="eastAsia" w:ascii="Times New Roman" w:hAnsi="Times New Roman" w:eastAsia="宋体" w:cs="Times New Roman"/>
                <w:bCs/>
                <w:szCs w:val="21"/>
              </w:rPr>
            </w:pPr>
          </w:p>
          <w:p w14:paraId="34820DA4">
            <w:pPr>
              <w:spacing w:line="240" w:lineRule="atLeast"/>
              <w:rPr>
                <w:rFonts w:hint="eastAsia" w:ascii="Times New Roman" w:hAnsi="Times New Roman" w:eastAsia="宋体" w:cs="Times New Roman"/>
                <w:bCs/>
                <w:szCs w:val="21"/>
              </w:rPr>
            </w:pPr>
          </w:p>
          <w:p w14:paraId="1E2D074C">
            <w:pPr>
              <w:spacing w:line="240" w:lineRule="atLeast"/>
              <w:rPr>
                <w:rFonts w:hint="eastAsia" w:ascii="Times New Roman" w:hAnsi="Times New Roman" w:eastAsia="宋体" w:cs="Times New Roman"/>
                <w:bCs/>
                <w:szCs w:val="21"/>
              </w:rPr>
            </w:pPr>
          </w:p>
          <w:p w14:paraId="08A400AD">
            <w:pPr>
              <w:spacing w:line="240" w:lineRule="atLeast"/>
              <w:rPr>
                <w:rFonts w:hint="eastAsia" w:ascii="Times New Roman" w:hAnsi="Times New Roman" w:eastAsia="宋体" w:cs="Times New Roman"/>
                <w:bCs/>
                <w:szCs w:val="21"/>
              </w:rPr>
            </w:pPr>
          </w:p>
          <w:p w14:paraId="081F9E9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3、C类基金份额的销售服务费</w:t>
            </w:r>
          </w:p>
          <w:p w14:paraId="51B4C6DE">
            <w:pPr>
              <w:spacing w:line="240" w:lineRule="atLeast"/>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rPr>
              <w:t>本基金A类基金份额不收取销售服务费，C类基金份额的销售服务费按前一日C类基金资产净值的0.4%年费率计提。</w:t>
            </w:r>
            <w:r>
              <w:rPr>
                <w:rFonts w:hint="eastAsia" w:ascii="Times New Roman" w:hAnsi="Times New Roman" w:eastAsia="宋体" w:cs="Times New Roman"/>
                <w:bCs/>
                <w:szCs w:val="21"/>
                <w:lang w:eastAsia="zh-CN"/>
              </w:rPr>
              <w:t>……</w:t>
            </w:r>
          </w:p>
          <w:p w14:paraId="49616821">
            <w:pPr>
              <w:spacing w:line="240" w:lineRule="atLeast"/>
              <w:rPr>
                <w:rFonts w:hint="eastAsia" w:ascii="Times New Roman" w:hAnsi="Times New Roman" w:eastAsia="宋体" w:cs="Times New Roman"/>
                <w:bCs/>
                <w:szCs w:val="21"/>
              </w:rPr>
            </w:pPr>
          </w:p>
        </w:tc>
        <w:tc>
          <w:tcPr>
            <w:tcW w:w="6095" w:type="dxa"/>
          </w:tcPr>
          <w:p w14:paraId="32C0A339">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二、基金费用计提方法、计提标准和支付方式</w:t>
            </w:r>
          </w:p>
          <w:p w14:paraId="798C1AB1">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1、基金管理人的管理费</w:t>
            </w:r>
          </w:p>
          <w:p w14:paraId="6443B7D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基金财产中持有的基金管理人自身管理的基金部分不收取管理费。本基金各类基金份额按照不同的年费率计提管理费，各类基金份额的管理费按前一日该类基金份额基金资产净值扣除该类基金财产中持有的基金管理人自身管理的基金部分所对应资产后剩余部分（若为负数，则取0）的年管理费率计提。</w:t>
            </w:r>
          </w:p>
          <w:p w14:paraId="3483B3C1">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本基金A类基金份额和C类基金份额的年管理费率为0.5%；本基金Y类基金份额的年管理费率为0.25%。</w:t>
            </w:r>
          </w:p>
          <w:p w14:paraId="78BB488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管理费的计算方法如下：</w:t>
            </w:r>
          </w:p>
          <w:p w14:paraId="42FC44B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H＝E×年管理费率÷当年天数</w:t>
            </w:r>
          </w:p>
          <w:p w14:paraId="70BC59E4">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H为各类基金份额每日应计提的基金管理费</w:t>
            </w:r>
          </w:p>
          <w:p w14:paraId="2A7E63B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E为各类基金份额前一日的该类基金资产净值扣除该类基金财产中持有的基金管理人自身管理的基金部分所对应资产后剩余部分，若为负数，则E取0。</w:t>
            </w:r>
          </w:p>
          <w:p w14:paraId="61CDC989">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w:t>
            </w:r>
          </w:p>
          <w:p w14:paraId="064211C8">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2、基金托管人的托管费</w:t>
            </w:r>
          </w:p>
          <w:p w14:paraId="05210C8D">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基金财产中持有的基金托管人自身托管的基金部分不收取托管费。本基金各类基金份额按照不同的年费率计提托管费，各类基金份额的托管费按前一日该类基金份额基金资产净值扣除该类基金财产中持有的基金托管人自身托管的基金部分所对应资产后剩余部分（若为负数，则取0）的年托管费率计提。</w:t>
            </w:r>
          </w:p>
          <w:p w14:paraId="2D16E0A3">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本基金A类基金份额和C类基金份额的年托管费率为0.15%；本基金Y类基金份额的年托管费率为0.075%。</w:t>
            </w:r>
          </w:p>
          <w:p w14:paraId="2AE69CF9">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托管费的计算方法如下：</w:t>
            </w:r>
          </w:p>
          <w:p w14:paraId="2311792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H＝E×年托管费率÷当年天数</w:t>
            </w:r>
          </w:p>
          <w:p w14:paraId="563B9EB1">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H为各类基金份额每日应计提的基金托管费</w:t>
            </w:r>
          </w:p>
          <w:p w14:paraId="74D8A57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E为各类基金份额前一日的该类基金资产净值扣除该类基金财产中持有的基金托管人自身托管的基金部分所对应资产后剩余部分，若为负数，则E取0。</w:t>
            </w:r>
          </w:p>
          <w:p w14:paraId="1DCB5AE4">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w:t>
            </w:r>
          </w:p>
          <w:p w14:paraId="65681999">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3、C类基金份额的销售服务费</w:t>
            </w:r>
          </w:p>
          <w:p w14:paraId="0FE2DC68">
            <w:pPr>
              <w:spacing w:line="240" w:lineRule="atLeast"/>
              <w:rPr>
                <w:rFonts w:hint="eastAsia" w:ascii="Times New Roman" w:hAnsi="Times New Roman" w:eastAsia="宋体" w:cs="Times New Roman"/>
                <w:bCs/>
                <w:szCs w:val="21"/>
                <w:lang w:eastAsia="zh-CN"/>
              </w:rPr>
            </w:pPr>
            <w:r>
              <w:rPr>
                <w:rFonts w:hint="eastAsia" w:ascii="Times New Roman" w:hAnsi="Times New Roman" w:eastAsia="宋体" w:cs="Times New Roman"/>
                <w:bCs/>
                <w:szCs w:val="21"/>
              </w:rPr>
              <w:t>本基金A类基金份额和Y类基金份额不收取销售服务费，C类基金份额的销售服务费按前一日C类基金资产净值的0.4%年费率计提。</w:t>
            </w:r>
            <w:r>
              <w:rPr>
                <w:rFonts w:hint="eastAsia" w:ascii="Times New Roman" w:hAnsi="Times New Roman" w:eastAsia="宋体" w:cs="Times New Roman"/>
                <w:bCs/>
                <w:szCs w:val="21"/>
                <w:lang w:eastAsia="zh-CN"/>
              </w:rPr>
              <w:t>……</w:t>
            </w:r>
          </w:p>
          <w:p w14:paraId="49295725">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lang w:val="en-US" w:eastAsia="zh-CN"/>
              </w:rPr>
              <w:t>4</w:t>
            </w:r>
            <w:r>
              <w:rPr>
                <w:rFonts w:hint="eastAsia" w:ascii="Times New Roman" w:hAnsi="Times New Roman" w:eastAsia="宋体" w:cs="Times New Roman"/>
                <w:bCs/>
                <w:szCs w:val="21"/>
              </w:rPr>
              <w:t>、本基金Y类基金份额可对基金管理费和基金托管费实施一定的费率优惠，具体优惠请参看招募说明书或相关公告。</w:t>
            </w:r>
          </w:p>
        </w:tc>
      </w:tr>
      <w:tr w14:paraId="63BD3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02987F08">
            <w:pPr>
              <w:spacing w:line="240" w:lineRule="atLeast"/>
              <w:rPr>
                <w:rFonts w:ascii="宋体" w:hAnsi="宋体" w:eastAsia="宋体"/>
                <w:b/>
                <w:szCs w:val="21"/>
              </w:rPr>
            </w:pPr>
            <w:r>
              <w:rPr>
                <w:rFonts w:hint="eastAsia" w:ascii="宋体" w:hAnsi="宋体" w:eastAsia="宋体"/>
                <w:b/>
                <w:szCs w:val="21"/>
              </w:rPr>
              <w:t>第十六部分</w:t>
            </w:r>
            <w:r>
              <w:rPr>
                <w:rFonts w:ascii="宋体" w:hAnsi="宋体" w:eastAsia="宋体"/>
                <w:b/>
                <w:szCs w:val="21"/>
              </w:rPr>
              <w:t xml:space="preserve"> 基金的收益与分配</w:t>
            </w:r>
          </w:p>
        </w:tc>
        <w:tc>
          <w:tcPr>
            <w:tcW w:w="6096" w:type="dxa"/>
          </w:tcPr>
          <w:p w14:paraId="05AC2366">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三、基金收益分配原则</w:t>
            </w:r>
          </w:p>
          <w:p w14:paraId="5A0F4CFB">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2、本基金收益分配方式分两种：现金分红与红利再投资，投资者可选择现金红利或将现金红利自动转为相应类别的基金份额进行再投资；若投资者不选择，本基金默认的收益分配方式是现金分红；</w:t>
            </w:r>
          </w:p>
          <w:p w14:paraId="2FE85686">
            <w:pPr>
              <w:spacing w:line="240" w:lineRule="atLeast"/>
              <w:rPr>
                <w:rFonts w:hint="eastAsia" w:ascii="Times New Roman" w:hAnsi="Times New Roman" w:eastAsia="宋体" w:cs="Times New Roman"/>
                <w:bCs/>
                <w:szCs w:val="21"/>
              </w:rPr>
            </w:pPr>
          </w:p>
          <w:p w14:paraId="27E2A130">
            <w:pPr>
              <w:spacing w:line="240" w:lineRule="atLeast"/>
              <w:rPr>
                <w:rFonts w:hint="eastAsia" w:ascii="Times New Roman" w:hAnsi="Times New Roman" w:eastAsia="宋体" w:cs="Times New Roman"/>
                <w:bCs/>
                <w:szCs w:val="21"/>
              </w:rPr>
            </w:pPr>
          </w:p>
          <w:p w14:paraId="0AD4E5FA">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4、由于本基金A类基金份额不收取销售服务费，C类基金份额收取销售服务费，各基金份额类别对应的可供分配利润将有所不同；本基金同一类别的每份基金份额享有同等分配权；</w:t>
            </w:r>
          </w:p>
        </w:tc>
        <w:tc>
          <w:tcPr>
            <w:tcW w:w="6095" w:type="dxa"/>
          </w:tcPr>
          <w:p w14:paraId="7447F6F0">
            <w:pPr>
              <w:spacing w:line="240" w:lineRule="atLeast"/>
              <w:rPr>
                <w:rFonts w:ascii="Times New Roman" w:hAnsi="Times New Roman" w:eastAsia="宋体" w:cs="Times New Roman"/>
                <w:bCs/>
                <w:szCs w:val="21"/>
              </w:rPr>
            </w:pPr>
            <w:r>
              <w:rPr>
                <w:rFonts w:hint="eastAsia" w:ascii="Times New Roman" w:hAnsi="Times New Roman" w:eastAsia="宋体" w:cs="Times New Roman"/>
                <w:bCs/>
                <w:szCs w:val="21"/>
              </w:rPr>
              <w:t>三、基金收益分配原则</w:t>
            </w:r>
          </w:p>
          <w:p w14:paraId="0B64C3CE">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2、本基金收益分配方式分两种：现金分红与红利再投资，投资者可选择现金红利或将现金红利自动转为相应类别的基金份额进行再投资；若投资者不选择，本基金A类基金份额和C类基金份额默认的收益分配方式是现金分红，Y类基金份额默认的收益分配方式为红利再投资；基金份额持有人可对其持有的各类基金份额分别选择不同的收益分配方式；</w:t>
            </w:r>
          </w:p>
          <w:p w14:paraId="07F33893">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4、由于本基金A类基金份额和Y类基金份额不收取销售服务费，C类基金份额收取销售服务费，各基金份额类别对应的可供分配利润将有所不同；本基金同一类别的每份基金份额享有同等分配权；</w:t>
            </w:r>
          </w:p>
        </w:tc>
      </w:tr>
      <w:tr w14:paraId="1796B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Pr>
          <w:p w14:paraId="3DDA6001">
            <w:pPr>
              <w:spacing w:line="240" w:lineRule="atLeast"/>
              <w:rPr>
                <w:rFonts w:ascii="宋体" w:hAnsi="宋体" w:eastAsia="宋体"/>
                <w:b/>
                <w:szCs w:val="21"/>
              </w:rPr>
            </w:pPr>
            <w:r>
              <w:rPr>
                <w:rFonts w:hint="eastAsia" w:ascii="宋体" w:hAnsi="宋体" w:eastAsia="宋体"/>
                <w:b/>
                <w:szCs w:val="21"/>
              </w:rPr>
              <w:t>第十八部分</w:t>
            </w:r>
            <w:r>
              <w:rPr>
                <w:rFonts w:ascii="宋体" w:hAnsi="宋体" w:eastAsia="宋体"/>
                <w:b/>
                <w:szCs w:val="21"/>
              </w:rPr>
              <w:t xml:space="preserve"> 基金的信息披露</w:t>
            </w:r>
          </w:p>
        </w:tc>
        <w:tc>
          <w:tcPr>
            <w:tcW w:w="6096" w:type="dxa"/>
          </w:tcPr>
          <w:p w14:paraId="738996CE">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五、公开披露的基金信息</w:t>
            </w:r>
          </w:p>
          <w:p w14:paraId="157D4FD2">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（四）基金净值信息</w:t>
            </w:r>
          </w:p>
          <w:p w14:paraId="75DA73A3">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《基金合同》生效后，在开始办理基金份额申购或者赎回前，基金管理人应当至少每周在规定网站分别披露一次A类基金份额和C类基金份额所对应的基金份额净值和基金份额累计净值。</w:t>
            </w:r>
          </w:p>
          <w:p w14:paraId="4B0C5835">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在开始办理基金份额申购或者赎回后，基金管理人应当在不晚于每个开放日后的2个工作日内，通过规定网站、基金销售机构网站或者营业网点，分别披露开放日的A类基金份额和C类基金份额所对应的基金份额净值和基金份额累计净值。</w:t>
            </w:r>
          </w:p>
          <w:p w14:paraId="649CCF36">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基金管理人应当在不晚于半年度和年度最后一日后的2个工作日内，在规定网站披露半年度和年度最后一日A类基金份额和C类基金份额所对应的基金份额净值和基金份额累计净值。</w:t>
            </w:r>
          </w:p>
        </w:tc>
        <w:tc>
          <w:tcPr>
            <w:tcW w:w="6095" w:type="dxa"/>
          </w:tcPr>
          <w:p w14:paraId="11862A6D">
            <w:pPr>
              <w:spacing w:line="240" w:lineRule="atLeast"/>
              <w:rPr>
                <w:rFonts w:ascii="Times New Roman" w:hAnsi="Times New Roman" w:eastAsia="宋体" w:cs="Times New Roman"/>
                <w:bCs/>
                <w:szCs w:val="21"/>
              </w:rPr>
            </w:pPr>
            <w:r>
              <w:rPr>
                <w:rFonts w:ascii="Times New Roman" w:hAnsi="Times New Roman" w:eastAsia="宋体" w:cs="Times New Roman"/>
                <w:bCs/>
                <w:szCs w:val="21"/>
              </w:rPr>
              <w:t>五、公开披露的基金信息</w:t>
            </w:r>
          </w:p>
          <w:p w14:paraId="610177FC">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（四）基金净值信息</w:t>
            </w:r>
          </w:p>
          <w:p w14:paraId="4DF087E0">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《基金合同》生效后，在开始办理基金份额申购或者赎回前，基金管理人应当至少每周在规定网站分别披露一次各类基金份额所对应的基金份额净值和基金份额累计净值。</w:t>
            </w:r>
          </w:p>
          <w:p w14:paraId="2067FCDF">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在开始办理基金份额申购或者赎回后，基金管理人应当在不晚于每个开放日后的2个工作日内，通过规定网站、基金销售机构网站或者营业网点，分别披露开放日的各类基金份额所对应的基金份额净值和基金份额累计净值。</w:t>
            </w:r>
          </w:p>
          <w:p w14:paraId="6C7EC6D8">
            <w:pPr>
              <w:spacing w:line="240" w:lineRule="atLeast"/>
              <w:rPr>
                <w:rFonts w:hint="eastAsia" w:ascii="Times New Roman" w:hAnsi="Times New Roman" w:eastAsia="宋体" w:cs="Times New Roman"/>
                <w:bCs/>
                <w:szCs w:val="21"/>
              </w:rPr>
            </w:pPr>
            <w:r>
              <w:rPr>
                <w:rFonts w:hint="eastAsia" w:ascii="Times New Roman" w:hAnsi="Times New Roman" w:eastAsia="宋体" w:cs="Times New Roman"/>
                <w:bCs/>
                <w:szCs w:val="21"/>
              </w:rPr>
              <w:t>基金管理人应当在不晚于半年度和年度最后一日后的2个工作日内，在规定网站披露半年度和年度最后一日各类基金份额所对应的基金份额净值和基金份额累计净值。</w:t>
            </w:r>
          </w:p>
        </w:tc>
      </w:tr>
      <w:bookmarkEnd w:id="0"/>
    </w:tbl>
    <w:p w14:paraId="7B12DEB0"/>
    <w:p w14:paraId="402584F1">
      <w:pPr>
        <w:widowControl/>
        <w:jc w:val="left"/>
        <w:rPr>
          <w:b/>
        </w:rPr>
      </w:pPr>
      <w:r>
        <w:rPr>
          <w:b/>
        </w:rPr>
        <w:br w:type="page"/>
      </w:r>
    </w:p>
    <w:p w14:paraId="76EEF718">
      <w:pPr>
        <w:jc w:val="center"/>
        <w:rPr>
          <w:rFonts w:ascii="Calibri" w:hAnsi="Calibri" w:eastAsia="宋体" w:cs="Times New Roman"/>
          <w:b/>
        </w:rPr>
      </w:pPr>
      <w:r>
        <w:rPr>
          <w:rFonts w:hint="eastAsia" w:ascii="Calibri" w:hAnsi="Calibri" w:eastAsia="宋体" w:cs="Times New Roman"/>
          <w:b/>
        </w:rPr>
        <w:t>附件</w:t>
      </w:r>
      <w:r>
        <w:rPr>
          <w:rFonts w:ascii="Calibri" w:hAnsi="Calibri" w:eastAsia="宋体" w:cs="Times New Roman"/>
          <w:b/>
        </w:rPr>
        <w:t>2</w:t>
      </w:r>
      <w:r>
        <w:rPr>
          <w:rFonts w:hint="eastAsia" w:ascii="Calibri" w:hAnsi="Calibri" w:eastAsia="宋体" w:cs="Times New Roman"/>
          <w:b/>
        </w:rPr>
        <w:t>：《</w:t>
      </w:r>
      <w:r>
        <w:rPr>
          <w:rFonts w:hint="eastAsia" w:ascii="宋体" w:hAnsi="宋体" w:eastAsia="宋体"/>
          <w:b/>
        </w:rPr>
        <w:t>交银施罗德招享一年持有期混合型基金中基金（FOF）</w:t>
      </w:r>
      <w:r>
        <w:rPr>
          <w:rFonts w:hint="eastAsia" w:ascii="Calibri" w:hAnsi="Calibri" w:eastAsia="宋体" w:cs="Times New Roman"/>
          <w:b/>
        </w:rPr>
        <w:t>托管协议》修订前后对照表</w:t>
      </w:r>
    </w:p>
    <w:p w14:paraId="664E4C07">
      <w:pPr>
        <w:jc w:val="center"/>
        <w:rPr>
          <w:rFonts w:ascii="Calibri" w:hAnsi="Calibri" w:eastAsia="宋体" w:cs="Times New Roman"/>
          <w:b/>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096"/>
        <w:gridCol w:w="6095"/>
      </w:tblGrid>
      <w:tr w14:paraId="6C83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Borders>
              <w:top w:val="single" w:color="auto" w:sz="4" w:space="0"/>
              <w:left w:val="single" w:color="auto" w:sz="4" w:space="0"/>
              <w:bottom w:val="single" w:color="auto" w:sz="4" w:space="0"/>
              <w:right w:val="single" w:color="auto" w:sz="4" w:space="0"/>
            </w:tcBorders>
          </w:tcPr>
          <w:p w14:paraId="47CF4D93">
            <w:pPr>
              <w:spacing w:line="240" w:lineRule="atLeast"/>
              <w:jc w:val="center"/>
              <w:rPr>
                <w:rFonts w:ascii="宋体" w:hAnsi="宋体" w:eastAsia="宋体"/>
                <w:b/>
                <w:szCs w:val="21"/>
              </w:rPr>
            </w:pPr>
            <w:r>
              <w:rPr>
                <w:rFonts w:hint="eastAsia" w:ascii="宋体" w:hAnsi="宋体" w:eastAsia="宋体"/>
                <w:b/>
                <w:szCs w:val="21"/>
              </w:rPr>
              <w:t>章节</w:t>
            </w:r>
          </w:p>
        </w:tc>
        <w:tc>
          <w:tcPr>
            <w:tcW w:w="6096" w:type="dxa"/>
            <w:tcBorders>
              <w:top w:val="single" w:color="auto" w:sz="4" w:space="0"/>
              <w:left w:val="single" w:color="auto" w:sz="4" w:space="0"/>
              <w:bottom w:val="single" w:color="auto" w:sz="4" w:space="0"/>
              <w:right w:val="single" w:color="auto" w:sz="4" w:space="0"/>
            </w:tcBorders>
          </w:tcPr>
          <w:p w14:paraId="7A5CABFF">
            <w:pPr>
              <w:spacing w:line="240" w:lineRule="atLeast"/>
              <w:jc w:val="center"/>
              <w:rPr>
                <w:rFonts w:ascii="宋体" w:hAnsi="宋体" w:eastAsia="宋体"/>
                <w:b/>
                <w:szCs w:val="21"/>
              </w:rPr>
            </w:pPr>
            <w:r>
              <w:rPr>
                <w:rFonts w:ascii="宋体" w:hAnsi="宋体" w:eastAsia="宋体"/>
                <w:b/>
                <w:szCs w:val="21"/>
              </w:rPr>
              <w:t>修订前</w:t>
            </w:r>
          </w:p>
        </w:tc>
        <w:tc>
          <w:tcPr>
            <w:tcW w:w="6095" w:type="dxa"/>
            <w:tcBorders>
              <w:top w:val="single" w:color="auto" w:sz="4" w:space="0"/>
              <w:left w:val="single" w:color="auto" w:sz="4" w:space="0"/>
              <w:bottom w:val="single" w:color="auto" w:sz="4" w:space="0"/>
              <w:right w:val="single" w:color="auto" w:sz="4" w:space="0"/>
            </w:tcBorders>
          </w:tcPr>
          <w:p w14:paraId="1C2B1E3F">
            <w:pPr>
              <w:spacing w:line="240" w:lineRule="atLeast"/>
              <w:jc w:val="center"/>
              <w:rPr>
                <w:rFonts w:ascii="宋体" w:hAnsi="宋体" w:eastAsia="宋体"/>
                <w:b/>
                <w:szCs w:val="21"/>
              </w:rPr>
            </w:pPr>
            <w:r>
              <w:rPr>
                <w:rFonts w:ascii="宋体" w:hAnsi="宋体" w:eastAsia="宋体"/>
                <w:b/>
                <w:szCs w:val="21"/>
              </w:rPr>
              <w:t>修订后</w:t>
            </w:r>
          </w:p>
        </w:tc>
      </w:tr>
      <w:tr w14:paraId="46D5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6" w:type="dxa"/>
            <w:tcBorders>
              <w:top w:val="single" w:color="auto" w:sz="4" w:space="0"/>
              <w:left w:val="single" w:color="auto" w:sz="4" w:space="0"/>
              <w:bottom w:val="single" w:color="auto" w:sz="4" w:space="0"/>
              <w:right w:val="single" w:color="auto" w:sz="4" w:space="0"/>
            </w:tcBorders>
          </w:tcPr>
          <w:p w14:paraId="7F4693C6">
            <w:pPr>
              <w:spacing w:line="240" w:lineRule="atLeast"/>
              <w:rPr>
                <w:rFonts w:hint="eastAsia" w:ascii="宋体" w:hAnsi="宋体" w:eastAsia="宋体"/>
                <w:b/>
                <w:szCs w:val="21"/>
              </w:rPr>
            </w:pPr>
            <w:r>
              <w:rPr>
                <w:rFonts w:hint="eastAsia" w:ascii="宋体" w:hAnsi="宋体" w:eastAsia="宋体"/>
                <w:b/>
                <w:szCs w:val="21"/>
              </w:rPr>
              <w:t>八、基金资产净值计算、估值和会计核算</w:t>
            </w:r>
          </w:p>
        </w:tc>
        <w:tc>
          <w:tcPr>
            <w:tcW w:w="6096" w:type="dxa"/>
            <w:tcBorders>
              <w:top w:val="single" w:color="auto" w:sz="4" w:space="0"/>
              <w:left w:val="single" w:color="auto" w:sz="4" w:space="0"/>
              <w:bottom w:val="single" w:color="auto" w:sz="4" w:space="0"/>
              <w:right w:val="single" w:color="auto" w:sz="4" w:space="0"/>
            </w:tcBorders>
          </w:tcPr>
          <w:p w14:paraId="1762A339">
            <w:pPr>
              <w:spacing w:line="240" w:lineRule="atLeast"/>
            </w:pPr>
            <w:r>
              <w:rPr>
                <w:rFonts w:hint="eastAsia"/>
              </w:rPr>
              <w:t>（一）基金资产净值的计算、复核与完成的时间及程序</w:t>
            </w:r>
          </w:p>
          <w:p w14:paraId="46074DF7">
            <w:pPr>
              <w:spacing w:line="240" w:lineRule="atLeast"/>
              <w:rPr>
                <w:rFonts w:hint="eastAsia"/>
              </w:rPr>
            </w:pPr>
            <w:r>
              <w:rPr>
                <w:rFonts w:hint="eastAsia"/>
              </w:rPr>
              <w:t>1.基金资产净值</w:t>
            </w:r>
          </w:p>
          <w:p w14:paraId="3BE43122">
            <w:pPr>
              <w:spacing w:line="240" w:lineRule="atLeast"/>
              <w:rPr>
                <w:rFonts w:hint="eastAsia"/>
              </w:rPr>
            </w:pPr>
            <w:r>
              <w:rPr>
                <w:rFonts w:hint="eastAsia"/>
              </w:rPr>
              <w:t>各类基金份额的基金份额净值是按照每个估值日，基金资产净值除以当日该类估值日基金份额的余额数量计算，精确到0.0001元，小数点后第5位四舍五入。基金管理人可以设立大额赎回情形下的净值精度应急调整机制，具体可参见相关公告。国家另有规定的，从其规定。</w:t>
            </w:r>
          </w:p>
          <w:p w14:paraId="34D5E4DF">
            <w:pPr>
              <w:spacing w:line="240" w:lineRule="atLeast"/>
              <w:rPr>
                <w:rFonts w:hint="eastAsia"/>
              </w:rPr>
            </w:pPr>
            <w:r>
              <w:rPr>
                <w:rFonts w:hint="eastAsia"/>
              </w:rPr>
              <w:t>基金管理人于每个工作日分别计算</w:t>
            </w:r>
            <w:r>
              <w:rPr>
                <w:rFonts w:hint="eastAsia"/>
                <w:lang w:val="en-US" w:eastAsia="zh-CN"/>
              </w:rPr>
              <w:t>A类基金份额、C类</w:t>
            </w:r>
            <w:r>
              <w:rPr>
                <w:rFonts w:hint="eastAsia"/>
              </w:rPr>
              <w:t>基金份额的基金资产净值及基金份额净值，并按规定公告。如遇特殊情况，经履行适当程序，可以适当延迟计算或公告。基金管理人应每个工作日对基金资产估值。但基金管理人根据法律法规或基金合同的规定暂停估值时除外。</w:t>
            </w:r>
          </w:p>
        </w:tc>
        <w:tc>
          <w:tcPr>
            <w:tcW w:w="6095" w:type="dxa"/>
            <w:tcBorders>
              <w:top w:val="single" w:color="auto" w:sz="4" w:space="0"/>
              <w:left w:val="single" w:color="auto" w:sz="4" w:space="0"/>
              <w:bottom w:val="single" w:color="auto" w:sz="4" w:space="0"/>
              <w:right w:val="single" w:color="auto" w:sz="4" w:space="0"/>
            </w:tcBorders>
          </w:tcPr>
          <w:p w14:paraId="46B3F54B">
            <w:pPr>
              <w:spacing w:line="240" w:lineRule="atLeast"/>
            </w:pPr>
            <w:r>
              <w:rPr>
                <w:rFonts w:hint="eastAsia"/>
              </w:rPr>
              <w:t>（一）基金资产净值的计算、复核与完成的时间及程序</w:t>
            </w:r>
          </w:p>
          <w:p w14:paraId="642AC809">
            <w:pPr>
              <w:spacing w:line="240" w:lineRule="atLeast"/>
              <w:rPr>
                <w:rFonts w:hint="eastAsia"/>
              </w:rPr>
            </w:pPr>
            <w:r>
              <w:rPr>
                <w:rFonts w:hint="eastAsia"/>
              </w:rPr>
              <w:t>1.基金资产净值</w:t>
            </w:r>
          </w:p>
          <w:p w14:paraId="2CAD59E5">
            <w:pPr>
              <w:spacing w:line="240" w:lineRule="atLeast"/>
              <w:rPr>
                <w:rFonts w:hint="eastAsia"/>
              </w:rPr>
            </w:pPr>
            <w:r>
              <w:rPr>
                <w:rFonts w:hint="eastAsia"/>
              </w:rPr>
              <w:t>各类基金份额的基金份额净值是按照每个估值日，该类基金份额的基金资产净值除以估值日该类基金份额的余额数量计算，精确到0.0001元，小数点后第5位四舍五入。基金管理人可以设立大额赎回情形下的净值精度应急调整机制，具体可参见相关公告。国家另有规定的，从其规定。</w:t>
            </w:r>
          </w:p>
          <w:p w14:paraId="717AF608">
            <w:pPr>
              <w:spacing w:line="240" w:lineRule="atLeast"/>
              <w:rPr>
                <w:rFonts w:hint="eastAsia"/>
              </w:rPr>
            </w:pPr>
            <w:r>
              <w:rPr>
                <w:rFonts w:hint="eastAsia"/>
              </w:rPr>
              <w:t>基金管理人于每个工作日分别计算各类基金份额的基金资产净值及基金份额净值，并按规定公告。如遇特殊情况，经履行适当程序，可以适当延迟计算或公告。基金管理人应每个工作日对基金资产估值。但基金管理人根据法律法规或基金合同的规定暂停估值时除外。</w:t>
            </w:r>
          </w:p>
        </w:tc>
      </w:tr>
    </w:tbl>
    <w:p w14:paraId="4A34FE09"/>
    <w:p w14:paraId="7BE62C8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C65510"/>
    <w:multiLevelType w:val="singleLevel"/>
    <w:tmpl w:val="EBC65510"/>
    <w:lvl w:ilvl="0" w:tentative="0">
      <w:start w:val="6"/>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746"/>
    <w:rsid w:val="000031F1"/>
    <w:rsid w:val="000036BE"/>
    <w:rsid w:val="000048BA"/>
    <w:rsid w:val="00004F62"/>
    <w:rsid w:val="000061A2"/>
    <w:rsid w:val="00006698"/>
    <w:rsid w:val="000068D4"/>
    <w:rsid w:val="00006C7D"/>
    <w:rsid w:val="00011172"/>
    <w:rsid w:val="00012BFD"/>
    <w:rsid w:val="00014DEB"/>
    <w:rsid w:val="000167C3"/>
    <w:rsid w:val="000174CC"/>
    <w:rsid w:val="000237E1"/>
    <w:rsid w:val="000277DA"/>
    <w:rsid w:val="00031078"/>
    <w:rsid w:val="00034218"/>
    <w:rsid w:val="00034C94"/>
    <w:rsid w:val="000458A4"/>
    <w:rsid w:val="00046CBF"/>
    <w:rsid w:val="000500C7"/>
    <w:rsid w:val="00051B08"/>
    <w:rsid w:val="00055C6B"/>
    <w:rsid w:val="00055F04"/>
    <w:rsid w:val="00056C1A"/>
    <w:rsid w:val="0006140E"/>
    <w:rsid w:val="00061F8F"/>
    <w:rsid w:val="00063809"/>
    <w:rsid w:val="00064928"/>
    <w:rsid w:val="000663FE"/>
    <w:rsid w:val="0006726F"/>
    <w:rsid w:val="000708CC"/>
    <w:rsid w:val="00071A7D"/>
    <w:rsid w:val="00072602"/>
    <w:rsid w:val="00074216"/>
    <w:rsid w:val="000748A9"/>
    <w:rsid w:val="000764D0"/>
    <w:rsid w:val="00080B76"/>
    <w:rsid w:val="00083D17"/>
    <w:rsid w:val="00085F92"/>
    <w:rsid w:val="00086110"/>
    <w:rsid w:val="000873ED"/>
    <w:rsid w:val="00090BA1"/>
    <w:rsid w:val="000910C2"/>
    <w:rsid w:val="00097C70"/>
    <w:rsid w:val="000A318B"/>
    <w:rsid w:val="000A3905"/>
    <w:rsid w:val="000A523B"/>
    <w:rsid w:val="000A540B"/>
    <w:rsid w:val="000A72F8"/>
    <w:rsid w:val="000B30E8"/>
    <w:rsid w:val="000B4BB5"/>
    <w:rsid w:val="000C215A"/>
    <w:rsid w:val="000C453D"/>
    <w:rsid w:val="000D00C7"/>
    <w:rsid w:val="000D0917"/>
    <w:rsid w:val="000D2663"/>
    <w:rsid w:val="000D284F"/>
    <w:rsid w:val="000D4906"/>
    <w:rsid w:val="000D6C64"/>
    <w:rsid w:val="000D7169"/>
    <w:rsid w:val="000D77E7"/>
    <w:rsid w:val="000D7BDD"/>
    <w:rsid w:val="000E0655"/>
    <w:rsid w:val="000E7168"/>
    <w:rsid w:val="000E7512"/>
    <w:rsid w:val="000E77C6"/>
    <w:rsid w:val="000F2F29"/>
    <w:rsid w:val="000F3CB6"/>
    <w:rsid w:val="000F5D4F"/>
    <w:rsid w:val="000F6BDA"/>
    <w:rsid w:val="000F7AFD"/>
    <w:rsid w:val="0010282D"/>
    <w:rsid w:val="0010367D"/>
    <w:rsid w:val="00104082"/>
    <w:rsid w:val="00105F43"/>
    <w:rsid w:val="00106181"/>
    <w:rsid w:val="001076F5"/>
    <w:rsid w:val="00110B9E"/>
    <w:rsid w:val="001126EF"/>
    <w:rsid w:val="00115E7F"/>
    <w:rsid w:val="00121B59"/>
    <w:rsid w:val="00123111"/>
    <w:rsid w:val="00124702"/>
    <w:rsid w:val="00124E75"/>
    <w:rsid w:val="001278EA"/>
    <w:rsid w:val="0013040F"/>
    <w:rsid w:val="00132E51"/>
    <w:rsid w:val="00134359"/>
    <w:rsid w:val="001346B4"/>
    <w:rsid w:val="00134CC8"/>
    <w:rsid w:val="00140277"/>
    <w:rsid w:val="001527B0"/>
    <w:rsid w:val="00154213"/>
    <w:rsid w:val="00156835"/>
    <w:rsid w:val="0016143B"/>
    <w:rsid w:val="001618F5"/>
    <w:rsid w:val="001666A1"/>
    <w:rsid w:val="00166D86"/>
    <w:rsid w:val="00167858"/>
    <w:rsid w:val="0017051E"/>
    <w:rsid w:val="0017130B"/>
    <w:rsid w:val="00171CB5"/>
    <w:rsid w:val="00172984"/>
    <w:rsid w:val="00174E2D"/>
    <w:rsid w:val="001754A8"/>
    <w:rsid w:val="00180E03"/>
    <w:rsid w:val="00184885"/>
    <w:rsid w:val="00184B95"/>
    <w:rsid w:val="0018510F"/>
    <w:rsid w:val="0018656D"/>
    <w:rsid w:val="00191075"/>
    <w:rsid w:val="00194AF7"/>
    <w:rsid w:val="00195209"/>
    <w:rsid w:val="001A017E"/>
    <w:rsid w:val="001A083A"/>
    <w:rsid w:val="001A1AD5"/>
    <w:rsid w:val="001A2373"/>
    <w:rsid w:val="001A3AD0"/>
    <w:rsid w:val="001A46D6"/>
    <w:rsid w:val="001A4E85"/>
    <w:rsid w:val="001A698B"/>
    <w:rsid w:val="001A6E1E"/>
    <w:rsid w:val="001B3BB5"/>
    <w:rsid w:val="001B40BA"/>
    <w:rsid w:val="001B52BD"/>
    <w:rsid w:val="001B54B6"/>
    <w:rsid w:val="001B6C85"/>
    <w:rsid w:val="001B786C"/>
    <w:rsid w:val="001C059F"/>
    <w:rsid w:val="001C2429"/>
    <w:rsid w:val="001C3765"/>
    <w:rsid w:val="001C5444"/>
    <w:rsid w:val="001D083F"/>
    <w:rsid w:val="001D50DC"/>
    <w:rsid w:val="001D5120"/>
    <w:rsid w:val="001D5BEF"/>
    <w:rsid w:val="001D68B5"/>
    <w:rsid w:val="001D6BA1"/>
    <w:rsid w:val="001E116C"/>
    <w:rsid w:val="001E1FE3"/>
    <w:rsid w:val="001E735D"/>
    <w:rsid w:val="001F46A9"/>
    <w:rsid w:val="001F78B4"/>
    <w:rsid w:val="002107DD"/>
    <w:rsid w:val="00215388"/>
    <w:rsid w:val="002226B9"/>
    <w:rsid w:val="00223588"/>
    <w:rsid w:val="002245C5"/>
    <w:rsid w:val="00227080"/>
    <w:rsid w:val="00230266"/>
    <w:rsid w:val="002308FC"/>
    <w:rsid w:val="00236CAB"/>
    <w:rsid w:val="002375A7"/>
    <w:rsid w:val="002401C5"/>
    <w:rsid w:val="00241493"/>
    <w:rsid w:val="00244ADC"/>
    <w:rsid w:val="00245008"/>
    <w:rsid w:val="00246885"/>
    <w:rsid w:val="00255441"/>
    <w:rsid w:val="00257436"/>
    <w:rsid w:val="0025749D"/>
    <w:rsid w:val="00257BC3"/>
    <w:rsid w:val="002611E7"/>
    <w:rsid w:val="00261207"/>
    <w:rsid w:val="00261460"/>
    <w:rsid w:val="0026322C"/>
    <w:rsid w:val="00263B34"/>
    <w:rsid w:val="002646FF"/>
    <w:rsid w:val="00267310"/>
    <w:rsid w:val="002708EF"/>
    <w:rsid w:val="0027106A"/>
    <w:rsid w:val="00273AFA"/>
    <w:rsid w:val="0027731F"/>
    <w:rsid w:val="00280ECD"/>
    <w:rsid w:val="0028233E"/>
    <w:rsid w:val="00290567"/>
    <w:rsid w:val="00292E7A"/>
    <w:rsid w:val="00292E9B"/>
    <w:rsid w:val="00293634"/>
    <w:rsid w:val="00297699"/>
    <w:rsid w:val="002A0074"/>
    <w:rsid w:val="002A1523"/>
    <w:rsid w:val="002A2102"/>
    <w:rsid w:val="002A4080"/>
    <w:rsid w:val="002A422E"/>
    <w:rsid w:val="002A530E"/>
    <w:rsid w:val="002A5FB0"/>
    <w:rsid w:val="002A6F38"/>
    <w:rsid w:val="002A7767"/>
    <w:rsid w:val="002A7A09"/>
    <w:rsid w:val="002B0FEC"/>
    <w:rsid w:val="002B199B"/>
    <w:rsid w:val="002B659D"/>
    <w:rsid w:val="002B7C2A"/>
    <w:rsid w:val="002C0603"/>
    <w:rsid w:val="002C2715"/>
    <w:rsid w:val="002C29FF"/>
    <w:rsid w:val="002C313C"/>
    <w:rsid w:val="002C471C"/>
    <w:rsid w:val="002C5DCD"/>
    <w:rsid w:val="002C680A"/>
    <w:rsid w:val="002D289C"/>
    <w:rsid w:val="002D2A11"/>
    <w:rsid w:val="002D35CA"/>
    <w:rsid w:val="002D3FBA"/>
    <w:rsid w:val="002D4F16"/>
    <w:rsid w:val="002D538B"/>
    <w:rsid w:val="002D5801"/>
    <w:rsid w:val="002D7C99"/>
    <w:rsid w:val="002E490B"/>
    <w:rsid w:val="002E5263"/>
    <w:rsid w:val="002E6C65"/>
    <w:rsid w:val="002F09AC"/>
    <w:rsid w:val="002F1720"/>
    <w:rsid w:val="002F3D0E"/>
    <w:rsid w:val="00300E3E"/>
    <w:rsid w:val="003065A5"/>
    <w:rsid w:val="003068EE"/>
    <w:rsid w:val="00310291"/>
    <w:rsid w:val="0031330E"/>
    <w:rsid w:val="003179B9"/>
    <w:rsid w:val="00320090"/>
    <w:rsid w:val="0032293A"/>
    <w:rsid w:val="0032403D"/>
    <w:rsid w:val="0032437C"/>
    <w:rsid w:val="003248CE"/>
    <w:rsid w:val="0032585B"/>
    <w:rsid w:val="00326D55"/>
    <w:rsid w:val="00333C76"/>
    <w:rsid w:val="00335252"/>
    <w:rsid w:val="00335482"/>
    <w:rsid w:val="00335E45"/>
    <w:rsid w:val="00336362"/>
    <w:rsid w:val="003415CF"/>
    <w:rsid w:val="0034401E"/>
    <w:rsid w:val="0035120B"/>
    <w:rsid w:val="00352F5F"/>
    <w:rsid w:val="00353F18"/>
    <w:rsid w:val="00356D11"/>
    <w:rsid w:val="0035725F"/>
    <w:rsid w:val="00357B02"/>
    <w:rsid w:val="00361A4E"/>
    <w:rsid w:val="00370D0A"/>
    <w:rsid w:val="00371615"/>
    <w:rsid w:val="00374829"/>
    <w:rsid w:val="003755BC"/>
    <w:rsid w:val="00377E18"/>
    <w:rsid w:val="00380DDF"/>
    <w:rsid w:val="00381A31"/>
    <w:rsid w:val="0038243B"/>
    <w:rsid w:val="00385374"/>
    <w:rsid w:val="00387158"/>
    <w:rsid w:val="00387972"/>
    <w:rsid w:val="0039059A"/>
    <w:rsid w:val="003919E2"/>
    <w:rsid w:val="00393F21"/>
    <w:rsid w:val="003A20E8"/>
    <w:rsid w:val="003A3CAD"/>
    <w:rsid w:val="003A74D0"/>
    <w:rsid w:val="003B0AE6"/>
    <w:rsid w:val="003B0F48"/>
    <w:rsid w:val="003B19AF"/>
    <w:rsid w:val="003B4E5B"/>
    <w:rsid w:val="003B558F"/>
    <w:rsid w:val="003B6E28"/>
    <w:rsid w:val="003C5DF2"/>
    <w:rsid w:val="003D08D1"/>
    <w:rsid w:val="003D0ABE"/>
    <w:rsid w:val="003E08D2"/>
    <w:rsid w:val="003F6964"/>
    <w:rsid w:val="004000FD"/>
    <w:rsid w:val="004108F1"/>
    <w:rsid w:val="0041193A"/>
    <w:rsid w:val="004146C4"/>
    <w:rsid w:val="00414E41"/>
    <w:rsid w:val="00414F7B"/>
    <w:rsid w:val="00416BF0"/>
    <w:rsid w:val="00417648"/>
    <w:rsid w:val="0042074B"/>
    <w:rsid w:val="00431E3C"/>
    <w:rsid w:val="0043285A"/>
    <w:rsid w:val="0043382D"/>
    <w:rsid w:val="0043744B"/>
    <w:rsid w:val="00441ADF"/>
    <w:rsid w:val="0044463C"/>
    <w:rsid w:val="00451B05"/>
    <w:rsid w:val="00451B45"/>
    <w:rsid w:val="00455095"/>
    <w:rsid w:val="004557AB"/>
    <w:rsid w:val="00457ADE"/>
    <w:rsid w:val="004621C1"/>
    <w:rsid w:val="0046236D"/>
    <w:rsid w:val="0046799A"/>
    <w:rsid w:val="00472168"/>
    <w:rsid w:val="0047240A"/>
    <w:rsid w:val="004729F6"/>
    <w:rsid w:val="0047420B"/>
    <w:rsid w:val="0047470B"/>
    <w:rsid w:val="0048039C"/>
    <w:rsid w:val="00480A4D"/>
    <w:rsid w:val="00480D08"/>
    <w:rsid w:val="004902E8"/>
    <w:rsid w:val="00490C6D"/>
    <w:rsid w:val="004920EA"/>
    <w:rsid w:val="00495473"/>
    <w:rsid w:val="00496E28"/>
    <w:rsid w:val="004A1FF4"/>
    <w:rsid w:val="004A3EB7"/>
    <w:rsid w:val="004A4649"/>
    <w:rsid w:val="004B134F"/>
    <w:rsid w:val="004B1587"/>
    <w:rsid w:val="004B1C8A"/>
    <w:rsid w:val="004B1FED"/>
    <w:rsid w:val="004B6E26"/>
    <w:rsid w:val="004C25A7"/>
    <w:rsid w:val="004C50D4"/>
    <w:rsid w:val="004D05DD"/>
    <w:rsid w:val="004D11AD"/>
    <w:rsid w:val="004D29BA"/>
    <w:rsid w:val="004D2BB2"/>
    <w:rsid w:val="004D5B8C"/>
    <w:rsid w:val="004D756A"/>
    <w:rsid w:val="004E2AF7"/>
    <w:rsid w:val="004E6EC2"/>
    <w:rsid w:val="004E6F35"/>
    <w:rsid w:val="004F2B6D"/>
    <w:rsid w:val="004F4396"/>
    <w:rsid w:val="004F6469"/>
    <w:rsid w:val="004F6B29"/>
    <w:rsid w:val="00500CC3"/>
    <w:rsid w:val="00506E2C"/>
    <w:rsid w:val="0051110A"/>
    <w:rsid w:val="00511B61"/>
    <w:rsid w:val="0051263C"/>
    <w:rsid w:val="00512939"/>
    <w:rsid w:val="00512D08"/>
    <w:rsid w:val="005139AA"/>
    <w:rsid w:val="00513A96"/>
    <w:rsid w:val="0051696F"/>
    <w:rsid w:val="00521800"/>
    <w:rsid w:val="00521D1E"/>
    <w:rsid w:val="005226A5"/>
    <w:rsid w:val="00523BF6"/>
    <w:rsid w:val="00523E72"/>
    <w:rsid w:val="00523F3D"/>
    <w:rsid w:val="005255D7"/>
    <w:rsid w:val="00526BD0"/>
    <w:rsid w:val="00527244"/>
    <w:rsid w:val="00534D44"/>
    <w:rsid w:val="00551CE4"/>
    <w:rsid w:val="0055229F"/>
    <w:rsid w:val="00552487"/>
    <w:rsid w:val="0055311F"/>
    <w:rsid w:val="00554566"/>
    <w:rsid w:val="0056018C"/>
    <w:rsid w:val="00561449"/>
    <w:rsid w:val="00565CEB"/>
    <w:rsid w:val="005668B8"/>
    <w:rsid w:val="00566B1C"/>
    <w:rsid w:val="005725E9"/>
    <w:rsid w:val="005732D9"/>
    <w:rsid w:val="00576420"/>
    <w:rsid w:val="00576873"/>
    <w:rsid w:val="0057774E"/>
    <w:rsid w:val="0058109C"/>
    <w:rsid w:val="005828E6"/>
    <w:rsid w:val="00583B5E"/>
    <w:rsid w:val="00587071"/>
    <w:rsid w:val="00590980"/>
    <w:rsid w:val="005912CA"/>
    <w:rsid w:val="005926A3"/>
    <w:rsid w:val="00592E50"/>
    <w:rsid w:val="0059395E"/>
    <w:rsid w:val="005A1702"/>
    <w:rsid w:val="005A1A43"/>
    <w:rsid w:val="005A1D7A"/>
    <w:rsid w:val="005A3413"/>
    <w:rsid w:val="005A4570"/>
    <w:rsid w:val="005A7965"/>
    <w:rsid w:val="005B0E95"/>
    <w:rsid w:val="005B5102"/>
    <w:rsid w:val="005B5654"/>
    <w:rsid w:val="005B58C0"/>
    <w:rsid w:val="005B7924"/>
    <w:rsid w:val="005C0094"/>
    <w:rsid w:val="005C34D0"/>
    <w:rsid w:val="005C4CDB"/>
    <w:rsid w:val="005C5998"/>
    <w:rsid w:val="005C6D1D"/>
    <w:rsid w:val="005D1CBA"/>
    <w:rsid w:val="005D2876"/>
    <w:rsid w:val="005D4184"/>
    <w:rsid w:val="005D552A"/>
    <w:rsid w:val="005E41AE"/>
    <w:rsid w:val="005E4A1E"/>
    <w:rsid w:val="005E7151"/>
    <w:rsid w:val="005E7F27"/>
    <w:rsid w:val="005F13D6"/>
    <w:rsid w:val="005F2AF7"/>
    <w:rsid w:val="005F795F"/>
    <w:rsid w:val="0060060C"/>
    <w:rsid w:val="00601163"/>
    <w:rsid w:val="00603A15"/>
    <w:rsid w:val="00607FE6"/>
    <w:rsid w:val="0061186B"/>
    <w:rsid w:val="0061658F"/>
    <w:rsid w:val="00616C53"/>
    <w:rsid w:val="0061797F"/>
    <w:rsid w:val="0062023F"/>
    <w:rsid w:val="00622E1C"/>
    <w:rsid w:val="00624E22"/>
    <w:rsid w:val="00630CF3"/>
    <w:rsid w:val="00631FC4"/>
    <w:rsid w:val="00633677"/>
    <w:rsid w:val="00633908"/>
    <w:rsid w:val="00635225"/>
    <w:rsid w:val="00636A65"/>
    <w:rsid w:val="0063760B"/>
    <w:rsid w:val="006413CB"/>
    <w:rsid w:val="0064199B"/>
    <w:rsid w:val="00641BD9"/>
    <w:rsid w:val="00643583"/>
    <w:rsid w:val="00647C5E"/>
    <w:rsid w:val="00647C76"/>
    <w:rsid w:val="00653BDA"/>
    <w:rsid w:val="0065693F"/>
    <w:rsid w:val="00660E52"/>
    <w:rsid w:val="006627D1"/>
    <w:rsid w:val="00662937"/>
    <w:rsid w:val="00665326"/>
    <w:rsid w:val="006660FD"/>
    <w:rsid w:val="00667F9F"/>
    <w:rsid w:val="006700A4"/>
    <w:rsid w:val="00671D42"/>
    <w:rsid w:val="006737BF"/>
    <w:rsid w:val="00682D1C"/>
    <w:rsid w:val="00683553"/>
    <w:rsid w:val="0068381E"/>
    <w:rsid w:val="00687358"/>
    <w:rsid w:val="006878E4"/>
    <w:rsid w:val="00691024"/>
    <w:rsid w:val="006912CA"/>
    <w:rsid w:val="00691D77"/>
    <w:rsid w:val="00692C89"/>
    <w:rsid w:val="00694B6B"/>
    <w:rsid w:val="00695921"/>
    <w:rsid w:val="00696384"/>
    <w:rsid w:val="00696762"/>
    <w:rsid w:val="00696AC2"/>
    <w:rsid w:val="00697276"/>
    <w:rsid w:val="006A012B"/>
    <w:rsid w:val="006A1BCB"/>
    <w:rsid w:val="006A3271"/>
    <w:rsid w:val="006A3C1D"/>
    <w:rsid w:val="006A416A"/>
    <w:rsid w:val="006A766E"/>
    <w:rsid w:val="006A7BC8"/>
    <w:rsid w:val="006B1633"/>
    <w:rsid w:val="006B429D"/>
    <w:rsid w:val="006B62F0"/>
    <w:rsid w:val="006B7885"/>
    <w:rsid w:val="006C0580"/>
    <w:rsid w:val="006C2149"/>
    <w:rsid w:val="006C2288"/>
    <w:rsid w:val="006C6BB0"/>
    <w:rsid w:val="006D14B3"/>
    <w:rsid w:val="006D5D9E"/>
    <w:rsid w:val="006E38BB"/>
    <w:rsid w:val="006E48C0"/>
    <w:rsid w:val="006E5AB6"/>
    <w:rsid w:val="006E624C"/>
    <w:rsid w:val="006E66BF"/>
    <w:rsid w:val="006F01EE"/>
    <w:rsid w:val="006F32CE"/>
    <w:rsid w:val="006F4573"/>
    <w:rsid w:val="006F6C41"/>
    <w:rsid w:val="006F7123"/>
    <w:rsid w:val="0070069A"/>
    <w:rsid w:val="00703B67"/>
    <w:rsid w:val="007042ED"/>
    <w:rsid w:val="007078F5"/>
    <w:rsid w:val="00712D98"/>
    <w:rsid w:val="00713CC8"/>
    <w:rsid w:val="0071430B"/>
    <w:rsid w:val="00720F64"/>
    <w:rsid w:val="00722154"/>
    <w:rsid w:val="00722AC5"/>
    <w:rsid w:val="00722CA7"/>
    <w:rsid w:val="00723FA5"/>
    <w:rsid w:val="007248C7"/>
    <w:rsid w:val="00724B97"/>
    <w:rsid w:val="0073198B"/>
    <w:rsid w:val="00731FE6"/>
    <w:rsid w:val="00732E9D"/>
    <w:rsid w:val="007339C7"/>
    <w:rsid w:val="007350B3"/>
    <w:rsid w:val="0073563B"/>
    <w:rsid w:val="00735789"/>
    <w:rsid w:val="00737256"/>
    <w:rsid w:val="00737B80"/>
    <w:rsid w:val="00737CA6"/>
    <w:rsid w:val="007426CB"/>
    <w:rsid w:val="00751941"/>
    <w:rsid w:val="007519DB"/>
    <w:rsid w:val="00751E2D"/>
    <w:rsid w:val="00751F60"/>
    <w:rsid w:val="00753FDD"/>
    <w:rsid w:val="00754A1E"/>
    <w:rsid w:val="0076366A"/>
    <w:rsid w:val="0076454E"/>
    <w:rsid w:val="00765E78"/>
    <w:rsid w:val="0076603A"/>
    <w:rsid w:val="00770880"/>
    <w:rsid w:val="00771C26"/>
    <w:rsid w:val="00772AEA"/>
    <w:rsid w:val="007767F0"/>
    <w:rsid w:val="00776E25"/>
    <w:rsid w:val="0078122E"/>
    <w:rsid w:val="007838E3"/>
    <w:rsid w:val="00783A06"/>
    <w:rsid w:val="007847D5"/>
    <w:rsid w:val="00793B59"/>
    <w:rsid w:val="00796E15"/>
    <w:rsid w:val="007A006D"/>
    <w:rsid w:val="007A340D"/>
    <w:rsid w:val="007A3DCA"/>
    <w:rsid w:val="007A57D1"/>
    <w:rsid w:val="007B04CE"/>
    <w:rsid w:val="007B0C76"/>
    <w:rsid w:val="007B0CF8"/>
    <w:rsid w:val="007B138F"/>
    <w:rsid w:val="007B2EE8"/>
    <w:rsid w:val="007B45D6"/>
    <w:rsid w:val="007B70FF"/>
    <w:rsid w:val="007C0822"/>
    <w:rsid w:val="007C0CC2"/>
    <w:rsid w:val="007C234F"/>
    <w:rsid w:val="007C5DC0"/>
    <w:rsid w:val="007C69E0"/>
    <w:rsid w:val="007C7602"/>
    <w:rsid w:val="007C774A"/>
    <w:rsid w:val="007D0CAF"/>
    <w:rsid w:val="007D0EB9"/>
    <w:rsid w:val="007D453D"/>
    <w:rsid w:val="007D481D"/>
    <w:rsid w:val="007E050C"/>
    <w:rsid w:val="007E0BE6"/>
    <w:rsid w:val="007E141D"/>
    <w:rsid w:val="007E1B82"/>
    <w:rsid w:val="007E1DEE"/>
    <w:rsid w:val="007E3956"/>
    <w:rsid w:val="007E5DAC"/>
    <w:rsid w:val="007E6639"/>
    <w:rsid w:val="007F1F2B"/>
    <w:rsid w:val="007F2052"/>
    <w:rsid w:val="007F32D7"/>
    <w:rsid w:val="007F3AB2"/>
    <w:rsid w:val="007F4A23"/>
    <w:rsid w:val="007F60C9"/>
    <w:rsid w:val="0080226F"/>
    <w:rsid w:val="0080559F"/>
    <w:rsid w:val="00810523"/>
    <w:rsid w:val="0081324C"/>
    <w:rsid w:val="00814CDB"/>
    <w:rsid w:val="00822060"/>
    <w:rsid w:val="00823ED8"/>
    <w:rsid w:val="00824350"/>
    <w:rsid w:val="00825504"/>
    <w:rsid w:val="00827F66"/>
    <w:rsid w:val="0083006A"/>
    <w:rsid w:val="00832F32"/>
    <w:rsid w:val="008345DC"/>
    <w:rsid w:val="0084399A"/>
    <w:rsid w:val="00843C9D"/>
    <w:rsid w:val="00847716"/>
    <w:rsid w:val="00852BA3"/>
    <w:rsid w:val="00853791"/>
    <w:rsid w:val="00856C32"/>
    <w:rsid w:val="0086018E"/>
    <w:rsid w:val="0086045F"/>
    <w:rsid w:val="008607C8"/>
    <w:rsid w:val="00864C94"/>
    <w:rsid w:val="0087001C"/>
    <w:rsid w:val="00870404"/>
    <w:rsid w:val="008704EE"/>
    <w:rsid w:val="008756B2"/>
    <w:rsid w:val="00876021"/>
    <w:rsid w:val="008777F8"/>
    <w:rsid w:val="0088314E"/>
    <w:rsid w:val="00884135"/>
    <w:rsid w:val="00885517"/>
    <w:rsid w:val="00885CA1"/>
    <w:rsid w:val="008867E3"/>
    <w:rsid w:val="00887AE6"/>
    <w:rsid w:val="00893F10"/>
    <w:rsid w:val="00894114"/>
    <w:rsid w:val="0089532B"/>
    <w:rsid w:val="008975C8"/>
    <w:rsid w:val="008A4205"/>
    <w:rsid w:val="008A78D5"/>
    <w:rsid w:val="008B09A3"/>
    <w:rsid w:val="008B7560"/>
    <w:rsid w:val="008B770D"/>
    <w:rsid w:val="008C00F6"/>
    <w:rsid w:val="008C103D"/>
    <w:rsid w:val="008C1BA3"/>
    <w:rsid w:val="008C3678"/>
    <w:rsid w:val="008D08F5"/>
    <w:rsid w:val="008D3272"/>
    <w:rsid w:val="008D33B8"/>
    <w:rsid w:val="008D3BA7"/>
    <w:rsid w:val="008D41B7"/>
    <w:rsid w:val="008D7671"/>
    <w:rsid w:val="008E21AE"/>
    <w:rsid w:val="008E2FA6"/>
    <w:rsid w:val="008E3B48"/>
    <w:rsid w:val="008E4757"/>
    <w:rsid w:val="008E55B0"/>
    <w:rsid w:val="008E71AA"/>
    <w:rsid w:val="008E798C"/>
    <w:rsid w:val="008F2897"/>
    <w:rsid w:val="008F71CF"/>
    <w:rsid w:val="00902C56"/>
    <w:rsid w:val="00911785"/>
    <w:rsid w:val="0091518A"/>
    <w:rsid w:val="00917B36"/>
    <w:rsid w:val="00924724"/>
    <w:rsid w:val="009260BE"/>
    <w:rsid w:val="0092663E"/>
    <w:rsid w:val="009269AF"/>
    <w:rsid w:val="009338E4"/>
    <w:rsid w:val="009358EF"/>
    <w:rsid w:val="009367BB"/>
    <w:rsid w:val="00943114"/>
    <w:rsid w:val="00946D28"/>
    <w:rsid w:val="00950D8A"/>
    <w:rsid w:val="009518D0"/>
    <w:rsid w:val="00952868"/>
    <w:rsid w:val="00954088"/>
    <w:rsid w:val="009572D1"/>
    <w:rsid w:val="009610DA"/>
    <w:rsid w:val="00962FEC"/>
    <w:rsid w:val="00963600"/>
    <w:rsid w:val="00964AD4"/>
    <w:rsid w:val="00970432"/>
    <w:rsid w:val="009704FA"/>
    <w:rsid w:val="00970875"/>
    <w:rsid w:val="00970BC0"/>
    <w:rsid w:val="00971E4D"/>
    <w:rsid w:val="00971F46"/>
    <w:rsid w:val="00972142"/>
    <w:rsid w:val="00975205"/>
    <w:rsid w:val="009762B9"/>
    <w:rsid w:val="00981D7E"/>
    <w:rsid w:val="00986C22"/>
    <w:rsid w:val="0098777C"/>
    <w:rsid w:val="009928B4"/>
    <w:rsid w:val="009979B4"/>
    <w:rsid w:val="009A72C0"/>
    <w:rsid w:val="009A7AEE"/>
    <w:rsid w:val="009B017C"/>
    <w:rsid w:val="009B0DC3"/>
    <w:rsid w:val="009B1494"/>
    <w:rsid w:val="009B630F"/>
    <w:rsid w:val="009B6E17"/>
    <w:rsid w:val="009B7879"/>
    <w:rsid w:val="009B790A"/>
    <w:rsid w:val="009B7C3F"/>
    <w:rsid w:val="009C18D0"/>
    <w:rsid w:val="009C27C3"/>
    <w:rsid w:val="009D07E4"/>
    <w:rsid w:val="009D4EEE"/>
    <w:rsid w:val="009E1B3B"/>
    <w:rsid w:val="009E310E"/>
    <w:rsid w:val="009E3192"/>
    <w:rsid w:val="009E6919"/>
    <w:rsid w:val="009E7DA1"/>
    <w:rsid w:val="009F160F"/>
    <w:rsid w:val="009F3119"/>
    <w:rsid w:val="00A03552"/>
    <w:rsid w:val="00A07DA5"/>
    <w:rsid w:val="00A10D7D"/>
    <w:rsid w:val="00A127CC"/>
    <w:rsid w:val="00A135DB"/>
    <w:rsid w:val="00A148E8"/>
    <w:rsid w:val="00A1529E"/>
    <w:rsid w:val="00A207AF"/>
    <w:rsid w:val="00A21B18"/>
    <w:rsid w:val="00A247EA"/>
    <w:rsid w:val="00A27A85"/>
    <w:rsid w:val="00A27BCC"/>
    <w:rsid w:val="00A338E7"/>
    <w:rsid w:val="00A37DDF"/>
    <w:rsid w:val="00A40AA4"/>
    <w:rsid w:val="00A40C80"/>
    <w:rsid w:val="00A4149A"/>
    <w:rsid w:val="00A42A8E"/>
    <w:rsid w:val="00A43C8D"/>
    <w:rsid w:val="00A477F0"/>
    <w:rsid w:val="00A50C6D"/>
    <w:rsid w:val="00A53817"/>
    <w:rsid w:val="00A548DA"/>
    <w:rsid w:val="00A55768"/>
    <w:rsid w:val="00A55811"/>
    <w:rsid w:val="00A55FAE"/>
    <w:rsid w:val="00A560F2"/>
    <w:rsid w:val="00A5671B"/>
    <w:rsid w:val="00A57543"/>
    <w:rsid w:val="00A57F08"/>
    <w:rsid w:val="00A61226"/>
    <w:rsid w:val="00A64AA3"/>
    <w:rsid w:val="00A65DE7"/>
    <w:rsid w:val="00A7142A"/>
    <w:rsid w:val="00A72B5D"/>
    <w:rsid w:val="00A76382"/>
    <w:rsid w:val="00A7643A"/>
    <w:rsid w:val="00A82CBE"/>
    <w:rsid w:val="00A83B7A"/>
    <w:rsid w:val="00A8510D"/>
    <w:rsid w:val="00A85112"/>
    <w:rsid w:val="00A90D0A"/>
    <w:rsid w:val="00A91720"/>
    <w:rsid w:val="00A9282A"/>
    <w:rsid w:val="00A94E4D"/>
    <w:rsid w:val="00A95A4B"/>
    <w:rsid w:val="00A97C6F"/>
    <w:rsid w:val="00AA69C5"/>
    <w:rsid w:val="00AB2F05"/>
    <w:rsid w:val="00AB390F"/>
    <w:rsid w:val="00AB713A"/>
    <w:rsid w:val="00AC4346"/>
    <w:rsid w:val="00AC5DAB"/>
    <w:rsid w:val="00AC65C8"/>
    <w:rsid w:val="00AC71AF"/>
    <w:rsid w:val="00AD29F4"/>
    <w:rsid w:val="00AD3A46"/>
    <w:rsid w:val="00AF299A"/>
    <w:rsid w:val="00B00A5C"/>
    <w:rsid w:val="00B00B8E"/>
    <w:rsid w:val="00B045CD"/>
    <w:rsid w:val="00B04921"/>
    <w:rsid w:val="00B063E7"/>
    <w:rsid w:val="00B07F67"/>
    <w:rsid w:val="00B11669"/>
    <w:rsid w:val="00B128C1"/>
    <w:rsid w:val="00B134C3"/>
    <w:rsid w:val="00B1452A"/>
    <w:rsid w:val="00B17FB9"/>
    <w:rsid w:val="00B221C5"/>
    <w:rsid w:val="00B23C45"/>
    <w:rsid w:val="00B2556D"/>
    <w:rsid w:val="00B26F8A"/>
    <w:rsid w:val="00B31E65"/>
    <w:rsid w:val="00B327A8"/>
    <w:rsid w:val="00B34ABA"/>
    <w:rsid w:val="00B35F7A"/>
    <w:rsid w:val="00B3747E"/>
    <w:rsid w:val="00B40DDD"/>
    <w:rsid w:val="00B41DA1"/>
    <w:rsid w:val="00B433E6"/>
    <w:rsid w:val="00B4341A"/>
    <w:rsid w:val="00B50FD9"/>
    <w:rsid w:val="00B5291C"/>
    <w:rsid w:val="00B54746"/>
    <w:rsid w:val="00B5546A"/>
    <w:rsid w:val="00B55A93"/>
    <w:rsid w:val="00B5637A"/>
    <w:rsid w:val="00B574D0"/>
    <w:rsid w:val="00B61C2D"/>
    <w:rsid w:val="00B62ACA"/>
    <w:rsid w:val="00B62F98"/>
    <w:rsid w:val="00B644D6"/>
    <w:rsid w:val="00B6624E"/>
    <w:rsid w:val="00B71DD2"/>
    <w:rsid w:val="00B7286B"/>
    <w:rsid w:val="00B73E48"/>
    <w:rsid w:val="00B75874"/>
    <w:rsid w:val="00B801E7"/>
    <w:rsid w:val="00B8047E"/>
    <w:rsid w:val="00B84BC8"/>
    <w:rsid w:val="00B90092"/>
    <w:rsid w:val="00B93560"/>
    <w:rsid w:val="00B94A55"/>
    <w:rsid w:val="00B9564F"/>
    <w:rsid w:val="00B97A59"/>
    <w:rsid w:val="00B97E46"/>
    <w:rsid w:val="00BA40FE"/>
    <w:rsid w:val="00BA66FD"/>
    <w:rsid w:val="00BB19DF"/>
    <w:rsid w:val="00BB2067"/>
    <w:rsid w:val="00BB4E10"/>
    <w:rsid w:val="00BC341D"/>
    <w:rsid w:val="00BC535A"/>
    <w:rsid w:val="00BC6069"/>
    <w:rsid w:val="00BC6699"/>
    <w:rsid w:val="00BD208B"/>
    <w:rsid w:val="00BD2DBB"/>
    <w:rsid w:val="00BD307A"/>
    <w:rsid w:val="00BD3919"/>
    <w:rsid w:val="00BD63CF"/>
    <w:rsid w:val="00BE1BED"/>
    <w:rsid w:val="00BE2CAC"/>
    <w:rsid w:val="00BE5AB9"/>
    <w:rsid w:val="00BE67A5"/>
    <w:rsid w:val="00BE6A4B"/>
    <w:rsid w:val="00BE7FF0"/>
    <w:rsid w:val="00BF0AA2"/>
    <w:rsid w:val="00BF1D0F"/>
    <w:rsid w:val="00BF35FB"/>
    <w:rsid w:val="00BF455E"/>
    <w:rsid w:val="00BF6EC2"/>
    <w:rsid w:val="00C012C2"/>
    <w:rsid w:val="00C02027"/>
    <w:rsid w:val="00C021CA"/>
    <w:rsid w:val="00C02AB9"/>
    <w:rsid w:val="00C03283"/>
    <w:rsid w:val="00C034CB"/>
    <w:rsid w:val="00C05537"/>
    <w:rsid w:val="00C07BB4"/>
    <w:rsid w:val="00C101B0"/>
    <w:rsid w:val="00C12E52"/>
    <w:rsid w:val="00C130C6"/>
    <w:rsid w:val="00C14C98"/>
    <w:rsid w:val="00C1585B"/>
    <w:rsid w:val="00C16B59"/>
    <w:rsid w:val="00C21634"/>
    <w:rsid w:val="00C23710"/>
    <w:rsid w:val="00C24746"/>
    <w:rsid w:val="00C32D83"/>
    <w:rsid w:val="00C33651"/>
    <w:rsid w:val="00C33BBA"/>
    <w:rsid w:val="00C45625"/>
    <w:rsid w:val="00C479F6"/>
    <w:rsid w:val="00C47CE1"/>
    <w:rsid w:val="00C5092A"/>
    <w:rsid w:val="00C52778"/>
    <w:rsid w:val="00C5732F"/>
    <w:rsid w:val="00C57580"/>
    <w:rsid w:val="00C643C3"/>
    <w:rsid w:val="00C673A8"/>
    <w:rsid w:val="00C72006"/>
    <w:rsid w:val="00C75B59"/>
    <w:rsid w:val="00C8308E"/>
    <w:rsid w:val="00C83D95"/>
    <w:rsid w:val="00C86DF9"/>
    <w:rsid w:val="00C87E62"/>
    <w:rsid w:val="00C9142A"/>
    <w:rsid w:val="00C937B9"/>
    <w:rsid w:val="00C93C94"/>
    <w:rsid w:val="00C944AD"/>
    <w:rsid w:val="00C94DE6"/>
    <w:rsid w:val="00C957B0"/>
    <w:rsid w:val="00C965C8"/>
    <w:rsid w:val="00C967E0"/>
    <w:rsid w:val="00CA1758"/>
    <w:rsid w:val="00CA211E"/>
    <w:rsid w:val="00CB0D8B"/>
    <w:rsid w:val="00CB6AA6"/>
    <w:rsid w:val="00CB6FAE"/>
    <w:rsid w:val="00CB758B"/>
    <w:rsid w:val="00CC0FF4"/>
    <w:rsid w:val="00CC103C"/>
    <w:rsid w:val="00CC60C4"/>
    <w:rsid w:val="00CC77B2"/>
    <w:rsid w:val="00CD0C60"/>
    <w:rsid w:val="00CD1973"/>
    <w:rsid w:val="00CD247F"/>
    <w:rsid w:val="00CD6B9C"/>
    <w:rsid w:val="00CD7527"/>
    <w:rsid w:val="00CD7D2A"/>
    <w:rsid w:val="00CE124C"/>
    <w:rsid w:val="00CE1A4B"/>
    <w:rsid w:val="00CE246E"/>
    <w:rsid w:val="00CE2C69"/>
    <w:rsid w:val="00CE3AB5"/>
    <w:rsid w:val="00CE3B06"/>
    <w:rsid w:val="00CF2704"/>
    <w:rsid w:val="00CF3BFA"/>
    <w:rsid w:val="00CF5F49"/>
    <w:rsid w:val="00D003D4"/>
    <w:rsid w:val="00D0065F"/>
    <w:rsid w:val="00D017A6"/>
    <w:rsid w:val="00D05701"/>
    <w:rsid w:val="00D05CDB"/>
    <w:rsid w:val="00D12A9B"/>
    <w:rsid w:val="00D17098"/>
    <w:rsid w:val="00D17B52"/>
    <w:rsid w:val="00D22F1C"/>
    <w:rsid w:val="00D22FA2"/>
    <w:rsid w:val="00D23B0A"/>
    <w:rsid w:val="00D32F58"/>
    <w:rsid w:val="00D333B3"/>
    <w:rsid w:val="00D33C0B"/>
    <w:rsid w:val="00D340B4"/>
    <w:rsid w:val="00D361CE"/>
    <w:rsid w:val="00D41D6D"/>
    <w:rsid w:val="00D430C1"/>
    <w:rsid w:val="00D4337B"/>
    <w:rsid w:val="00D433F5"/>
    <w:rsid w:val="00D4370C"/>
    <w:rsid w:val="00D515DF"/>
    <w:rsid w:val="00D52002"/>
    <w:rsid w:val="00D5339D"/>
    <w:rsid w:val="00D56DF8"/>
    <w:rsid w:val="00D56F12"/>
    <w:rsid w:val="00D57B77"/>
    <w:rsid w:val="00D6045C"/>
    <w:rsid w:val="00D60C56"/>
    <w:rsid w:val="00D62135"/>
    <w:rsid w:val="00D638B1"/>
    <w:rsid w:val="00D63C15"/>
    <w:rsid w:val="00D6513E"/>
    <w:rsid w:val="00D651D5"/>
    <w:rsid w:val="00D6622A"/>
    <w:rsid w:val="00D6675A"/>
    <w:rsid w:val="00D66E36"/>
    <w:rsid w:val="00D71535"/>
    <w:rsid w:val="00D73B93"/>
    <w:rsid w:val="00D75630"/>
    <w:rsid w:val="00D77E9A"/>
    <w:rsid w:val="00D8101D"/>
    <w:rsid w:val="00D82225"/>
    <w:rsid w:val="00D859A0"/>
    <w:rsid w:val="00D85A41"/>
    <w:rsid w:val="00D85E06"/>
    <w:rsid w:val="00D90AED"/>
    <w:rsid w:val="00D90F47"/>
    <w:rsid w:val="00D93410"/>
    <w:rsid w:val="00D95208"/>
    <w:rsid w:val="00DA0E4C"/>
    <w:rsid w:val="00DA1170"/>
    <w:rsid w:val="00DA11FF"/>
    <w:rsid w:val="00DA163D"/>
    <w:rsid w:val="00DA320B"/>
    <w:rsid w:val="00DA4A20"/>
    <w:rsid w:val="00DA6465"/>
    <w:rsid w:val="00DB077C"/>
    <w:rsid w:val="00DB2381"/>
    <w:rsid w:val="00DB3318"/>
    <w:rsid w:val="00DB3848"/>
    <w:rsid w:val="00DC058F"/>
    <w:rsid w:val="00DC2988"/>
    <w:rsid w:val="00DC2A60"/>
    <w:rsid w:val="00DC314F"/>
    <w:rsid w:val="00DC5709"/>
    <w:rsid w:val="00DC6C35"/>
    <w:rsid w:val="00DD104D"/>
    <w:rsid w:val="00DD465D"/>
    <w:rsid w:val="00DD5A3F"/>
    <w:rsid w:val="00DE1D9C"/>
    <w:rsid w:val="00DE252A"/>
    <w:rsid w:val="00DE38B2"/>
    <w:rsid w:val="00DE3CC6"/>
    <w:rsid w:val="00DE71F7"/>
    <w:rsid w:val="00DF0AC7"/>
    <w:rsid w:val="00DF4A65"/>
    <w:rsid w:val="00DF7463"/>
    <w:rsid w:val="00E00BC1"/>
    <w:rsid w:val="00E03659"/>
    <w:rsid w:val="00E0547E"/>
    <w:rsid w:val="00E06E33"/>
    <w:rsid w:val="00E070FE"/>
    <w:rsid w:val="00E07E77"/>
    <w:rsid w:val="00E100CE"/>
    <w:rsid w:val="00E11E08"/>
    <w:rsid w:val="00E132CF"/>
    <w:rsid w:val="00E14AAF"/>
    <w:rsid w:val="00E16769"/>
    <w:rsid w:val="00E172ED"/>
    <w:rsid w:val="00E21C02"/>
    <w:rsid w:val="00E21DE6"/>
    <w:rsid w:val="00E26CCF"/>
    <w:rsid w:val="00E306DA"/>
    <w:rsid w:val="00E307C8"/>
    <w:rsid w:val="00E32B24"/>
    <w:rsid w:val="00E32F3B"/>
    <w:rsid w:val="00E33314"/>
    <w:rsid w:val="00E336B9"/>
    <w:rsid w:val="00E351C0"/>
    <w:rsid w:val="00E359EA"/>
    <w:rsid w:val="00E36EC0"/>
    <w:rsid w:val="00E407E4"/>
    <w:rsid w:val="00E432C9"/>
    <w:rsid w:val="00E43B75"/>
    <w:rsid w:val="00E44E54"/>
    <w:rsid w:val="00E506A2"/>
    <w:rsid w:val="00E52F6E"/>
    <w:rsid w:val="00E5377B"/>
    <w:rsid w:val="00E569E3"/>
    <w:rsid w:val="00E57747"/>
    <w:rsid w:val="00E6079F"/>
    <w:rsid w:val="00E620A7"/>
    <w:rsid w:val="00E67D7D"/>
    <w:rsid w:val="00E7211D"/>
    <w:rsid w:val="00E7373E"/>
    <w:rsid w:val="00E73AEC"/>
    <w:rsid w:val="00E73EE8"/>
    <w:rsid w:val="00E746EF"/>
    <w:rsid w:val="00E7748C"/>
    <w:rsid w:val="00E77765"/>
    <w:rsid w:val="00E802D0"/>
    <w:rsid w:val="00E81ADC"/>
    <w:rsid w:val="00E83C2E"/>
    <w:rsid w:val="00E87253"/>
    <w:rsid w:val="00E92A3C"/>
    <w:rsid w:val="00EA163E"/>
    <w:rsid w:val="00EA47A7"/>
    <w:rsid w:val="00EA4B7E"/>
    <w:rsid w:val="00EA5D98"/>
    <w:rsid w:val="00EB0AFA"/>
    <w:rsid w:val="00EB2B0E"/>
    <w:rsid w:val="00EB4847"/>
    <w:rsid w:val="00EB5DEA"/>
    <w:rsid w:val="00EB7781"/>
    <w:rsid w:val="00EC159D"/>
    <w:rsid w:val="00EC294E"/>
    <w:rsid w:val="00EC2D7F"/>
    <w:rsid w:val="00EC584A"/>
    <w:rsid w:val="00ED1471"/>
    <w:rsid w:val="00ED1C9B"/>
    <w:rsid w:val="00ED1F59"/>
    <w:rsid w:val="00ED2D14"/>
    <w:rsid w:val="00ED2D75"/>
    <w:rsid w:val="00ED6B9C"/>
    <w:rsid w:val="00ED72A5"/>
    <w:rsid w:val="00EE049E"/>
    <w:rsid w:val="00EE2F36"/>
    <w:rsid w:val="00EE59F2"/>
    <w:rsid w:val="00EE6F50"/>
    <w:rsid w:val="00EF211E"/>
    <w:rsid w:val="00EF4017"/>
    <w:rsid w:val="00F02245"/>
    <w:rsid w:val="00F022B9"/>
    <w:rsid w:val="00F03DEE"/>
    <w:rsid w:val="00F04571"/>
    <w:rsid w:val="00F07E60"/>
    <w:rsid w:val="00F10752"/>
    <w:rsid w:val="00F1248D"/>
    <w:rsid w:val="00F1490F"/>
    <w:rsid w:val="00F163F5"/>
    <w:rsid w:val="00F170D6"/>
    <w:rsid w:val="00F214F9"/>
    <w:rsid w:val="00F23CAE"/>
    <w:rsid w:val="00F2465A"/>
    <w:rsid w:val="00F26475"/>
    <w:rsid w:val="00F2798C"/>
    <w:rsid w:val="00F32EF3"/>
    <w:rsid w:val="00F332E6"/>
    <w:rsid w:val="00F400D0"/>
    <w:rsid w:val="00F4620B"/>
    <w:rsid w:val="00F47212"/>
    <w:rsid w:val="00F52B9A"/>
    <w:rsid w:val="00F55003"/>
    <w:rsid w:val="00F57D67"/>
    <w:rsid w:val="00F601A2"/>
    <w:rsid w:val="00F61312"/>
    <w:rsid w:val="00F64B98"/>
    <w:rsid w:val="00F65073"/>
    <w:rsid w:val="00F67B32"/>
    <w:rsid w:val="00F71D79"/>
    <w:rsid w:val="00F72B4C"/>
    <w:rsid w:val="00F74533"/>
    <w:rsid w:val="00F7540C"/>
    <w:rsid w:val="00F7740E"/>
    <w:rsid w:val="00F80F35"/>
    <w:rsid w:val="00F81507"/>
    <w:rsid w:val="00F81B57"/>
    <w:rsid w:val="00F85C7B"/>
    <w:rsid w:val="00F931D8"/>
    <w:rsid w:val="00F94B29"/>
    <w:rsid w:val="00FA1839"/>
    <w:rsid w:val="00FB280B"/>
    <w:rsid w:val="00FB3110"/>
    <w:rsid w:val="00FB4613"/>
    <w:rsid w:val="00FC037F"/>
    <w:rsid w:val="00FC3A51"/>
    <w:rsid w:val="00FC3A74"/>
    <w:rsid w:val="00FC7BCF"/>
    <w:rsid w:val="00FD1948"/>
    <w:rsid w:val="00FD67A6"/>
    <w:rsid w:val="00FF21E0"/>
    <w:rsid w:val="00FF536E"/>
    <w:rsid w:val="00FF61DF"/>
    <w:rsid w:val="00FF701D"/>
    <w:rsid w:val="00FF7F32"/>
    <w:rsid w:val="04A94CFC"/>
    <w:rsid w:val="09B12BD2"/>
    <w:rsid w:val="12842D1C"/>
    <w:rsid w:val="1B3831FC"/>
    <w:rsid w:val="1CF327D2"/>
    <w:rsid w:val="1DAC3723"/>
    <w:rsid w:val="32DE5065"/>
    <w:rsid w:val="520650AB"/>
    <w:rsid w:val="5BA752FF"/>
    <w:rsid w:val="610F24AE"/>
    <w:rsid w:val="668D49F7"/>
    <w:rsid w:val="70C1137B"/>
    <w:rsid w:val="71847AD6"/>
    <w:rsid w:val="788C502A"/>
    <w:rsid w:val="7B88642F"/>
    <w:rsid w:val="7CA91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4"/>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21"/>
    <w:semiHidden/>
    <w:unhideWhenUsed/>
    <w:qFormat/>
    <w:uiPriority w:val="99"/>
    <w:rPr>
      <w:rFonts w:ascii="宋体" w:eastAsia="宋体"/>
      <w:sz w:val="18"/>
      <w:szCs w:val="18"/>
    </w:rPr>
  </w:style>
  <w:style w:type="paragraph" w:styleId="4">
    <w:name w:val="annotation text"/>
    <w:basedOn w:val="1"/>
    <w:link w:val="18"/>
    <w:unhideWhenUsed/>
    <w:qFormat/>
    <w:uiPriority w:val="0"/>
    <w:pPr>
      <w:jc w:val="left"/>
    </w:p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4"/>
    <w:next w:val="4"/>
    <w:link w:val="19"/>
    <w:semiHidden/>
    <w:unhideWhenUsed/>
    <w:qFormat/>
    <w:uiPriority w:val="99"/>
    <w:rPr>
      <w:b/>
      <w:bCs/>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qFormat/>
    <w:uiPriority w:val="99"/>
    <w:rPr>
      <w:color w:val="0000FF"/>
      <w:u w:val="single"/>
    </w:rPr>
  </w:style>
  <w:style w:type="character" w:styleId="14">
    <w:name w:val="annotation reference"/>
    <w:basedOn w:val="12"/>
    <w:unhideWhenUsed/>
    <w:qFormat/>
    <w:uiPriority w:val="0"/>
    <w:rPr>
      <w:sz w:val="21"/>
      <w:szCs w:val="21"/>
    </w:rPr>
  </w:style>
  <w:style w:type="character" w:customStyle="1" w:styleId="15">
    <w:name w:val="页眉 字符"/>
    <w:basedOn w:val="12"/>
    <w:link w:val="7"/>
    <w:qFormat/>
    <w:uiPriority w:val="99"/>
    <w:rPr>
      <w:sz w:val="18"/>
      <w:szCs w:val="18"/>
    </w:rPr>
  </w:style>
  <w:style w:type="character" w:customStyle="1" w:styleId="16">
    <w:name w:val="页脚 字符"/>
    <w:basedOn w:val="12"/>
    <w:link w:val="6"/>
    <w:qFormat/>
    <w:uiPriority w:val="99"/>
    <w:rPr>
      <w:sz w:val="18"/>
      <w:szCs w:val="18"/>
    </w:rPr>
  </w:style>
  <w:style w:type="character" w:customStyle="1" w:styleId="17">
    <w:name w:val="批注框文本 字符"/>
    <w:basedOn w:val="12"/>
    <w:link w:val="5"/>
    <w:semiHidden/>
    <w:qFormat/>
    <w:uiPriority w:val="99"/>
    <w:rPr>
      <w:sz w:val="18"/>
      <w:szCs w:val="18"/>
    </w:rPr>
  </w:style>
  <w:style w:type="character" w:customStyle="1" w:styleId="18">
    <w:name w:val="批注文字 字符"/>
    <w:basedOn w:val="12"/>
    <w:link w:val="4"/>
    <w:semiHidden/>
    <w:qFormat/>
    <w:uiPriority w:val="0"/>
  </w:style>
  <w:style w:type="character" w:customStyle="1" w:styleId="19">
    <w:name w:val="批注主题 字符"/>
    <w:basedOn w:val="18"/>
    <w:link w:val="9"/>
    <w:semiHidden/>
    <w:qFormat/>
    <w:uiPriority w:val="99"/>
    <w:rPr>
      <w:b/>
      <w:bCs/>
    </w:rPr>
  </w:style>
  <w:style w:type="paragraph" w:customStyle="1" w:styleId="20">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21">
    <w:name w:val="文档结构图 字符"/>
    <w:basedOn w:val="12"/>
    <w:link w:val="3"/>
    <w:semiHidden/>
    <w:qFormat/>
    <w:uiPriority w:val="99"/>
    <w:rPr>
      <w:rFonts w:ascii="宋体" w:eastAsia="宋体"/>
      <w:sz w:val="18"/>
      <w:szCs w:val="18"/>
    </w:rPr>
  </w:style>
  <w:style w:type="paragraph" w:customStyle="1" w:styleId="22">
    <w:name w:val="Char"/>
    <w:basedOn w:val="1"/>
    <w:qFormat/>
    <w:uiPriority w:val="0"/>
    <w:rPr>
      <w:rFonts w:ascii="Times New Roman" w:hAnsi="Times New Roman" w:eastAsia="宋体" w:cs="Times New Roman"/>
      <w:szCs w:val="24"/>
    </w:rPr>
  </w:style>
  <w:style w:type="paragraph" w:customStyle="1" w:styleId="23">
    <w:name w:val="项目"/>
    <w:basedOn w:val="2"/>
    <w:qFormat/>
    <w:uiPriority w:val="0"/>
    <w:pPr>
      <w:snapToGrid w:val="0"/>
      <w:spacing w:before="120" w:after="120" w:line="360" w:lineRule="auto"/>
    </w:pPr>
    <w:rPr>
      <w:rFonts w:ascii="Times New Roman" w:hAnsi="Times New Roman" w:eastAsia="楷体_GB2312" w:cs="Times New Roman"/>
      <w:b w:val="0"/>
      <w:sz w:val="24"/>
      <w:szCs w:val="20"/>
    </w:rPr>
  </w:style>
  <w:style w:type="character" w:customStyle="1" w:styleId="24">
    <w:name w:val="标题 4 字符"/>
    <w:basedOn w:val="12"/>
    <w:link w:val="2"/>
    <w:semiHidden/>
    <w:qFormat/>
    <w:uiPriority w:val="9"/>
    <w:rPr>
      <w:rFonts w:asciiTheme="majorHAnsi" w:hAnsiTheme="majorHAnsi" w:eastAsiaTheme="majorEastAsia" w:cstheme="majorBidi"/>
      <w:b/>
      <w:bCs/>
      <w:sz w:val="28"/>
      <w:szCs w:val="28"/>
    </w:rPr>
  </w:style>
  <w:style w:type="paragraph" w:styleId="25">
    <w:name w:val="List Paragraph"/>
    <w:basedOn w:val="1"/>
    <w:qFormat/>
    <w:uiPriority w:val="34"/>
    <w:pPr>
      <w:ind w:firstLine="420" w:firstLineChars="200"/>
    </w:pPr>
  </w:style>
  <w:style w:type="character" w:customStyle="1" w:styleId="26">
    <w:name w:val="批注文字 字符1"/>
    <w:qFormat/>
    <w:uiPriority w:val="0"/>
    <w:rPr>
      <w:kern w:val="2"/>
      <w:sz w:val="21"/>
      <w:lang w:val="zh-CN"/>
    </w:rPr>
  </w:style>
  <w:style w:type="table" w:customStyle="1" w:styleId="27">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
    <w:name w:val="网格型2"/>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9">
    <w:name w:val="网格型3"/>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0">
    <w:name w:val="网格型4"/>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1">
    <w:name w:val="网格型5"/>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网格型6"/>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
    <w:name w:val="网格型7"/>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
    <w:name w:val="网格型8"/>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
    <w:name w:val="网格型9"/>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6">
    <w:name w:val="网格型10"/>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7">
    <w:name w:val="网格型1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8">
    <w:name w:val="网格型12"/>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9">
    <w:name w:val="网格型13"/>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4C91BA-4551-4E01-868D-5714C7A17696}">
  <ds:schemaRefs/>
</ds:datastoreItem>
</file>

<file path=docProps/app.xml><?xml version="1.0" encoding="utf-8"?>
<Properties xmlns="http://schemas.openxmlformats.org/officeDocument/2006/extended-properties" xmlns:vt="http://schemas.openxmlformats.org/officeDocument/2006/docPropsVTypes">
  <Template>Normal</Template>
  <Company>wind</Company>
  <Pages>11</Pages>
  <Words>1773</Words>
  <Characters>10112</Characters>
  <Lines>84</Lines>
  <Paragraphs>23</Paragraphs>
  <TotalTime>0</TotalTime>
  <ScaleCrop>false</ScaleCrop>
  <LinksUpToDate>false</LinksUpToDate>
  <CharactersWithSpaces>11862</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2022-11-10T13:18:00Z</dcterms:created>
  <dc:creator>yfjiang.may</dc:creator>
  <cp:lastModifiedBy>刘晨晨</cp:lastModifiedBy>
  <cp:lastPrinted>2015-11-11T11:21:00Z</cp:lastPrinted>
  <dcterms:modified xsi:type="dcterms:W3CDTF">2026-09-24T09:45:48Z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A86E64FC89684257A3C945DBF72179A1_12</vt:lpwstr>
  </property>
</Properties>
</file>