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021018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2、本基金自2024年3月21日起，开始销售E类份额，基金份额类别首次确认当年净值增长率按实际存续期计算。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交易证券、基金等产生的费用和税负，按实际发生额从基金资产扣除。上表中披露的年费用金额为基金整体承担费用，非单个份额类别费用，且年金额为预估值，最终实际金额以基金定期报告披露为准。2、此处披露的销售服务费为最新合同约定费率，不含费率优惠。下文中计算基金运作综合费率时使用的是基金现行费率，具体请参见公司官网销售服务费优惠活动的公告。</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D5584"/>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1491F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640</Words>
  <Characters>3648</Characters>
  <Lines>30</Lines>
  <Paragraphs>8</Paragraphs>
  <TotalTime>0</TotalTime>
  <ScaleCrop>false</ScaleCrop>
  <LinksUpToDate>false</LinksUpToDate>
  <CharactersWithSpaces>4280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2026-09-21T05:47:00Z</dcterms:created>
  <dc:creator>Cc</dc:creator>
  <cp:lastModifiedBy>haotingting</cp:lastModifiedBy>
  <dcterms:modified xsi:type="dcterms:W3CDTF">2026-09-21T08:10:36Z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3B9F2F14C042416E89E6A0B2457D3483</vt:lpwstr>
  </property>
</Properties>
</file>