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500E47">
      <w:pPr>
        <w:rPr>
          <w:sz w:val="32"/>
        </w:rPr>
      </w:pPr>
    </w:p>
    <w:p w:rsidR="00C92FC0" w:rsidRPr="00EB07BC" w:rsidRDefault="00500E47">
      <w:pPr>
        <w:rPr>
          <w:sz w:val="32"/>
        </w:rPr>
      </w:pPr>
    </w:p>
    <w:p w:rsidR="00C92FC0" w:rsidRPr="00EB07BC" w:rsidRDefault="00500E47">
      <w:pPr>
        <w:rPr>
          <w:sz w:val="32"/>
        </w:rPr>
      </w:pPr>
    </w:p>
    <w:p w:rsidR="008C2B37" w:rsidRDefault="008C2B3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C2B37" w:rsidRDefault="008C2B3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C2B37" w:rsidRDefault="008C2B37">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8C2B37" w:rsidRDefault="005A6265">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交银施罗德稳鑫短债债券型证券投资基金</w:t>
      </w:r>
    </w:p>
    <w:p w:rsidR="008C2B37" w:rsidRDefault="005A6265">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8C2B37" w:rsidRDefault="008C2B37">
      <w:pPr>
        <w:snapToGrid w:val="0"/>
        <w:spacing w:line="360" w:lineRule="auto"/>
        <w:jc w:val="center"/>
        <w:rPr>
          <w:rFonts w:ascii="宋体" w:hAnsi="宋体"/>
          <w:b/>
          <w:sz w:val="30"/>
          <w:szCs w:val="30"/>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5A626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8C2B37" w:rsidRDefault="005A6265">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基金托管人：招商银行股份有限公司</w:t>
      </w: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8C2B37">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8C2B37" w:rsidRDefault="005A6265">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8C2B37" w:rsidRDefault="008C2B37">
      <w:pPr>
        <w:autoSpaceDE w:val="0"/>
        <w:autoSpaceDN w:val="0"/>
        <w:adjustRightInd w:val="0"/>
        <w:snapToGrid w:val="0"/>
        <w:spacing w:line="360" w:lineRule="auto"/>
        <w:ind w:left="1347" w:rightChars="6" w:right="13"/>
        <w:rPr>
          <w:rFonts w:ascii="宋体" w:hAnsi="宋体"/>
          <w:kern w:val="0"/>
          <w:sz w:val="32"/>
          <w:szCs w:val="32"/>
        </w:rPr>
        <w:sectPr w:rsidR="008C2B37">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8C2B37" w:rsidRDefault="005A6265">
      <w:pPr>
        <w:pStyle w:val="1"/>
        <w:snapToGrid w:val="0"/>
        <w:spacing w:beforeLines="0" w:before="240" w:after="240"/>
        <w:rPr>
          <w:rFonts w:ascii="宋体" w:hAnsi="宋体"/>
          <w:kern w:val="0"/>
        </w:rPr>
      </w:pPr>
      <w:bookmarkStart w:id="0" w:name="_Toc324920538"/>
      <w:bookmarkStart w:id="1" w:name="_Toc496884613"/>
      <w:bookmarkStart w:id="2" w:name="_Toc240890863"/>
      <w:r>
        <w:rPr>
          <w:rFonts w:ascii="Times New Roman" w:hAnsi="Times New Roman"/>
          <w:kern w:val="0"/>
        </w:rPr>
        <w:lastRenderedPageBreak/>
        <w:t>重要提示</w:t>
      </w:r>
      <w:bookmarkEnd w:id="0"/>
      <w:bookmarkEnd w:id="1"/>
      <w:bookmarkEnd w:id="2"/>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交银施罗德稳鑫短债债券型证券投资基金（以下简称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2018</w:t>
      </w:r>
      <w:r>
        <w:rPr>
          <w:rFonts w:ascii="Times New Roman" w:hAnsi="Times New Roman"/>
          <w:kern w:val="0"/>
          <w:sz w:val="24"/>
        </w:rPr>
        <w:t>年</w:t>
      </w:r>
      <w:r>
        <w:rPr>
          <w:rFonts w:ascii="Times New Roman" w:hAnsi="Times New Roman"/>
          <w:kern w:val="0"/>
          <w:sz w:val="24"/>
        </w:rPr>
        <w:t>11</w:t>
      </w:r>
      <w:r>
        <w:rPr>
          <w:rFonts w:ascii="Times New Roman" w:hAnsi="Times New Roman"/>
          <w:kern w:val="0"/>
          <w:sz w:val="24"/>
        </w:rPr>
        <w:t>月</w:t>
      </w:r>
      <w:r>
        <w:rPr>
          <w:rFonts w:ascii="Times New Roman" w:hAnsi="Times New Roman"/>
          <w:kern w:val="0"/>
          <w:sz w:val="24"/>
        </w:rPr>
        <w:t>30</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2018</w:t>
      </w:r>
      <w:r>
        <w:rPr>
          <w:rFonts w:ascii="Times New Roman" w:hAnsi="Times New Roman"/>
          <w:kern w:val="0"/>
          <w:sz w:val="24"/>
        </w:rPr>
        <w:t>】</w:t>
      </w:r>
      <w:r>
        <w:rPr>
          <w:rFonts w:ascii="Times New Roman" w:hAnsi="Times New Roman"/>
          <w:kern w:val="0"/>
          <w:sz w:val="24"/>
        </w:rPr>
        <w:t>1995</w:t>
      </w:r>
      <w:r>
        <w:rPr>
          <w:rFonts w:ascii="Times New Roman" w:hAnsi="Times New Roman"/>
          <w:kern w:val="0"/>
          <w:sz w:val="24"/>
        </w:rPr>
        <w:t>号文准予募集注册。本基金基金合同于</w:t>
      </w:r>
      <w:r>
        <w:rPr>
          <w:rFonts w:ascii="Times New Roman" w:hAnsi="Times New Roman"/>
          <w:kern w:val="0"/>
          <w:sz w:val="24"/>
        </w:rPr>
        <w:t>2019</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日正式生效。</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投资中小企业私募债的特有风险；投资资产支持证券的特有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万元情形时基金管理人可依基金合同约定提前终止基金合同的风险；投资本基金特有的其他风险等等。</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w:t>
      </w:r>
      <w:r>
        <w:rPr>
          <w:rFonts w:ascii="Times New Roman" w:hAnsi="Times New Roman"/>
          <w:kern w:val="0"/>
          <w:sz w:val="24"/>
        </w:rPr>
        <w:lastRenderedPageBreak/>
        <w:t>持证券投资，请基金份额持有人关注包括投资资产支持证券可能导致的基金净值波动在内的各项风险。</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本基金是一只债券型基金，其预期风险与预期收益高于货币市场基金，低于混合型基金和股票型基金。</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8C2B37" w:rsidRDefault="005A6265">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本次更新招募说明书主要对基金经理变更相关事项进行了相应更新，更新截止日为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19</w:t>
      </w:r>
      <w:r>
        <w:rPr>
          <w:rFonts w:ascii="Times New Roman" w:hAnsi="Times New Roman"/>
          <w:kern w:val="0"/>
          <w:sz w:val="24"/>
        </w:rPr>
        <w:t>日，除非另有说明，本招募说明书其他所载内容截止日为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8C2B37" w:rsidRDefault="008C2B37">
      <w:pPr>
        <w:autoSpaceDE w:val="0"/>
        <w:autoSpaceDN w:val="0"/>
        <w:adjustRightInd w:val="0"/>
        <w:snapToGrid w:val="0"/>
        <w:spacing w:before="51" w:line="360" w:lineRule="auto"/>
        <w:ind w:left="120" w:rightChars="6" w:right="13" w:firstLine="480"/>
        <w:rPr>
          <w:rFonts w:ascii="宋体" w:hAnsi="宋体"/>
          <w:kern w:val="0"/>
          <w:szCs w:val="24"/>
        </w:rPr>
        <w:sectPr w:rsidR="008C2B37">
          <w:headerReference w:type="default" r:id="rId14"/>
          <w:pgSz w:w="11920" w:h="16840"/>
          <w:pgMar w:top="1440" w:right="1680" w:bottom="280" w:left="1680" w:header="0" w:footer="1073" w:gutter="0"/>
          <w:pgNumType w:start="1"/>
          <w:cols w:space="720"/>
        </w:sectPr>
      </w:pPr>
    </w:p>
    <w:p w:rsidR="00500E47" w:rsidRPr="00500E47" w:rsidRDefault="005A6265" w:rsidP="00500E47">
      <w:pPr>
        <w:pStyle w:val="ad"/>
        <w:snapToGrid w:val="0"/>
        <w:spacing w:after="240" w:line="360" w:lineRule="auto"/>
        <w:jc w:val="center"/>
        <w:rPr>
          <w:rFonts w:ascii="宋体" w:hAnsi="宋体"/>
          <w:noProof/>
          <w:sz w:val="24"/>
        </w:rPr>
      </w:pPr>
      <w:r w:rsidRPr="00500E47">
        <w:rPr>
          <w:rFonts w:ascii="宋体" w:hAnsi="宋体"/>
          <w:color w:val="000000"/>
          <w:position w:val="-4"/>
          <w:sz w:val="24"/>
          <w:szCs w:val="30"/>
        </w:rPr>
        <w:lastRenderedPageBreak/>
        <w:t>目</w:t>
      </w:r>
      <w:r w:rsidRPr="00500E47">
        <w:rPr>
          <w:rFonts w:ascii="宋体" w:hAnsi="宋体"/>
          <w:color w:val="000000"/>
          <w:position w:val="-4"/>
          <w:sz w:val="24"/>
          <w:szCs w:val="30"/>
        </w:rPr>
        <w:tab/>
        <w:t>录</w:t>
      </w:r>
      <w:r w:rsidR="00500E47" w:rsidRPr="00500E47">
        <w:rPr>
          <w:rFonts w:ascii="宋体" w:hAnsi="宋体"/>
          <w:color w:val="000000"/>
          <w:position w:val="-4"/>
          <w:sz w:val="24"/>
          <w:szCs w:val="30"/>
        </w:rPr>
        <w:fldChar w:fldCharType="begin"/>
      </w:r>
      <w:r w:rsidR="00500E47" w:rsidRPr="00500E47">
        <w:rPr>
          <w:rFonts w:ascii="宋体" w:hAnsi="宋体"/>
          <w:color w:val="000000"/>
          <w:position w:val="-4"/>
          <w:sz w:val="24"/>
          <w:szCs w:val="30"/>
        </w:rPr>
        <w:instrText xml:space="preserve"> TOC \o "1-3" \f - \h \t "-1" </w:instrText>
      </w:r>
      <w:r w:rsidR="00500E47" w:rsidRPr="00500E47">
        <w:rPr>
          <w:rFonts w:ascii="宋体" w:hAnsi="宋体"/>
          <w:color w:val="000000"/>
          <w:position w:val="-4"/>
          <w:sz w:val="24"/>
          <w:szCs w:val="30"/>
        </w:rPr>
        <w:fldChar w:fldCharType="separate"/>
      </w:r>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3" w:history="1">
        <w:r w:rsidRPr="00500E47">
          <w:rPr>
            <w:rStyle w:val="aa"/>
            <w:rFonts w:ascii="宋体" w:hAnsi="宋体" w:hint="eastAsia"/>
            <w:noProof/>
            <w:kern w:val="0"/>
            <w:sz w:val="24"/>
          </w:rPr>
          <w:t>重要提示</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_Toc240890863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4" w:history="1">
        <w:r w:rsidRPr="00500E47">
          <w:rPr>
            <w:rStyle w:val="aa"/>
            <w:rFonts w:ascii="宋体" w:hAnsi="宋体" w:hint="eastAsia"/>
            <w:noProof/>
            <w:sz w:val="24"/>
          </w:rPr>
          <w:t>一、绪言</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_Toc240890864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4</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5" w:history="1">
        <w:r w:rsidRPr="00500E47">
          <w:rPr>
            <w:rStyle w:val="aa"/>
            <w:rFonts w:ascii="宋体" w:hAnsi="宋体" w:hint="eastAsia"/>
            <w:noProof/>
            <w:sz w:val="24"/>
          </w:rPr>
          <w:t>二、释义</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_Toc240890865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5</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6" w:history="1">
        <w:r w:rsidRPr="00500E47">
          <w:rPr>
            <w:rStyle w:val="aa"/>
            <w:rFonts w:ascii="宋体" w:hAnsi="宋体" w:hint="eastAsia"/>
            <w:noProof/>
            <w:sz w:val="24"/>
          </w:rPr>
          <w:t>三、基金管理人</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_Toc240890866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10</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7" w:history="1">
        <w:r w:rsidRPr="00500E47">
          <w:rPr>
            <w:rStyle w:val="aa"/>
            <w:rFonts w:ascii="宋体" w:hAnsi="宋体" w:hint="eastAsia"/>
            <w:noProof/>
            <w:sz w:val="24"/>
          </w:rPr>
          <w:t>四、基金托管人</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_Toc240890867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18</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8" w:history="1">
        <w:r w:rsidRPr="00500E47">
          <w:rPr>
            <w:rStyle w:val="aa"/>
            <w:rFonts w:ascii="宋体" w:hAnsi="宋体" w:hint="eastAsia"/>
            <w:noProof/>
            <w:sz w:val="24"/>
          </w:rPr>
          <w:t>五、相关服务机构</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_Toc240890868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25</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69" w:history="1">
        <w:r w:rsidRPr="00500E47">
          <w:rPr>
            <w:rStyle w:val="aa"/>
            <w:rFonts w:ascii="宋体" w:hAnsi="宋体" w:hint="eastAsia"/>
            <w:noProof/>
            <w:sz w:val="24"/>
          </w:rPr>
          <w:t>六、基金的募集</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_Toc240890869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54</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0" w:history="1">
        <w:r w:rsidRPr="00500E47">
          <w:rPr>
            <w:rStyle w:val="aa"/>
            <w:rFonts w:ascii="宋体" w:hAnsi="宋体" w:hint="eastAsia"/>
            <w:noProof/>
            <w:sz w:val="24"/>
          </w:rPr>
          <w:t>七、基金合同的生效</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_Toc240890870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55</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1" w:history="1">
        <w:r w:rsidRPr="00500E47">
          <w:rPr>
            <w:rStyle w:val="aa"/>
            <w:rFonts w:ascii="宋体" w:hAnsi="宋体" w:hint="eastAsia"/>
            <w:noProof/>
            <w:sz w:val="24"/>
          </w:rPr>
          <w:t>八、基金份额的申购与赎回</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_Toc240890871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56</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2" w:history="1">
        <w:r w:rsidRPr="00500E47">
          <w:rPr>
            <w:rStyle w:val="aa"/>
            <w:rFonts w:ascii="宋体" w:hAnsi="宋体" w:hint="eastAsia"/>
            <w:noProof/>
            <w:sz w:val="24"/>
          </w:rPr>
          <w:t>九、基金的转换</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_Toc240890872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73</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3" w:history="1">
        <w:r w:rsidRPr="00500E47">
          <w:rPr>
            <w:rStyle w:val="aa"/>
            <w:rFonts w:ascii="宋体" w:hAnsi="宋体" w:hint="eastAsia"/>
            <w:noProof/>
            <w:sz w:val="24"/>
          </w:rPr>
          <w:t>十、基金的投资</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_Toc240890873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80</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4" w:history="1">
        <w:r w:rsidRPr="00500E47">
          <w:rPr>
            <w:rStyle w:val="aa"/>
            <w:rFonts w:ascii="宋体" w:hAnsi="宋体" w:hint="eastAsia"/>
            <w:noProof/>
            <w:sz w:val="24"/>
          </w:rPr>
          <w:t>十一、基金的业绩</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_Toc240890874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89</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5" w:history="1">
        <w:r w:rsidRPr="00500E47">
          <w:rPr>
            <w:rStyle w:val="aa"/>
            <w:rFonts w:ascii="宋体" w:hAnsi="宋体" w:hint="eastAsia"/>
            <w:noProof/>
            <w:sz w:val="24"/>
          </w:rPr>
          <w:t>十二、基金的财产</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_Toc240890875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94</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6" w:history="1">
        <w:r w:rsidRPr="00500E47">
          <w:rPr>
            <w:rStyle w:val="aa"/>
            <w:rFonts w:ascii="宋体" w:hAnsi="宋体" w:hint="eastAsia"/>
            <w:noProof/>
            <w:sz w:val="24"/>
          </w:rPr>
          <w:t>十三、基金资产的估值</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_Toc240890876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95</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7" w:history="1">
        <w:r w:rsidRPr="00500E47">
          <w:rPr>
            <w:rStyle w:val="aa"/>
            <w:rFonts w:ascii="宋体" w:hAnsi="宋体" w:hint="eastAsia"/>
            <w:noProof/>
            <w:sz w:val="24"/>
          </w:rPr>
          <w:t>十四、基金收益与分配</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_Toc240890877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100</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8" w:history="1">
        <w:r w:rsidRPr="00500E47">
          <w:rPr>
            <w:rStyle w:val="aa"/>
            <w:rFonts w:ascii="宋体" w:hAnsi="宋体" w:hint="eastAsia"/>
            <w:noProof/>
            <w:sz w:val="24"/>
          </w:rPr>
          <w:t>十五、基金的费用与税收</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_Toc240890878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102</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79" w:history="1">
        <w:r w:rsidRPr="00500E47">
          <w:rPr>
            <w:rStyle w:val="aa"/>
            <w:rFonts w:ascii="宋体" w:hAnsi="宋体" w:hint="eastAsia"/>
            <w:noProof/>
            <w:sz w:val="24"/>
          </w:rPr>
          <w:t>十六、基金的会计与审计</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_Toc240890879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105</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0" w:history="1">
        <w:r w:rsidRPr="00500E47">
          <w:rPr>
            <w:rStyle w:val="aa"/>
            <w:rFonts w:ascii="宋体" w:hAnsi="宋体" w:hint="eastAsia"/>
            <w:noProof/>
            <w:sz w:val="24"/>
          </w:rPr>
          <w:t>十七、基金的信息披露</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_Toc240890880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106</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1" w:history="1">
        <w:r w:rsidRPr="00500E47">
          <w:rPr>
            <w:rStyle w:val="aa"/>
            <w:rFonts w:ascii="宋体" w:hAnsi="宋体" w:hint="eastAsia"/>
            <w:noProof/>
            <w:sz w:val="24"/>
          </w:rPr>
          <w:t>十八、侧袋机制</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_Toc240890881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113</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2" w:history="1">
        <w:r w:rsidRPr="00500E47">
          <w:rPr>
            <w:rStyle w:val="aa"/>
            <w:rFonts w:ascii="宋体" w:hAnsi="宋体" w:hint="eastAsia"/>
            <w:noProof/>
            <w:sz w:val="24"/>
          </w:rPr>
          <w:t>十九、风险揭示</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_Toc240890882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116</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3" w:history="1">
        <w:r w:rsidRPr="00500E47">
          <w:rPr>
            <w:rStyle w:val="aa"/>
            <w:rFonts w:ascii="宋体" w:hAnsi="宋体" w:hint="eastAsia"/>
            <w:noProof/>
            <w:sz w:val="24"/>
          </w:rPr>
          <w:t>二十、基金合同的变更、终止与基金财产的清算</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_Toc240890883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123</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4" w:history="1">
        <w:r w:rsidRPr="00500E47">
          <w:rPr>
            <w:rStyle w:val="aa"/>
            <w:rFonts w:ascii="宋体" w:hAnsi="宋体" w:hint="eastAsia"/>
            <w:noProof/>
            <w:sz w:val="24"/>
          </w:rPr>
          <w:t>二十一、基金合同内容摘要</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_Toc240890884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125</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5" w:history="1">
        <w:r w:rsidRPr="00500E47">
          <w:rPr>
            <w:rStyle w:val="aa"/>
            <w:rFonts w:ascii="宋体" w:hAnsi="宋体" w:hint="eastAsia"/>
            <w:noProof/>
            <w:sz w:val="24"/>
          </w:rPr>
          <w:t>二十二、托管协议的内容摘要</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_Toc240890885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142</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6" w:history="1">
        <w:r w:rsidRPr="00500E47">
          <w:rPr>
            <w:rStyle w:val="aa"/>
            <w:rFonts w:ascii="宋体" w:hAnsi="宋体" w:hint="eastAsia"/>
            <w:noProof/>
            <w:sz w:val="24"/>
          </w:rPr>
          <w:t>二十三、对基金份额持有人的服务</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_Toc240890886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158</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7" w:history="1">
        <w:r w:rsidRPr="00500E47">
          <w:rPr>
            <w:rStyle w:val="aa"/>
            <w:rFonts w:ascii="宋体" w:hAnsi="宋体" w:hint="eastAsia"/>
            <w:noProof/>
            <w:sz w:val="24"/>
          </w:rPr>
          <w:t>二十四、其他应披露事项</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_Toc240890887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160</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8" w:history="1">
        <w:r w:rsidRPr="00500E47">
          <w:rPr>
            <w:rStyle w:val="aa"/>
            <w:rFonts w:ascii="宋体" w:hAnsi="宋体" w:hint="eastAsia"/>
            <w:noProof/>
            <w:sz w:val="24"/>
          </w:rPr>
          <w:t>二十五、招募说明书的存放及查阅方式</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_Toc240890888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163</w:t>
        </w:r>
        <w:r w:rsidRPr="00500E47">
          <w:rPr>
            <w:rFonts w:ascii="宋体" w:hAnsi="宋体"/>
            <w:noProof/>
            <w:sz w:val="24"/>
          </w:rPr>
          <w:fldChar w:fldCharType="end"/>
        </w:r>
      </w:hyperlink>
    </w:p>
    <w:p w:rsidR="00500E47" w:rsidRPr="00500E47" w:rsidRDefault="00500E47" w:rsidP="00500E47">
      <w:pPr>
        <w:pStyle w:val="10"/>
        <w:tabs>
          <w:tab w:val="right" w:leader="dot" w:pos="8550"/>
        </w:tabs>
        <w:spacing w:line="360" w:lineRule="auto"/>
        <w:rPr>
          <w:rFonts w:ascii="宋体" w:hAnsi="宋体" w:cstheme="minorBidi"/>
          <w:noProof/>
          <w:sz w:val="24"/>
        </w:rPr>
      </w:pPr>
      <w:hyperlink w:anchor="_Toc240890889" w:history="1">
        <w:r w:rsidRPr="00500E47">
          <w:rPr>
            <w:rStyle w:val="aa"/>
            <w:rFonts w:ascii="宋体" w:hAnsi="宋体" w:hint="eastAsia"/>
            <w:noProof/>
            <w:sz w:val="24"/>
          </w:rPr>
          <w:t>二十六、备查文件</w:t>
        </w:r>
        <w:r w:rsidRPr="00500E47">
          <w:rPr>
            <w:rFonts w:ascii="宋体" w:hAnsi="宋体"/>
            <w:noProof/>
            <w:sz w:val="24"/>
          </w:rPr>
          <w:tab/>
        </w:r>
        <w:r w:rsidRPr="00500E47">
          <w:rPr>
            <w:rFonts w:ascii="宋体" w:hAnsi="宋体"/>
            <w:noProof/>
            <w:sz w:val="24"/>
          </w:rPr>
          <w:fldChar w:fldCharType="begin"/>
        </w:r>
        <w:r w:rsidRPr="00500E47">
          <w:rPr>
            <w:rFonts w:ascii="宋体" w:hAnsi="宋体"/>
            <w:noProof/>
            <w:sz w:val="24"/>
          </w:rPr>
          <w:instrText xml:space="preserve"> PAGEREF _Toc240890889 \h </w:instrText>
        </w:r>
        <w:r w:rsidRPr="00500E47">
          <w:rPr>
            <w:rFonts w:ascii="宋体" w:hAnsi="宋体"/>
            <w:noProof/>
            <w:sz w:val="24"/>
          </w:rPr>
        </w:r>
        <w:r w:rsidRPr="00500E47">
          <w:rPr>
            <w:rFonts w:ascii="宋体" w:hAnsi="宋体"/>
            <w:noProof/>
            <w:sz w:val="24"/>
          </w:rPr>
          <w:fldChar w:fldCharType="separate"/>
        </w:r>
        <w:r w:rsidRPr="00500E47">
          <w:rPr>
            <w:rFonts w:ascii="宋体" w:hAnsi="宋体"/>
            <w:noProof/>
            <w:sz w:val="24"/>
          </w:rPr>
          <w:t>164</w:t>
        </w:r>
        <w:r w:rsidRPr="00500E47">
          <w:rPr>
            <w:rFonts w:ascii="宋体" w:hAnsi="宋体"/>
            <w:noProof/>
            <w:sz w:val="24"/>
          </w:rPr>
          <w:fldChar w:fldCharType="end"/>
        </w:r>
      </w:hyperlink>
    </w:p>
    <w:p w:rsidR="008C2B37" w:rsidRPr="00500E47" w:rsidRDefault="00500E47" w:rsidP="00500E47">
      <w:pPr>
        <w:pStyle w:val="ad"/>
        <w:snapToGrid w:val="0"/>
        <w:spacing w:after="240" w:line="360" w:lineRule="auto"/>
        <w:jc w:val="center"/>
        <w:rPr>
          <w:rFonts w:ascii="宋体" w:hAnsi="宋体"/>
          <w:color w:val="000000"/>
          <w:sz w:val="24"/>
        </w:rPr>
      </w:pPr>
      <w:r w:rsidRPr="00500E47">
        <w:rPr>
          <w:rFonts w:ascii="宋体" w:hAnsi="宋体"/>
          <w:color w:val="000000"/>
          <w:position w:val="-4"/>
          <w:sz w:val="24"/>
          <w:szCs w:val="30"/>
        </w:rPr>
        <w:fldChar w:fldCharType="end"/>
      </w:r>
      <w:bookmarkStart w:id="3" w:name="_GoBack"/>
      <w:bookmarkEnd w:id="3"/>
    </w:p>
    <w:p w:rsidR="008C2B37" w:rsidRDefault="008C2B37">
      <w:pPr>
        <w:autoSpaceDE w:val="0"/>
        <w:autoSpaceDN w:val="0"/>
        <w:adjustRightInd w:val="0"/>
        <w:snapToGrid w:val="0"/>
        <w:spacing w:line="360" w:lineRule="auto"/>
        <w:ind w:left="120" w:rightChars="6" w:right="13"/>
        <w:rPr>
          <w:rFonts w:ascii="宋体" w:hAnsi="宋体"/>
          <w:kern w:val="0"/>
          <w:szCs w:val="24"/>
        </w:rPr>
        <w:sectPr w:rsidR="008C2B37">
          <w:pgSz w:w="11920" w:h="16840"/>
          <w:pgMar w:top="1480" w:right="1680" w:bottom="280" w:left="1680" w:header="0" w:footer="1073" w:gutter="0"/>
          <w:cols w:space="720"/>
        </w:sectPr>
      </w:pPr>
    </w:p>
    <w:p w:rsidR="008C2B37" w:rsidRDefault="005A6265">
      <w:pPr>
        <w:pStyle w:val="1"/>
        <w:snapToGrid w:val="0"/>
        <w:spacing w:beforeLines="0" w:before="240" w:after="240"/>
        <w:rPr>
          <w:rFonts w:ascii="宋体" w:hAnsi="宋体"/>
          <w:szCs w:val="30"/>
        </w:rPr>
      </w:pPr>
      <w:bookmarkStart w:id="4" w:name="_Toc240890864"/>
      <w:r>
        <w:rPr>
          <w:rFonts w:ascii="Times New Roman" w:hAnsi="Times New Roman"/>
          <w:sz w:val="30"/>
        </w:rPr>
        <w:lastRenderedPageBreak/>
        <w:t>一、绪言</w:t>
      </w:r>
      <w:bookmarkEnd w:id="4"/>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稳鑫短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稳鑫短债债券型证券投资基金基金合同》（以下简称“基金合同”）编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5" w:name="_Toc240890865"/>
      <w:r>
        <w:rPr>
          <w:rFonts w:ascii="Times New Roman" w:hAnsi="Times New Roman"/>
          <w:sz w:val="30"/>
        </w:rPr>
        <w:lastRenderedPageBreak/>
        <w:t>二、释义</w:t>
      </w:r>
      <w:bookmarkEnd w:id="5"/>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1、基金或本基金：指交银施罗德稳鑫短债债券型证券投资基金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3、基金托管人或本基金托管人：指招商银行股份有限公司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4、基金合同或《基金合同》：指《交银施罗德稳鑫短债债券型证券投资基金基金合同》及对基金合同的任何有效修订和补充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5、托管协议：指基金管理人与基金托管人就本基金签订之《交银施罗德稳鑫短债债券型证券投资基金托管协议》及对该托管协议的任何有效修订和补充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6、招募说明书、本招募说明书或《招募说明书》：指《交银施罗德稳鑫短债债券型证券投资基金招募说明书》及其更新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7、基金份额发售公告：指《交银施罗德稳鑫短债债券型证券投资基金基金份额发售公告》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8、基金产品资料概要：指《交银施罗德稳鑫短债债券型证券投资基金基金产品资料概要》及其更新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12、《信息披露办法》：指中国证监会2019年7月26日颁布、同年9月1日实施的《公开募集证券投资基金信息披露管理办法》及颁布机关对其不时做出的修订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14、《流动性规定》：指《公开募集开放式证券投资基金流动性风险管理规定》及颁布机关对其不时做出的修订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15、流动性受限资产：指由于法律法规、监管、合同或操作障碍等原因无法以合理价格予以变现的资产，包括但不限于到期日在 10 个交易日以上的逆回购与银</w:t>
      </w:r>
      <w:r>
        <w:rPr>
          <w:rFonts w:ascii="宋体" w:hAnsi="宋体"/>
          <w:sz w:val="24"/>
        </w:rPr>
        <w:lastRenderedPageBreak/>
        <w:t>行定期存款（含协议约定有条件提前支取的银行存款）、资产支持证券、因发行人债务违约无法进行转让或交易的债券等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17、中国证监会：指中国证券监督管理委员会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18、银行业监督管理机构：指中国人民银行和/或中国银行保险监督管理委员会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19、基金合同当事人：指受基金合同约束，根据基金合同享有权利并承担义务的法律主体，包括基金管理人、基金托管人和基金份额持有人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20、个人投资者：指依据有关法律法规规定可投资于证券投资基金的自然人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21、机构投资者：指依法可以投资证券投资基金的、在中华人民共和国境内合法登记并存续或经有关政府部门批准设立并存续的企业法人、事业法人、社会团体或其他组织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22、合格境外机构投资者：指符合《合格境外机构投资者境内证券投资管理办法》及相关法律法规规定，可以投资于在中国境内依法募集的证券投资基金的中国境外的机构投资者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23、人民币合格境外机构投资者：指按照《人民币合格境外机构投资者境内证券投资试点办法》及相关法律法规规定，运用来自境外的人民币资金进行中国境内证券投资的境外机构投资者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24、投资人或投资者：指个人投资者、机构投资者、合格境外机构投资者和人民币合格境外机构投资者以及法律法规或中国证监会允许购买证券投资基金的其他投资人的合称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25、基金份额持有人：指依基金合同和招募说明书合法取得基金份额的投资人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26、基金销售业务：指基金管理人或销售机构宣传推介基金，发售基金份额，办理基金份额的申购、赎回、转换、转托管及定期定额投资等业务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27、销售机构：指交银施罗德基金管理有限公司以及符合《销售办法》和中国证监会规定的其他条件，取得基金销售业务资格并与基金管理人签订了基金销售服</w:t>
      </w:r>
      <w:r>
        <w:rPr>
          <w:rFonts w:ascii="宋体" w:hAnsi="宋体"/>
          <w:sz w:val="24"/>
        </w:rPr>
        <w:lastRenderedPageBreak/>
        <w:t>务协议，办理基金销售业务的机构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29、登记机构：指办理登记业务的机构。基金的登记机构为交银施罗德基金管理有限公司或接受交银施罗德基金管理有限公司委托办理登记业务的机构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30、基金账户：指登记机构为投资人开立的、记录其持有的、基金管理人所管理的基金份额余额及其变动情况的账户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31、基金交易账户：指销售机构为投资人开立的、记录投资人通过该销售机构办理认购、申购、赎回、转换、定期定额投资及转托管等业务而引起的基金份额变动及结余情况的账户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32、基金合同生效日：指基金募集达到法律法规规定及基金合同规定的条件，基金管理人向中国证监会办理基金备案手续完毕，并获得中国证监会书面确认的日期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33、基金合同终止日：指基金合同规定的基金合同终止事由出现后，基金财产清算完毕，清算结果报中国证监会备案并予以公告的日期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34、基金募集期：指自基金份额发售之日起至发售结束之日止的期间，最长不得超过3个月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35、存续期：指基金合同生效至终止之间的不定期期限</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36、工作日：指上海证券交易所、深圳证券交易所的正常交易日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37、T日：指销售机构在规定时间受理投资人申购、赎回或其他业务申请的开放日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38、T+n日：指自T日起第n个工作日(不包含T日)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39、开放日：指为投资人办理基金份额申购、赎回或其他业务的工作日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40、开放时间：指开放日基金接受申购、赎回或其他交易的时间段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42、认购：指在基金募集期内，投资人根据基金合同和招募说明书的规定申请</w:t>
      </w:r>
      <w:r>
        <w:rPr>
          <w:rFonts w:ascii="宋体" w:hAnsi="宋体"/>
          <w:sz w:val="24"/>
        </w:rPr>
        <w:lastRenderedPageBreak/>
        <w:t>购买基金份额的行为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43、申购：指基金合同生效后，投资人根据基金合同和招募说明书的规定申请购买基金份额的行为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44、赎回：指基金合同生效后，基金份额持有人按基金合同和招募说明书规定的条件要求将基金份额兑换为现金的行为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45、销售服务费：指从基金资产中计提的，用于本基金市场推广、销售以及基金份额持有人服务的费用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基金份额类别：指本基金根据认购/申购费用、赎回费、销售服务费收取标准和方式的不同，将基金份额分为不同的类别。在投资人认购/申购时收取认购/申购费用、赎回时收取赎回费的，称为A类基金份额；在投资人认购/申购时不收取认购/申购费用、赎回时收取赎回费的，同时从本类别基金资产中计提销售服务费的，称为C类基金份额；在投资人申购时收取申购费用、赎回时收取赎回费的，称为D类基金份额；在投资人申购时不收取申购费用、赎回时收取赎回费的，同时从本类别基金资产中计提销售服务费的，称为E类基金份额；A类基金份额与D类基金份额设置不同的申购费、赎回费收取标准；C类基金份额与E类基金份额设置不同的销售服务费、赎回费收取标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52、基金收益：指基金投资所得债券利息、买卖证券价差、银行存款利息、已实现的其他合法收入及因运用基金财产带来的成本和费用的节约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53、基金资产总值：指基金拥有的各类有价证券、银行存款本息、基金应收申购款及其他资产的价值总和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57、指定媒介：指中国证监会指定的用以进行信息披露的全国性报刊及指定互联网网站（包括基金管理人网站、基金托管人网站、中国证监会基金电子披露网站）等媒介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6" w:name="_Toc240890866"/>
      <w:r>
        <w:rPr>
          <w:rFonts w:ascii="Times New Roman" w:hAnsi="Times New Roman"/>
          <w:sz w:val="30"/>
        </w:rPr>
        <w:lastRenderedPageBreak/>
        <w:t>三、基金管理人</w:t>
      </w:r>
      <w:bookmarkEnd w:id="6"/>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姬静女士:基金经理。北京大学经济学硕士、对外经济贸易大学经济学学士。13年证券投资相关工作经验。2013年至2015年任中国工商银行总行资产管理部投资经理 ，2015年至2016年任法国巴黎银行（中国）有限公司全球市场部信用分析师。2016年加入交银施罗德基金管理有限公司，曾任固定收益部高级研究员、基金经理助理，现任固定收益部基金经理。曾任交银施罗德裕盈纯债债券型证券投资基金(2022年11月12日至2025年01月15日)的基金经理。现任交银施罗德境尚收益债券型证券投资基金(2022年08月20日至今)、交银施罗德稳鑫短债债券型证券投资基金(2022年08月20日至今)、交银施罗德稳安60天滚动持有债券型证券投资基金(2023年01月09日至今)、交银施罗德稳安90天持有期债券型证券投资基金(2023年04月25日至今)、交银施罗德120天滚动持有债券型证券投资基金(2025年09月02日至今)的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丹妮女士:基金经理。复旦大学工商管理硕士、中山大学理学学士。11年证券投资行业从业经验。2015年至2016年任五矿证券有限责任公司交易员。2016年加入交银施罗德基金管理有限公司，曾任中央交易室交易员、固定收益部研究员、基金经理助理，现任固定收益部基金经理。现任交银施罗德丰享收益债券型证券投资基金(2025年02月20日至今)、交银施罗德天益宝货币市场基金(2025年02月20日至今)、交银施罗德丰盈收益债券型证券投资基金(2025年02月20日至今)、交银施罗德稳益短债债券型证券投资基金(2025年02月20日至今)、交银施罗德稳鑫短债债券型证券投资基金(2026年09月19日至今)的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黄莹洁女士(2019年01月24日至2024年11月09日)。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于海颖（混合资产投资总监、基金经理）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（5）侵占、挪用基金财产；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w:t>
      </w:r>
      <w:r>
        <w:rPr>
          <w:rFonts w:ascii="宋体" w:hAnsi="宋体"/>
          <w:sz w:val="24"/>
        </w:rPr>
        <w:lastRenderedPageBreak/>
        <w:t>控制成本达到最佳的内部控制效果。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（7）内控合规及法律事务部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（7）提供足够的培训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7" w:name="_Toc240890867"/>
      <w:r>
        <w:rPr>
          <w:rFonts w:ascii="Times New Roman" w:hAnsi="Times New Roman"/>
          <w:sz w:val="30"/>
        </w:rPr>
        <w:lastRenderedPageBreak/>
        <w:t>四、基金托管人</w:t>
      </w:r>
      <w:bookmarkEnd w:id="7"/>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（一）基金托管人概况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名称：招商银行股份有限公司（以下简称“招商银行”）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设立日期：1987年3月31日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注册地址：深圳市深南大道7088号招商银行大厦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注册资本：252.20亿元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行长：王小青（拟任）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资产托管业务批准文号：证监基金字[2002]83号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电话：4006195555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传真：0755-83195201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资产托管部信息披露负责人：张姗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2、发展概况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于1987年在深圳创建，是中国境内第一家完全由企业法人持股的股份制商业银行，成立38年来逐步发展成为沪港两地上市，拥有商业银行、金融租赁、基金管理、人寿保险、境外投行、消费金融、理财子公司等金融牌照的银行集团。成立以来，招商银行始终坚持服务立行、创新驱动、科技兴行、人才强行，以自身转型发展助力社会经济高质量发展，全力服务居民和企业客户财富增长、资产安全、资金融通。截至2026年3月31日，本集团总资产134,848.82亿元人民币，高级法下资本充足率17.76%，权重法下资本充足率14.60%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2002年8月，招商银行成立基金托管部；2005年8月，经报中国证监会同意，更名为资产托管部，现下设基金券商团队、银保信托团队、养老金团队、业务管理团队、产品研发团队、风险管理团队、系统与数据团队、项目支持团队、运营管理团队、基金外包业务团队10个职能团队，现有员工261人。2002年11月，经中国人民银行和中国证监会批准获得证券投资基金托管业务资格，成为国内第一家获得该项业务资格上市银行；2003年4月，正式办理基金托管业务。招商银行作为托管业务资质最全的商业银行之一，拥有证券投资基金托管资格、基本养老保险基金托管机</w:t>
      </w:r>
      <w:r>
        <w:rPr>
          <w:rFonts w:ascii="宋体" w:hAnsi="宋体"/>
          <w:sz w:val="24"/>
        </w:rPr>
        <w:lastRenderedPageBreak/>
        <w:t>构资格、受托投资管理托管业务托管资格、保险资金托管业务资格、企业年金基金托管业务资格、合格境外机构投资者托管（QFII）资格、合格境内机构投资者托管（QDII）资格、私募基金业务外包服务资格、存托凭证试点存托业务等业务资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结合自身在托管行业深耕24年的专业能力和创新精神，推出“招商银行托管+”服务品牌，以“践行价值银行战略，致力于成为专业更精、科技更强、服务更佳的客户首选全球托管银行”品牌愿景为指引，以“值得信赖的专家、贴心服务的管家、让价值持续增加、客户的体验更佳”的“4+目标”，以创新的“服务产品化”为方法论，全方位助力资管机构实现可持续的高质量发展。招商银行资产托管围绕资管全场景，打造了“如风运营”“大观投研”“见微数据”三个服务子品牌，不断创新托管系统、服务和产品：在业内率先推出“网上托管银行系统”、托管业务综合系统和“6S”托管服务标准，首家发布私募基金绩效分析报告，开办国内首个托管银行网站，推出国内首个托管大数据平台，成功托管国内第一只券商集合资产管理计划、第一只FOF、第一只信托资金计划、第一只股权私募基金、第一家实现货币市场基金赎回资金T+1到账、第一只境外银行QDII基金、第一只红利ETF基金、第一只“1+N”基金专户理财、第一家大小非解禁资产、第一单TOT保管，实现从单一托管服务商向全面投资者服务机构的转变，得到了同业认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招商银行资产托管业务持续稳健发展，社会影响力不断提升,近年来获得业内各类奖项荣誉。2016年5月 “托管通”荣获《银行家》2016中国金融创新 “十佳金融产品创新奖”； 6月荣获《财资》“中国最佳托管银行奖”，成为国内唯一获得该奖项的托管银行；7月荣获中国资产管理“金贝奖”“最佳资产托管银行”、《21世纪经济报道》“2016最佳资产托管银行”。2017年5月荣获《亚洲银行家》“中国年度托管银行奖”；6月荣获《财资》“中国最佳托管银行奖”；“全功能网上托管银行2.0”荣获《银行家》2017中国金融创新“十佳金融产品创新奖”。2018年1月荣获中央国债登记结算有限责任公司“2017年度优秀资产托管机构”奖；同月，托管大数据平台风险管理系统荣获2016-2017年度银监会系统“金点子”方案一等奖，以及中央金融团工委、全国金融青联第五届“双提升”金点子方案二等奖；3月荣获《中国基金报》 “最佳基金托管银行”奖；5月荣获国际财经权威媒体《亚洲银行家》“中国年度托管银行奖”；12月荣获2018东方财富风云榜“2018年度最佳托管银行”、“20年最值得信赖托管银行”奖。2019年3月荣获</w:t>
      </w:r>
      <w:r>
        <w:rPr>
          <w:rFonts w:ascii="宋体" w:hAnsi="宋体"/>
          <w:sz w:val="24"/>
        </w:rPr>
        <w:lastRenderedPageBreak/>
        <w:t>《中国基金报》“2018年度最佳基金托管银行”奖；6月荣获《财资》“中国最佳托管机构”“中国最佳养老金托管机构”“中国最佳零售基金行政外包”三项大奖；12月荣获2019东方财富风云榜“2019年度最佳托管银行”奖。2020年1月，荣获中央国债登记结算有限责任公司“2019年度优秀资产托管机构”奖项；6月荣获《财资》“中国境内最佳托管机构”“最佳公募基金托管机构”“最佳公募基金行政外包机构”三项大奖；10月荣获《中国基金报》第二届中国公募基金英华奖“2019年度最佳基金托管银行”奖。2021年1月，荣获中央国债登记结算有限责任公司“2020年度优秀资产托管机构”奖项；同月荣获2020东方财富风云榜“2020年度最受欢迎托管银行”奖项；2021年10月，《证券时报》“2021年度杰出资产托管银行天玑奖”；2021年12月，荣获《中国基金报》第三届中国公募基金英华奖“2020年度最佳基金托管银行”；2022年1月荣获中央国债登记结算有限责任公司“2021年度优秀资产托管机构、估值业务杰出机构”奖项；9月荣获《财资》“中国最佳托管银行”“最佳公募基金托管银行”“最佳理财托管银行”三项大奖；12月荣获《证券时报》“2022年度杰出资产托管银行天玑奖”；2023年1月荣获中央国债登记结算有限责任公司“2022年度优秀资产托管机构”、银行间市场清算所股份有限公司“2022年度优秀托管机构”、全国银行间同业拆借中心“2022年度银行间本币市场托管业务市场创新奖”三项大奖；2023年4月，荣获《中国基金报》第二届中国基金业创新英华奖“托管创新奖”；2023年9月，荣获《中国基金报》中国基金业英华奖“公募基金25年基金托管示范银行（全国性股份行）”；2023年12月，荣获《东方财富风云榜》“2023年度托管银行风云奖”。2024年1月，荣获中央国债登记结算有限责任公司“2023年度优秀资产托管机构”、“2023年度估值业务杰出机构”、“2023年度债市领军机构”、“2023年度中债绿债指数优秀承销机构”四项大奖；2024年2月，荣获泰康养老保险股份有限公司“2023年度最佳年金托管合作伙伴”奖。2024年4月，荣获中国基金报“中国基金业英华奖-ETF20周年特别评选“优秀ETF托管人””奖。2024年6月，荣获上海清算所“2023年度优秀托管机构”奖。2024年8月，在《21世纪经济报道》主办的2024资产管理年会暨十七届21世纪【金贝】资产管理竞争力研究案例发布盛典上，“招商银行托管+”荣获“2024卓越影响力品牌”奖项；2024年9月，在2024财联社中国金融业“拓扑奖”评选中，荣获银行业务类奖项“2024年资产托管银行‘拓扑奖’”；2024年12月，荣获《中国证券报》“ETF金牛生态圈卓越托管机构（银行）奖”；2024年12月，</w:t>
      </w:r>
      <w:r>
        <w:rPr>
          <w:rFonts w:ascii="宋体" w:hAnsi="宋体"/>
          <w:sz w:val="24"/>
        </w:rPr>
        <w:lastRenderedPageBreak/>
        <w:t>荣获《2024东方财富风云际会》“年度托管银行风云奖”。2025年1月，荣获中央国债登记结算有限责任公司“2024年度优秀资产托管机构”奖项、上海清算所“2024年度优秀托管机构”奖项；2025年2月，荣获全国银行间同业拆借中心“2024年度市场创新业务机构”奖项；2025年3月，荣获《中国基金报》2025年指数生态圈英华典型案例“指数产品托管机构”奖项；2025年6月，荣获《亚洲银行家》“中国最佳托管银行”“中国最佳股份制托管银行”奖项。2025年8月，在《21世纪经济报道》主办的2025资产管理年会暨十八届21世纪【金贝】资产管理竞争力案例发布盛典上，“招商银行托管+”荣获“2025卓越影响力品牌”奖项。2025年12月，荣获《2025东方财富风云际会》“年度托管银行风云奖”。2026年1月，荣获中央国债登记结算有限责任公司“2025年度优秀资产托管机构”奖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缪建民先生，招商银行董事长、非执行董事，2020年9月起担任招商银行董事、董事长。中央财经大学经济学博士，高级经济师。中国共产党第十九届、二十届中央委员会候补委员。招商局集团有限公司董事长。曾任中国人寿保险（集团）公司副董事长、总裁，中国人民保险集团股份有限公司副董事长、总裁、董事长，曾兼任中国人民财产保险股份有限公司董事长，中国人保资产管理有限公司董事长，中国人民健康保险股份有限公司董事长，中国人民保险（香港）有限公司董事长，人保资本投资管理有限公司董事长，中国人民养老保险有限责任公司董事长，中国人民人寿保险股份有限公司董事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小青先生，招商银行党委书记，复旦大学政治经济学博士。曾任中国人保资产管理有限公司总裁助理、副总裁兼财务负责人，招商基金管理有限公司总经理、董事长，招商银行行长助理兼深圳分行行长、招商银行副行长，招商局金融控股有限公司总经理。曾兼任招商信诺人寿保险有限公司董事长、招商信诺资产管理有限公司董事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颖女士，招商银行副行长，南京大学政治经济学专业硕士，经济师。王颖女士1997年1月加入招商银行，历任招商银行北京分行行长助理、副行长，天津分行行长，深圳分行行长，招商银行行长助理。2023年11月起任招商银行副行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孙乐女士，招商银行资产托管部总经理，硕士研究生毕业，2001年8月加入招商银行至今，历任招商银行合肥分行风险控制部副经理、经理、信贷管理部总经理助理、副总经理、总经理、公司银行部总经理、中小企业金融部总经理、投行与金</w:t>
      </w:r>
      <w:r>
        <w:rPr>
          <w:rFonts w:ascii="宋体" w:hAnsi="宋体"/>
          <w:sz w:val="24"/>
        </w:rPr>
        <w:lastRenderedPageBreak/>
        <w:t>融市场部总经理；无锡分行行长助理、副行长；南京分行副行长；2021年10月起先后任招商银行资产托管部负责人、资产托管部总经理，具有20余年银行从业经验，在风险管理、信贷管理、公司金融、资产托管等领域有深入的研究和丰富的实务经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截至2026年3月31日，招商银行股份有限公司累计托管1813只证券投资基金。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（四）托管人的内部控制制度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内部控制目标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确保托管业务严格遵守国家有关法律法规和行业监管制度，坚持守法经营、规范运作的经营理念；形成科学合理的决策机制、执行机制和监督机制，防范和化解经营风险，确保托管业务的稳健运行和托管资产的安全；建立有利于查错防弊、堵塞漏洞、消除隐患，保证业务稳健运行的风险控制制度，确保托管业务信息真实、准确、完整、及时；确保内控机制、体制的不断改进和各项业务制度、流程的不断完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招商银行资产托管业务建立三级内部控制及风险防范体系：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一级内部控制及风险防范是在招商银行总行风险管控层面对风险进行预防和控制；总行风险管理部、法律合规部、审计部独立对资产托管业务进行评估监督，并提出内控提升管理建议。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二级内部控制及风险防范是招商银行资产托管部设立风险合规管理相关团队，负责部门内部风险预防和控制，及时发现内部控制缺陷，提出整改方案，跟踪整改情况，并直接向部门总经理室报告。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三级内部控制及风险防范是招商银行资产托管部在设置专业岗位时，遵循内控制衡原则，视业务的风险程度制定相应监督制衡机制。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内部控制原则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（1）全面性原则。内部控制覆盖各项业务过程和操作环节、覆盖所有团队和岗位，并由全部人员参与。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（2）审慎性原则。托管组织体系的构成、内部管理制度的建立均以防范风险、审慎经营为出发点，体现“内控优先”的要求。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（3）独立性原则。招商银行资产托管部各团队、各岗位职责保持相对独立，</w:t>
      </w:r>
      <w:r>
        <w:rPr>
          <w:rFonts w:ascii="宋体" w:hAnsi="宋体"/>
          <w:sz w:val="24"/>
        </w:rPr>
        <w:lastRenderedPageBreak/>
        <w:t>不同托管资产之间、托管资产和自有资产之间相互分离。内部控制的检查、评价部门独立于内部控制的建立和执行部门。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有效性原则。内部控制有效性包含内部控制设计的有效性、内部控制执行的有效性。内部控制设计的有效性是指内部控制的设计覆盖了所有应关注的重要风险，且设计的风险应对措施适当。内部控制执行的有效性是指内部控制能够按照设计要求严格有效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（5）适应性原则。内部控制适应招商银行托管业务风险管理的需要，并能够随着托管业务经营战略、经营方针、经营理念等内部环境的变化和国家法律、法规、政策制度等外部环境的改变及时进行修订和完善。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（6）防火墙原则。招商银行资产托管部办公场地与我行其他业务场地隔离，办公网和业务网物理分离，部门业务网和全行业务网防火墙策略分离，以达到风险防范的目的。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（7）重要性原则。内部控制在实现全面控制的基础上，关注重要托管业务重要事项和高风险环节。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（8）制衡性原则。内部控制能够实现在托管组织体系、机构设置、权责分配及业务流程等方面相互制约、相互监督，同时兼顾运营效率。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 内部控制措施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完善的制度建设。招商银行资产托管部从资产托管业务内控管理、产品受理、会计核算、资金清算、岗位管理、档案管理和信息管理等方面制定一系列规章制度，建立了三层制度体系，即：基本规定、业务管理办法和业务操作规程。制度结构层次清晰、管理要求明确，满足风险管理全覆盖的要求，保证资产托管业务科学化、制度化、规范化运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（2）业务信息风险控制。招商银行资产托管部在数据传输和保存方面有严格的加密和备份措施，采用加密、直连方式传输数据，数据执行异地实时备份，所有的业务信息须经过严格的授权方能进行访问。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（3）客户资料风险控制。招商银行资产托管部对业务办理过程中获取的客户资料严格保密，除法律法规和其他有关规定、监管机构及审计要求外，不向任何机构、部门或个人泄露。</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（4）信息技术系统风险控制。招商银行对信息技术系统机房、权限管理实行双人双岗双责，电脑机房24小时值班并设置门禁，所有电脑设置密码及相应权限。</w:t>
      </w:r>
      <w:r>
        <w:rPr>
          <w:rFonts w:ascii="宋体" w:hAnsi="宋体"/>
          <w:sz w:val="24"/>
        </w:rPr>
        <w:lastRenderedPageBreak/>
        <w:t>业务网和办公网、托管业务网与全行业务网双分离制度，与外部业务机构实行防火墙保护，对信息技术系统采取两地三中心的应急备份管理措施等，保证信息技术系统的安全。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（5）人力资源控制。招商银行资产托管部通过建立良好的企业文化和员工培训、激励机制、加强人力资源管理及建立人才梯级队伍及人才储备机制，有效地进行人力资源管理。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中华人民共和国证券投资基金法》《公开募集证券投资基金运作管理办法》等有关法律法规的规定及基金合同、托管协议的约定，对基金投资范围、投资比例、投资组合等情况的合法性、合规性进行监督和核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为基金投资运作所提供的基金清算和核算服务环节中，基金托管人对基金管理人发送的投资指令、基金管理人对各基金费用的提取与支付情况进行检查监督，对违反法律法规、基金合同的指令拒绝执行，并立即通知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如发现基金管理人依据交易程序已经生效的投资指令违反法律、行政法规和其他有关规定，或者违反基金合同约定，及时以书面形式通知基金管理人进行整改，整改的时限应符合法律法规及基金合同允许的调整期限。基金管理人收到通知后应及时核对确认并以书面形式向基金托管人发出回函并改正。基金管理人对基金托管人通知的违规事项未能在限期内纠正的，基金托管人应报告中国证监会。</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8" w:name="_Toc240890868"/>
      <w:r>
        <w:rPr>
          <w:rFonts w:ascii="Times New Roman" w:hAnsi="Times New Roman"/>
          <w:sz w:val="30"/>
        </w:rPr>
        <w:lastRenderedPageBreak/>
        <w:t>五、相关服务机构</w:t>
      </w:r>
      <w:bookmarkEnd w:id="8"/>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（1）名称：中国民生银行股份有限公司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（2）名称：兴业银行股份有限公司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注册地址：福建省福州市台江区江滨中大道398号兴业银行大厦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联系电话：021-52629999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（4）名称：平安银行股份有限公司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（5）名称：中国光大银行股份有限公司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传真：（010）63639709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（6）名称：招商银行股份有限公司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（7）名称：上海浦东发展银行股份有限公司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（8）名称：中国邮政储蓄银行股份有限公司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（9）名称：江苏银行股份有限公司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（11）名称：交通银行股份有限公司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（12）名称：长城证券有限责任公司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传真：（0755）83516199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（13）名称：国联民生证券股份有限公司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（14）名称：江海证券有限公司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（15）名称：申万宏源证券有限公司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（16）名称：申万宏源西部证券有限公司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办公地址：北京市西城区太平桥大街19号宏源证券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（17）名称：西部证券股份有限公司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（18）名称：广发证券股份有限公司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（19）名称：光大证券股份有限公司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办公地址：上海市静安区新闸路1508号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（20）名称：兴业证券股份有限公司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（21）名称：大同证券有限责任公司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客服电话：4007121212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（22）名称：山西证券股份有限公司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（23）名称：华宝证券股份有限公司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办公地址：中国上海市浦东新区世纪大道100号上海环球金融中心57楼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（24）名称：国信证券股份有限公司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（25）名称：东兴证券股份有限公司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（26）名称：招商证券股份有限公司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联系人：黄婵君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（27）名称：国金证券股份有限公司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（28）名称：第一创业证券股份有限公司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（29）名称：国投证券股份有限公司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（30）名称：天风证券股份有限公司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注册地址：湖北省武汉市东湖新技术开发区关东园路2号高科大厦4楼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办公地址：武汉市武昌区中南路99号保利广场A座37楼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法定代表人：余磊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联系电话：027-87107535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传真：027-87618863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联系人：王雅薇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客户服务电话：95391 / 400-800-5000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网址：www.tfzq.com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（31）名称：中国中金财富证券有限公司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（32）名称：中原证券股份有限公司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（33）名称：方正证券股份有限公司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传真：（010）68546792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网址：www.foundersc.com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（34）名称：开源证券股份有限公司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注册地址：陕西省西安市高新区锦业路一号都市之门B座5层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办公地址：陕西省西安市高新区锦业路一号都市之门B座5层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电话：13709210036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联系人：赵东会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网址：www.kysec.cn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（35）名称：东方证券股份有限公司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（36）名称：平安证券股份有限公司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（37）名称：东莞证券股份有限公司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住所：广东省东莞市莞城区可园南路一号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（38）名称：华福证券股份有限公司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（39）名称：中信建投证券股份有限公司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（40）名称：华泰证券股份有限公司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客户服务电话：95597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（41）名称：华西证券股份有限公司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（42）名称：中信证券（山东）有限责任公司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（43）名称：中信证券股份有限公司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（44）名称：中信证券华南股份有限公司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法定代表人：陈可可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（45）名称：国泰海通证券股份有限公司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（46）名称：民生证券股份有限公司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住所：北京市东城区建国门内大街28号民生金融中心A座16层--18层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（47）名称：上海中欧财富基金销售有限公司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 刘弘义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（48）名称：大连网金基金销售有限公司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（49）名称：阳光人寿保险股份有限公司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（50）名称：上海大智慧基金销售有限公司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（51）名称：南京苏宁基金销售有限公司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（52）名称：北京虹点基金销售有限公司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客户服务电话：400-618-0707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（53）名称：上海挖财基金销售有限公司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（54）名称：万家财富基金销售（天津）有限公司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办公地址：北京市西城区丰盛胡同28号太平洋保险大厦A座5层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（55）名称：上海万得基金销售有限公司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（56）名称：格上富信投资顾问有限公司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（57）名称：深圳市金斧子基金销售有限公司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传真：（0755）66892399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（58）名称：北京雪球基金销售有限公司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（59）名称：北京新浪仓石基金销售有限公司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（60）名称：上海证达通基金销售有限公司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传真：（021）20538999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客户服务电话：021-20538880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（61）名称：北京创金启富基金销售有限公司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（62）名称：奕丰基金销售有限公司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（63）名称：宜信普泽（北京）基金销售有限公司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（64）名称：上海联泰基金销售有限公司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（65）名称：北京广源达信基金销售有限公司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电话：400-616-7531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（66）名称：深圳市新兰德证券投资咨询有限公司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（67）名称：中国人寿保险股份有限公司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（68）名称：珠海盈米基金销售有限公司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（69）名称：嘉实财富管理有限公司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（70）名称：济安财富（北京）基金销售有限公司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（71）名称：上海天天基金销售有限公司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（72）名称：腾安基金销售（深圳）有限公司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电话：95017（拨通后转1转8）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（73）名称：北京汇成基金销售有限公司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（74）名称：诺亚正行基金销售有限公司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法定代表：汪静波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（75）名称：上海好买基金销售有限公司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（76）名称：北京度小满基金销售有限公司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（77）名称：泛华普益基金销售有限公司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客户服务电话：400-080-3388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（78）名称：和耕传承基金销售有限公司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（79）名称：深圳众禄基金销售股份有限公司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（80）名称：玄元保险代理有限公司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网址：www.licaimofang.cn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（81）名称：上海华夏财富投资管理有限公司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住所：上海市虹口区东大名路687号1幢2楼268室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（82）名称：浙江同花顺基金销售有限公司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（83）名称：上海攀赢基金销售有限公司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客户服务电话：021-68889082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网址：www.weonefunds.com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（84）名称：博时财富基金销售有限公司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（85）名称：上海长量基金销售有限公司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住所：上海市浦东新区高翔路526号2幢220室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（86）名称：中信期货有限公司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（87）名称：上海基煜基金销售有限公司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（88）名称：蚂蚁（杭州）基金销售有限公司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住所：浙江省杭州市余杭区五常街道文一西路969号3幢5层599室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（89）名称：上海利得基金销售有限公司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（90）名称：京东肯特瑞基金销售有限公司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（91）名称：上海陆金所基金销售有限公司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法定代表人：王之光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（92）名称：深圳前海微众银行股份有限公司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办公地址：上海市银城中路68号时代金融中心19楼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经办注册会计师：王国蓓、侯雯</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9" w:name="_Toc240890869"/>
      <w:r>
        <w:rPr>
          <w:rFonts w:ascii="Times New Roman" w:hAnsi="Times New Roman"/>
          <w:sz w:val="30"/>
        </w:rPr>
        <w:lastRenderedPageBreak/>
        <w:t>六、基金的募集</w:t>
      </w:r>
      <w:bookmarkEnd w:id="9"/>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本基金由基金管理人依照《基金法》、《运作办法》、《销售办法》、基金合同及其他有关规定，并经中国证监会2018年11月30日证监许可【2018】1995号文准予募集注册。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本基金为契约型债券型证券投资基金。基金存续期间为不定期。本基金募集期间基金份额净值为人民币1.00元，按初始面值发售。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本基金自2019年1月7日起至2019年1月18日止进行发售。本基金设立募集期共募集1,623,201,201.21份基金份额，有效认购户数为5,948户。</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0" w:name="_Toc240890870"/>
      <w:r>
        <w:rPr>
          <w:rFonts w:ascii="Times New Roman" w:hAnsi="Times New Roman"/>
          <w:sz w:val="30"/>
        </w:rPr>
        <w:lastRenderedPageBreak/>
        <w:t>七、基金合同的生效</w:t>
      </w:r>
      <w:bookmarkEnd w:id="10"/>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根据有关规定，本基金满足基金合同生效条件，基金合同已于2019年1月24日正式生效。自基金合同生效之日起，本基金管理人正式开始管理本基金。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应向中国证监会报告，并可提前终止基金合同，不需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1" w:name="_Toc240890871"/>
      <w:r>
        <w:rPr>
          <w:rFonts w:ascii="Times New Roman" w:hAnsi="Times New Roman"/>
          <w:sz w:val="30"/>
        </w:rPr>
        <w:lastRenderedPageBreak/>
        <w:t>八、基金份额的申购与赎回</w:t>
      </w:r>
      <w:bookmarkEnd w:id="11"/>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A类基金份额、C类基金份额、D类基金份额和E类基金份额的申购、赎回、转换、定期定额投资等业务，具体交易细则请参阅基金管理人网站。网上直销交易平台网址：www.fund001.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w:t>
      </w:r>
      <w:r>
        <w:rPr>
          <w:rFonts w:ascii="宋体" w:hAnsi="宋体"/>
          <w:sz w:val="24"/>
        </w:rPr>
        <w:lastRenderedPageBreak/>
        <w:t>证监会的要求或基金合同的规定公告暂停申购、赎回时除外。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本基金A类基金份额和C类基金份额已于2019年2月26日起开放申购、赎回业务。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本基金D类基金份额已于2022年7月19日起开放申购、赎回业务。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本基金E类基金份额已于2024年3月21日起开放申购、赎回业务。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w:t>
      </w:r>
      <w:r>
        <w:rPr>
          <w:rFonts w:ascii="宋体" w:hAnsi="宋体"/>
          <w:sz w:val="24"/>
        </w:rPr>
        <w:lastRenderedPageBreak/>
        <w:t>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本基金各类基金份额单笔申购最低金额可由基金管理人酌情调整。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赎回份额和最低基金份额保留余额的数量限制。基金管理人必须在调整实施前依照《信息披露办法》的有关规定在指定媒介上公告并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基金份额、C类基金份额、D类基金份额和E类基金份额，投资人申购A类基金份额或D类基金份额在申购时支付申购费用，申购C类基金份额或E类基金份额不支付申购费用，而是从该类别基金资产中计提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A类基金份额和D类基金份额的申购费用由该类基金份额申购人承担，不列入基金财产，主要用于本基金的市场推广、销售、登记结算等各项费用。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本基金D类基金份额（非养老金客户）的申购费率如下：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类基金份额申购费率</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0.2%</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持有A类基金份额或D类基金份额的投资人因红利自动再投资而产生的A类基金份额或D类基金份额，不收取相应的申购费用。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本基金对通过基金管理人直销柜台申购A类基金份额或D类基金份额的养老金客户实施特定申购费率。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w:t>
      </w:r>
      <w:r>
        <w:rPr>
          <w:rFonts w:ascii="宋体" w:hAnsi="宋体"/>
          <w:sz w:val="24"/>
        </w:rPr>
        <w:lastRenderedPageBreak/>
        <w:t>如下表：</w:t>
      </w:r>
    </w:p>
    <w:tbl>
      <w:tblPr>
        <w:tblW w:w="5000" w:type="pct"/>
        <w:tblCellMar>
          <w:left w:w="0" w:type="dxa"/>
          <w:right w:w="0" w:type="dxa"/>
        </w:tblCellMar>
        <w:tblLook w:val="0000" w:firstRow="0" w:lastRow="0" w:firstColumn="0" w:lastColumn="0" w:noHBand="0" w:noVBand="0"/>
      </w:tblPr>
      <w:tblGrid>
        <w:gridCol w:w="2167"/>
        <w:gridCol w:w="650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通过基金管理人直销柜台申购本基金D类基金份额的养老金客户特定申购费率如下表：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类基金份额特定申购费率</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0.16%</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0.04%</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1200</w:t>
            </w:r>
            <w:r>
              <w:rPr>
                <w:rFonts w:ascii="Times New Roman" w:hAnsi="Times New Roman"/>
                <w:color w:val="000000"/>
                <w:kern w:val="0"/>
                <w:sz w:val="25"/>
                <w:szCs w:val="24"/>
              </w:rPr>
              <w:t>元</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有关养老金客户实施特定申购费率的具体规定以及活动时间如有变化，敬请投资人留意本公司发布的相关公告。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本基金管理人可根据业务情况调整上述交易费用和限额要求，并依据相关法规的要求提前进行公告。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A类基金份额、C类基金份额、D类基金份额或E类基金份额收取赎回费用，该费用随基金份额的持有时间递减。本基金A类基金份额、C类基金份额、D类基金份额和E类基金份额的赎回费用由该类基金份额赎回人承担，对于持续持有期间少于7日的投资人收取的赎回费全额计入基金财产，对于持续持有期间大于等于7日的投资人收取的赎回费总额的25%应归基金财产，其余用于支付登记费和其他必要的手续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C2B3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w:t>
            </w:r>
            <w:r>
              <w:rPr>
                <w:rFonts w:ascii="Times New Roman" w:hAnsi="Times New Roman"/>
                <w:color w:val="000000"/>
                <w:kern w:val="0"/>
                <w:sz w:val="25"/>
                <w:szCs w:val="24"/>
              </w:rPr>
              <w:lastRenderedPageBreak/>
              <w:t>回费率</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C2B3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本基金D类基金份额的赎回费率如下：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C2B3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本基金E类基金份额的赎回费率如下：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8C2B37">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8C2B37">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8C2B37" w:rsidRDefault="008C2B37">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日（含）以上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销活动期间，在对存量基金份额持有人无实质性不利影响的前提下，基金管理人可以按中国证监会要求履行必要手续后，对投资人适当调低基金销售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5、当发生大额申购或赎回情形时，基金管理人可以采用摆动定价机制以确保基金估值的公平性。具体处理原则与操作规范遵循相关法律法规以及监管部门、自律规则的规定。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A类基金份额、C类基金份额、D类基金份额或E类基金份额的有效份额为净申购金额除以当日该类基金份额的基金份额净值，有效份额单位为份，申购份额计算结果按四舍五入方法，保留到小数点后2位，由此产生的收益或损失由基金财产承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（2）A类基金份额、C类基金份额、D类基金份额或E类基金份额的赎回金额为</w:t>
      </w:r>
      <w:r>
        <w:rPr>
          <w:rFonts w:ascii="宋体" w:hAnsi="宋体"/>
          <w:sz w:val="24"/>
        </w:rPr>
        <w:lastRenderedPageBreak/>
        <w:t>按实际确认的有效赎回份额乘以当日该类基金份额的基金份额净值并扣除相应的费用（如有），赎回金额单位为元。赎回金额计算结果按四舍五入方法，保留到小数点后2位，由此产生的收益或损失由基金财产承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例一：某投资者（非养老金客户）投资100,000元申购本基金的A类基金份额，假设申购当日A类基金份额净值为1.0400元，申购费率为0.3%，则其可得到的申购份额为：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净申购金额=100,000/（1+0.3%）=99,700.90元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申购费用=100,000-99,700.90=299.10元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申购份额=（100,000-299.10）/1.0400=95,866.25份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即：某投资者（非养老金客户）投资100,000元申购本基金，假设申购当日A类基金份额净值为1.0400元，如果其选择申购A类基金份额，则其可得到95,866.25份A类基金份额。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例二：某养老金客户投资100,000元通过基金管理人的直销柜台申购本基金的A类基金份额，假设申购当日A类基金份额净值为1.0400元，申购费率为0.12%，则其可得到的申购份额为：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净申购金额=100,000/（1+0.12%）=99,880.14元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申购费用=100,000-99,880.14=119.86元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申购份额=（100,000-119.86）/1.0400=96,038.60份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w:t>
      </w:r>
      <w:r>
        <w:rPr>
          <w:rFonts w:ascii="宋体" w:hAnsi="宋体"/>
          <w:sz w:val="24"/>
        </w:rPr>
        <w:lastRenderedPageBreak/>
        <w:t>基金份额，假设申购当日A类基金份额净值为1.0400元，则其可得到96,038.60份A类基金份额。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（3）D类基金份额的申购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如果投资者选择申购D类基金份额，则申购份额的计算方法如下：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T日D类基金份额净值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例四：某投资者（非养老金客户）投资100,000元申购本基金的D类基金份额，假设申购当日D类基金份额净值为1.0400元，申购费率为0.4%，则其可得到的申购份额为：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净申购金额=100,000/（1+0.4%）=99,601.59元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申购费用=100,000-99,601.59=398.41元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申购份额=（100,000-398.41）/1.0400=95,770.76份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即：某投资者（非养老金客户）投资100,000元申购本基金，假设申购当日D类基金份额净值为1.0400元，如果其选择申购D类基金份额，则其可得到95,770.76份D类基金份额。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例五：某养老金客户投资100,000元通过基金管理人的直销柜台申购本基金的D类基金份额，假设申购当日D类基金份额净值为1.0400元，申购费率为0.16%，则其可得到的申购份额为：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净申购金额=100,000/（1+0.16%）=99,840.26元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申购费用=100,000-99,840.26=159.74元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申购份额=（100,000-159.74）/1.0400=96,000.25份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即：该养老金客户投资100,000元通过基金管理人的直销柜台申购本基金的D类基金份额，假设申购当日D类基金份额净值为1.0400元，则其可得到96,000.25份D类基金份额。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（4）E类基金份额的申购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如果投资者选择申购E类基金份额，则申购份额的计算方法如下：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申购份额=申购总金额/T日E类基金份额净值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例六：某投资者投资100,000.00元申购本基金的E类基金份额，假设申购当日E类基金份额净值为1.0400元，则其可得到的申购份额为：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申购份额＝100,000.00/1.0400＝96,153.85份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即：投资者投资100,000.00元申购本基金的E类基金份额，假设申购当日E类基金份额净值为1.0400元，则其可得到96,153.85份E类基金份额。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C类基金份额、D类基金份额或E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例七：某投资者赎回100,000份A类基金份额，持有期限为20日，对应的赎回费率为0.1%，假设赎回当日A类基金份额净值是1.0160元，则其可得到的赎回金额</w:t>
      </w:r>
      <w:r>
        <w:rPr>
          <w:rFonts w:ascii="宋体" w:hAnsi="宋体"/>
          <w:sz w:val="24"/>
        </w:rPr>
        <w:lastRenderedPageBreak/>
        <w:t>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赎回费用=100,000×1.0160×0.1%＝101.60元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赎回金额=100,000×1.0160-101.60＝101,498.40元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即：投资者赎回100,000份A类基金份额，持有期限为20日，对应的赎回费率为0.1%，假设赎回当日A类基金份额净值是1.0160元，则其可得到的赎回金额为101,498.40元。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例八：某投资者赎回100,000份C类基金份额，持有期限为30日，对应的赎回费率为0，假设赎回当日C类基金份额净值是1.0160元，则其可得到的赎回金额为：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即：投资者赎回100,000份C类基金份额，持有期限为30日，对应的赎回费率为0，假设赎回当日C类基金份额净值是1.0160元，则其可得到的赎回金额为101,600.00元。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（3）D类基金份额的赎回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投资者赎回D类基金份额，赎回金额的计算方法如下：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赎回费用=赎回份额×T日D类基金份额净值×赎回费率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赎回金额=赎回份额×T日D类基金份额净值-赎回费用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例九：某投资者赎回100,000份D类基金份额，持有期限为10日，对应的赎回费率为0，假设赎回当日D类基金份额净值是1.0160元，则其可得到的赎回金额为：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赎回费用=100,000×1.0160×0＝0.00元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赎回金额=100,000×1.0160-0.00＝101,600.00元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即：投资者赎回100,000份D类基金份额，持有期限为10日，对应的赎回费率为0，假设赎回当日D类基金份额净值是1.0160元，则其可得到的赎回金额为101,600.00元。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（4）E类基金份额的赎回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投资者赎回E类基金份额，赎回金额的计算方法如下：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赎回费用=赎回份额×T日E类基金份额净值×赎回费率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赎回金额=赎回份额×T日E类基金份额净值—赎回费用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例十：某投资者赎回100,000.00份E类基金份额，持有期限为6日，对应的赎回费率为1.5%，假设赎回当日E类基金份额净值是1.0160元，则其可得到的赎回金额为：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赎回费用=100,000.00×1.0160×1.5%＝1,524.00元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赎回金额=100,000.00×1.0160-1,524.00＝100,076.00元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即：投资者赎回100,000.00份E类基金份额，持有期限为6日，对应的赎回费率为1.5%，假设赎回当日E类基金份额净值是1.0160元，则其可得到的赎回金额为100,076.00元。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D类基金份额净值＝D类基金份额的基金资产净值总额/发行在外的D类基金份额总数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E类基金份额净值＝E类基金份额的基金资产净值总额/发行在外的E类基金份额总数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C类基金份额、D类基金份额和E类基金份额的基金份额净值的计算，均保留到小数点后4位，小数点后第5位四舍五入，由此误差产生的收益或损失由基金财产承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w:t>
      </w:r>
      <w:r>
        <w:rPr>
          <w:rFonts w:ascii="宋体" w:hAnsi="宋体"/>
          <w:sz w:val="24"/>
        </w:rPr>
        <w:lastRenderedPageBreak/>
        <w:t>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7、基金管理人接受某笔或者某些申购申请有可能导致单一投资者持有基金份额的比例超过50%，或者变相规避50%集中度的。出现上述情形时，基金管理人有权将上述申购申请全部或部分确认失败。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8、当前一估值日基金资产净值50%以上的资产出现无可参考的活跃市场价格且采用估值技术仍导致公允价值存在重大不确定性时，经与基金托管人协商确认后，基金管理人应当暂停接受申购申请。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3、证券交易所交易时间非正常停市，导致基金管理人无法计算当日基金资产净值。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5、发生继续接受赎回申请将损害现有基金份额持有人利益的情形时，可暂停接受投资人的赎回申请。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w:t>
      </w:r>
      <w:r>
        <w:rPr>
          <w:rFonts w:ascii="宋体" w:hAnsi="宋体"/>
          <w:sz w:val="24"/>
        </w:rPr>
        <w:lastRenderedPageBreak/>
        <w:t>采用估值技术仍导致公允价值存在重大不确定性时，经与基金托管人协商确认后，基金管理人应当延缓支付赎回款项或暂停接受基金赎回申请。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7、基金管理人、基金托管人、基金销售机构、基金销售支付结算机构或登记机构的异常情况导致基金销售系统、基金销售支付结算系统、基金注册登记系统或基金会计系统无法正常运行。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8、基金合同约定、法律法规规定或中国证监会认定的其他情形。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w:t>
      </w:r>
      <w:r>
        <w:rPr>
          <w:rFonts w:ascii="宋体" w:hAnsi="宋体"/>
          <w:sz w:val="24"/>
        </w:rPr>
        <w:lastRenderedPageBreak/>
        <w:t>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对于基金份额持有人未超过上述比例的部分，基金管理人可以根据前段“（1）全额赎回”或“（2）部分延期赎回”的约定方式与其他基金份额持有人的赎回申请一并办理。如基金份额持有人在当日选择取消赎回，则其当日未获受理的部分赎回申请将被撤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各类基金份额的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w:t>
      </w:r>
      <w:r>
        <w:rPr>
          <w:rFonts w:ascii="宋体" w:hAnsi="宋体"/>
          <w:sz w:val="24"/>
        </w:rPr>
        <w:lastRenderedPageBreak/>
        <w:t>产生的非交易过户以及登记机构认可、符合法律法规的其它非交易过户。无论在上述何种情况下，接受划转的主体必须是依法可以持有本基金基金份额的投资人。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2月21日刊登公告自2019年2月26日起开通A类基金份额和C类基金份额的定期定额投资计划业务，本基金2022年7月14日刊登公告自2022年7月19日起增设D类基金份额并开通D类基金份额的定期定额投资计划业务，本基金2024年3月19日刊登公告自2024年3月21日起增设E类基金份额并开通E类基金份额的定期定额投资计划业务，具体开通销售机构名单和业务规则参见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基金份额的冻结手续、冻结方式按照登记机构的相关规定办理。基金份额被冻结的，被冻结部分产生的权益按照我国法律法规、监管规章及国家有权机关的要求以及登记机构业务规定来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w:t>
      </w:r>
      <w:r>
        <w:rPr>
          <w:rFonts w:ascii="宋体" w:hAnsi="宋体"/>
          <w:sz w:val="24"/>
        </w:rPr>
        <w:lastRenderedPageBreak/>
        <w:t>金份额的过户登记。基金管理人拟受理基金份额转让业务的，将提前公告，基金份额持有人应根据基金管理人公告的业务规则办理基金份额转让业务。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2" w:name="_Toc240890872"/>
      <w:r>
        <w:rPr>
          <w:rFonts w:ascii="Times New Roman" w:hAnsi="Times New Roman"/>
          <w:sz w:val="30"/>
        </w:rPr>
        <w:lastRenderedPageBreak/>
        <w:t>九、基金的转换</w:t>
      </w:r>
      <w:bookmarkEnd w:id="12"/>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（一）基金转换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（二）转换业务办理时间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本基金2019年2月21日刊登公告自2019年2月26日起开放A类基金份额和C类基金份额的日常转换业务，本基金2022年7月14日刊登公告自2022年7月19日起增设D类基金份额并开通D类基金份额的日常转换业务, 本基金2024年3月19日刊登公告自2024年3月21日起增设E类基金份额并开通E类基金份额的日常转换业务。办理基金间转换的时间为上海证券交易所、深圳证券交易所交易日。若出现新的证券交易市场或交易所交易时间更改或其它原因，基金管理人将视情况进行相应的调整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（三）基金转换的程序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w:t>
      </w:r>
      <w:r>
        <w:rPr>
          <w:rFonts w:ascii="宋体" w:hAnsi="宋体"/>
          <w:sz w:val="24"/>
        </w:rPr>
        <w:lastRenderedPageBreak/>
        <w:t>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（四）基金转换的数额限制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（五）基金转换费用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6、本基金管理人可以根据法律法规及基金合同的规定对上述转换费用收费方式和费率进行调整，并应于调整后的收费方式和费率实施前依照《信息披露办法》的有关规定在中国证监会指定媒介上公告。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（六）基金转换份额的计算公式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w:t>
      </w:r>
      <w:r>
        <w:rPr>
          <w:rFonts w:ascii="宋体" w:hAnsi="宋体"/>
          <w:sz w:val="24"/>
        </w:rPr>
        <w:lastRenderedPageBreak/>
        <w:t>限转出基金为货币市场基金的情形，否则A为0）。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A类基金份额净值为2.2700元。若该投资者将100,000份交银趋势前端A类基金份额转换为交银成长前端A类基金份额，则转入交银成长确认的A类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转入基金确认份额=（124,750-0）/2.2700=54,955.95份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（七）业务规则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w:t>
      </w:r>
      <w:r>
        <w:rPr>
          <w:rFonts w:ascii="宋体" w:hAnsi="宋体"/>
          <w:sz w:val="24"/>
        </w:rPr>
        <w:lastRenderedPageBreak/>
        <w:t>销售的同一基金管理人管理的、在同一注册登记机构处注册登记的基金。投资人办理基金转换业务时，转出方的基金必须处于可赎回状态，转入方的基金必须处于可申购状态。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（八）暂停基金转换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3" w:name="_Toc240890873"/>
      <w:r>
        <w:rPr>
          <w:rFonts w:ascii="Times New Roman" w:hAnsi="Times New Roman"/>
          <w:sz w:val="30"/>
        </w:rPr>
        <w:lastRenderedPageBreak/>
        <w:t>十、基金的投资</w:t>
      </w:r>
      <w:bookmarkEnd w:id="13"/>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（一）投资目标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在严格控制风险和保持较高流动性的前提下,力求获得高于业绩比较基准的投资收益。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（二）投资范围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如法律法规或监管机构以后允许基金投资其他品种，基金管理人在履行适当程序后，可以将其纳入投资范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融合规范化的基本面研究和严谨的信用分析，在分析和判断宏观经济运行状况和金融市场运行趋势的基础上，动态调整大类金融资产比例，自上而下决定类属资产配置和债券组合久期、期限结构；在严谨深入的信用分析基础上，综合考量信用债券的信用评级，以及各类债券的流动性、供求关系和收益率水平等，自下而上精选投资标的。本基金采用的主要策略包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（1）久期调整策略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中长期宏观经济走势和经济周期波动趋势，判断债券市场未来的走势，并形成对未来市场利率变动方向的预期，动态调整组合久期。当预期收益率曲线下移时，适当提高组合久期，以分享债券市场上涨的收益；当预期收益率曲线上移时，适当降低组合久期，以规避债券市场下跌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市场风险等因素及其经风险调整后的收益率水平或盈利能力，通过比较并合理预期不同类属债券类资产的风险与收益率变化，确定不同类属债券类资产间的配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（3）期限结构配置策略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当回购利率低于债券收益率时，本基金将实施正回购融入资金并投资于信用债券等可投资标的，从而获取收益率超出回购资金成本（即回购利率）的套利价值。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宏观经济运行、发行主体的发展前景和偿债能力、国家信用支撑等多重因素的综合考量对信用债券进行信用评级，并在信用评级的基础上，建立信用债券池；然后基于既定的目标久期、信用利差精选个券进行投资。具体而言，本基金信用债券的投资遵循以下流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①信用债券研究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用分析师通过系统的案头研究、走访发行主体、咨询发行中介等各种形式，“自上而下”地分析宏观经济运行趋势、行业（或产业）经济前景，“自下而上”地分析发行主体的发展前景、偿债能力、国家信用支撑等。通过交银施罗德的信用债券信用评级指标体系，对信用债券进行信用评级，并在信用评级的基础上，建立本基金的信用债券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②信用债券筛选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本基金从信用债券池中精选债券构建信用债券投资组合，债券筛选主要考虑以</w:t>
      </w:r>
      <w:r>
        <w:rPr>
          <w:rFonts w:ascii="宋体" w:hAnsi="宋体"/>
          <w:sz w:val="24"/>
        </w:rPr>
        <w:lastRenderedPageBreak/>
        <w:t>下因素：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a、信用债券信用评级的变化。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不同信用等级的信用债券，以及同一信用等级不同标的债券之间的信用利差变化。本基金密切关注供求关系、税收、利率、投资人结构与行为以及市场的深度、广度和制度建设等因素对信用利差的影响，对个券进行有效的信用利差交易。</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（6）资产支持证券投资策略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（7）中小企业私募债券投资策略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（1）本基金投资于债券资产的比例不低于基金资产的80%，其中投资于短期债券的比例不低于非现金资产的80%；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（2）本基金持有的现金或到期日在一年以内的政府债券的投资比例合计不低于基金资产净值的5%，其中现金不包括结算备付金、存出保证金、应收申购款等；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（4）本基金管理人管理的全部基金持有一家公司发行的证券，不超过该证券的10%；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（5）本基金的基金资产总值不得超过基金资产净值的140%；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（6）本基金主动投资于流动性受限资产的市值合计不得超过基金资产净值的 15%；因证券市场波动、基金规模变动等基金管理人之外的因素致使基金不符合该比例限制的，基金管理人不得主动新增流动性受限资产的投资；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（13）本基金进入全国银行间同业市场进行债券回购的资金余额不得超过基金资产净值的40%；本基金在全国银行间同业市场中的债券回购最长期限为1年，债券回购到期后不得展期；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（14）本基金持有单只中小企业私募债券，其市值不得超过基金资产净值的10%；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6）、（7）、（12）项外，因证券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w:t>
      </w:r>
      <w:r>
        <w:rPr>
          <w:rFonts w:ascii="宋体" w:hAnsi="宋体"/>
          <w:sz w:val="24"/>
        </w:rPr>
        <w:lastRenderedPageBreak/>
        <w:t>金合同的有关约定。在上述期间内，本基金的投资范围、投资策略应当符合基金合同的约定。基金托管人对基金的投资的监督与检查自基金合同生效之日起开始。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中债综合财富（1年以下）指数收益率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综合财富（1年以下）指数是中央国债登记结算有限责任公司编制的综合反映银行间债券市场和沪深交易所债券市场的跨市场短期债券指数，对短期债券价格变动趋势有较强的代表性。该指数合理、透明、公开，具有较好的市场接受度，</w:t>
      </w:r>
      <w:r>
        <w:rPr>
          <w:rFonts w:ascii="宋体" w:hAnsi="宋体"/>
          <w:sz w:val="24"/>
        </w:rPr>
        <w:lastRenderedPageBreak/>
        <w:t>作为衡量本基金比较基准较为合适。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本基金是一只债券型基金，其预期风险与预期收益高于货币市场基金，低于混合型基金和股票型基金。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（七）基金管理人代表基金行使债权人权利的处理原则及方法</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1、基金管理人按照国家有关规定代表基金独立行使债权人权利，保护基金份额持有人的利益；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（八）侧袋机制的实施和投资运作安排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（九）基金投资组合报告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基金托管人招商银行股份有限公司根据本基金合同规定，于2026年04月20日复核了本报告中的财务指标、净值表现和投资组合报告等内容，保证复核内容不存在虚假记载、误导性陈述或者重大遗漏。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本报告期为2026年01月01日至03月31日。本报告财务资料未经审计师审计。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2,320,748,314.65</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99.90</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2,320,748,314.65</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99.90</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1,075,046.98</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0.05</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1,320,929.60</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0.06</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2,323,144,291.23</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20,274,328.77</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0.94</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621,492,515.06</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28.94</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131,415,153.42</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6.12</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66,168,064.93</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1,144,349,672.86</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53.29</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468,463,733.03</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21.81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2,320,748,314.65</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108.06</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042580578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永川高新</w:t>
            </w:r>
            <w:r>
              <w:rPr>
                <w:rFonts w:ascii="Times New Roman" w:hAnsi="Times New Roman"/>
                <w:color w:val="000000"/>
                <w:kern w:val="0"/>
                <w:sz w:val="25"/>
                <w:szCs w:val="24"/>
              </w:rPr>
              <w:t>CP002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100,787,835.62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012582551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广州工投</w:t>
            </w:r>
            <w:r>
              <w:rPr>
                <w:rFonts w:ascii="Times New Roman" w:hAnsi="Times New Roman"/>
                <w:color w:val="000000"/>
                <w:kern w:val="0"/>
                <w:sz w:val="25"/>
                <w:szCs w:val="24"/>
              </w:rPr>
              <w:t>SCP003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1,000,000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100,724,602.74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042580538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国网租赁</w:t>
            </w:r>
            <w:r>
              <w:rPr>
                <w:rFonts w:ascii="Times New Roman" w:hAnsi="Times New Roman"/>
                <w:color w:val="000000"/>
                <w:kern w:val="0"/>
                <w:sz w:val="25"/>
                <w:szCs w:val="24"/>
              </w:rPr>
              <w:t>CP009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900,000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90,729,823.56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4.22</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212480072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厦门国际银行债</w:t>
            </w:r>
            <w:r>
              <w:rPr>
                <w:rFonts w:ascii="Times New Roman" w:hAnsi="Times New Roman"/>
                <w:color w:val="000000"/>
                <w:kern w:val="0"/>
                <w:sz w:val="25"/>
                <w:szCs w:val="24"/>
              </w:rPr>
              <w:t>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81,205,852.05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3.78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250421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800,000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80,963,879.45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3.77</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9、报告期末本基金投资的国债期货交易情况说明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本期国债期货投资政策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报告期末本基金投资的国债期货持仓和损益明细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本期国债期货投资评价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10、投资组合报告附注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本基金投资的前十名证券的发行主体本期是否出现被监管部门立案调查，或在报告编制日前一年内受到公开谴责、处罚的情形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报告期内本基金投资的前十名证券的发行主体出现被监管部门立案调查，或在报告编制日前一年内受到公开谴责、处罚的情形披露如下：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2026年01月05日,国家金融监督管理总局珠海监管分局公示行政处罚决定书,给予广东华润银行股份有限公司--万元人民币的行政处罚。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2025年08月08日,央行广东省分行公示广东银罚决字[2025]24号行政处罚决定书,给予广东华润银行股份有限公司334.75万元人民币的行政处罚。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基金投资的前十名股票是否超出基金合同规定的备选股票库</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3,160.02</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1,317,769.58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right"/>
              <w:rPr>
                <w:rFonts w:ascii="宋体" w:hAnsi="宋体"/>
                <w:color w:val="000000"/>
                <w:kern w:val="0"/>
                <w:sz w:val="25"/>
                <w:szCs w:val="24"/>
              </w:rPr>
            </w:pPr>
            <w:r>
              <w:rPr>
                <w:rFonts w:ascii="Times New Roman" w:hAnsi="Times New Roman"/>
                <w:color w:val="000000"/>
                <w:kern w:val="0"/>
                <w:sz w:val="25"/>
                <w:szCs w:val="24"/>
              </w:rPr>
              <w:t>1,320,929.60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 报告期末持有的处于转股期的可转换债券明细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 报告期末前十名股票中存在流通受限情况的说明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 投资组合报告附注的其他文字描述部分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4" w:name="_Toc240890874"/>
      <w:r>
        <w:rPr>
          <w:rFonts w:ascii="Times New Roman" w:hAnsi="Times New Roman"/>
          <w:sz w:val="30"/>
        </w:rPr>
        <w:lastRenderedPageBreak/>
        <w:t>十一、基金的业绩</w:t>
      </w:r>
      <w:bookmarkEnd w:id="14"/>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1、本报告期基金份额净值增长率及其与同期业绩比较基准收益率的比较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0.41%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1.44%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-0.10%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2.69%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1.82%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-0.52%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3.66%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0.81%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2.68%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3.21%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1.23%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1.54%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3.08%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0.44%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1.48%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2.34%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-0.86%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3.25%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2.85%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2.26%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2.48%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2019</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2019</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2.83%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3.04%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0.00%</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交银稳鑫短债债券D：</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2.75%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2.44%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0.31%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3.29%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2.64%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0.65%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2022</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0.79%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交银稳鑫短债债券E：</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r>
      <w:tr w:rsidR="008C2B37">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2.12%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1.78%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0.03%</w:t>
            </w:r>
          </w:p>
        </w:tc>
      </w:tr>
    </w:tbl>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注：1、本基金的业绩比较基准为中债综合财富（1年以下）指数。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2、交银稳鑫短债债券D、交银稳鑫短债债券E上述“自基金合同生效起至今”实际为“自基金份额类别首次确认起至今”，下同。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8C2B37" w:rsidRDefault="005A626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交银施罗德稳鑫短债债券型证券投资基金</w:t>
      </w:r>
    </w:p>
    <w:p w:rsidR="008C2B37" w:rsidRDefault="005A626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8C2B37" w:rsidRDefault="005A6265">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（2019年1月24日至2026年03月31日）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交银稳鑫短债债券A：</w:t>
      </w:r>
    </w:p>
    <w:p w:rsidR="008C2B37" w:rsidRDefault="00500E4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交银稳鑫短债债券C：</w:t>
      </w:r>
    </w:p>
    <w:p w:rsidR="008C2B37" w:rsidRDefault="00500E4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6" type="#_x0000_t75" style="width:439.5pt;height:268.5pt">
            <v:imagedata r:id="rId16" o:title="1521256610242020828"/>
          </v:shape>
        </w:pic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交银稳鑫短债债券D：</w:t>
      </w:r>
    </w:p>
    <w:p w:rsidR="008C2B37" w:rsidRDefault="00500E4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7" type="#_x0000_t75" style="width:439.5pt;height:268.5pt">
            <v:imagedata r:id="rId17" o:title="1521256610242020828"/>
          </v:shape>
        </w:pic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交银稳鑫短债债券E：</w:t>
      </w:r>
    </w:p>
    <w:p w:rsidR="008C2B37" w:rsidRDefault="00500E47">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8" type="#_x0000_t75" style="width:439.5pt;height:268.5pt">
            <v:imagedata r:id="rId18" o:title="1521256610242020828"/>
          </v:shape>
        </w:pic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2、本基金自2022年7月19日起，开始销售D类份额，投资者提交的申购申请于2022年7月20日被确认并将有效份额登记在册。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3、本基金自2024年3月21日起，开始销售E类份额，投资者提交的申购申请于</w:t>
      </w:r>
      <w:r>
        <w:rPr>
          <w:rFonts w:ascii="宋体" w:hAnsi="宋体"/>
          <w:sz w:val="24"/>
        </w:rPr>
        <w:lastRenderedPageBreak/>
        <w:t>2024年3月22日被确认并将有效份额登记在册。</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5" w:name="_Toc240890875"/>
      <w:r>
        <w:rPr>
          <w:rFonts w:ascii="Times New Roman" w:hAnsi="Times New Roman"/>
          <w:sz w:val="30"/>
        </w:rPr>
        <w:lastRenderedPageBreak/>
        <w:t>十二、基金的财产</w:t>
      </w:r>
      <w:bookmarkEnd w:id="15"/>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（一）基金资产总值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基金资产总值是指基金拥有的各类有价证券、银行存款本息、基金应收申购款及其他资产的价值总和。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（四）基金财产的保管和处分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6" w:name="_Toc240890876"/>
      <w:r>
        <w:rPr>
          <w:rFonts w:ascii="Times New Roman" w:hAnsi="Times New Roman"/>
          <w:sz w:val="30"/>
        </w:rPr>
        <w:lastRenderedPageBreak/>
        <w:t>十三、基金资产的估值</w:t>
      </w:r>
      <w:bookmarkEnd w:id="16"/>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基金所拥有的债券和其它投资等持续以公允价值计量的金融资产及负债。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（1）交易所上市交易或挂牌转让的固定收益品种（本合同另有规定的除外），选取估值日第三方估值机构提供的相应品种对应的估值净价估值，具体估值机构由基金管理人与托管人另行协商约定；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（2）交易所上市实行全价交易的债券（可转债除外），选取第三方估值机构提供的估值全价减去估值全价中所含的债券（税后）应收利息得到的净价进行估值。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（3）交易所上市不存在活跃市场的有价证券，采用估值技术确定公允价值。交易所上市的资产支持证券，采用估值技术确定公允价值，在估值技术难以可靠计量公允价值的情况下，按成本估值。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2、首次公开发行未上市的债券，采用估值技术确定公允价值，在估值技术难以可靠计量公允价值的情况下，按成本估值。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3、全国银行间债券市场交易的债券、资产支持证券等固定收益品种，以第三方估值机构提供的价格数据估值；对银行间市场未上市，且第三方估值机构未提供估值价格的债券，按成本估值。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4、中小企业私募债券采用估值技术确定公允价值，估值技术难以确定和计量其公允价值的，按成本估值。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5、同一债券同时在两个或两个以上市场交易的，按债券所处的市场分别估值。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6、如有确凿证据表明按上述方法进行估值不能客观反映其公允价值的，基金管理人可根据具体情况与基金托管人商定后，按最能反映公允价值的方法估值。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7、当发生大额申购或赎回情形时，基金管理人可以对本基金采用摆动定价机制，以确保基金估值的公平性。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8、相关法律法规以及监管部门有强制规定的，从其规定。如有新增事项，按法律法规以及监管部门最新规定估值。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1、各类基金份额的基金份额净值是按照每个工作日闭市后，该类基金份额的基金资产净值除以当日该类基金份额的余额数量计算，精确到0.0001元，小数点后第五位四舍五入。国家另有规定的，从其规定。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基金管理人于每个工作日分别计算A类基金份额、C类基金份额、D类基金份额、E类基金份额的基金资产净值及基金份额净值，并按规定公告。如遇特殊情况，经中国证监会同意，可以适当延迟计算或公告。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依据基金合同和相关法律法规的规定对外公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上述估值错误的主要类型包括但不限于：资料申报差错、数据传输差错、数据计算差错、系统故障差错、下达指令差错等。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（3）根据估值错误处理原则或当事人协商的方法由估值错误的责任方进行更正和赔偿损失；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4、基金份额净值估值错误处理的方法如下：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（3）当基金份额净值计算差错给基金和基金份额持有人造成损失需要进行赔偿时，基金管理人和基金托管人应根据实际情况界定双方承担的责任，经确认后按以下条款进行赔偿：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本基金的基金会计责任方由基金管理人担任，与本基金有关的会计问题，如经双方在平等基础上充分讨论后，尚不能达成一致时，按基金管理人的建议执行，由此给基金份额持有人和基金财产造成的损失，由基金管理人负责赔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若基金管理人计算的基金份额净值已由基金托管人复核确认后公告，由此给基金份额持有人造成损失的，应根据法律法规的规定对投资者或基金支付赔偿金，就实际向投资者或基金支付的赔偿金额，基金管理人与基金托管人按照过错程度各自承担相应的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③如基金管理人和基金托管人对基金份额净值的计算结果，虽然多次重新计算和核对，尚不能达成一致时，为避免不能按时公布基金份额净值的情形，以基金管理人的计算结果对外公布，由此给基金份额持有人和基金造成的损失，由基金管理人负责赔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④由于基金管理人提供的信息错误（包括但不限于基金申购或赎回金额等），进而导致基金份额净值计算错误而引起的基金份额持有人和基金财产的损失，由基金管理人负责赔付。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（4）前述内容如法律法规或者监管部门另有规定的，从其规定。如果行业另有通行做法，双方当事人应本着平等和保护基金份额持有人利益的原则进行协商。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1、基金投资所涉及的证券交易市场遇法定节假日或因其他原因暂停营业时；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基金份额的基金资产净值和基金份额净值由基金管理人负责计算，基金托管人负责进行复核。基金管理人应于每个工作日交易结束后计算当日各类基金份额的基金资产净值和基金份额净值并发送给基金托管人。基金托管人对净值计算结果复核确认后发送给基金管理人，由基金管理人依据基金合同和相关法律法规的规定对基金净值予以公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交易所、证券经纪机构、登记结算公司及存款银行等第三方机构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（九）实施侧袋机制期间的基金资产估值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7" w:name="_Toc240890877"/>
      <w:r>
        <w:rPr>
          <w:rFonts w:ascii="Times New Roman" w:hAnsi="Times New Roman"/>
          <w:sz w:val="30"/>
        </w:rPr>
        <w:lastRenderedPageBreak/>
        <w:t>十四、基金收益与分配</w:t>
      </w:r>
      <w:bookmarkEnd w:id="17"/>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（一）基金利润的构成</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（二）基金可供分配利润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（三）基金收益分配原则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1、由于本基金A类基金份额和D类基金份额不收取销售服务费，C类基金份额和E类基金份额收取销售服务费，各基金份额类别对应的可供分配利润将有所不同；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2、在符合有关基金分红条件的前提下，本基金管理人可以根据实际情况进行收益分配，具体分配方案以公告为准，若基金合同生效不满3个月可不进行收益分配；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收益分配方式分两种：现金分红与红利再投资，投资者可选择现金红利或将现金红利自动转为相应类别的基金份额进行再投资；若投资者不选择，本基金默认的收益分配方式是现金分红；基金份额持有人可对其持有的A类基金份额、C类基金份额、D类基金份额和E类基金份额分别选择不同的收益分配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4、基金收益分配后任一类基金份额净值不能低于面值，即基金收益分配基准日的任一类基金份额净值减去该类每单位基金份额收益分配金额后不能低于面值；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5、本基金同一基金份额类别的每一基金份额享有同等分配权；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6、法律法规或监管机关另有规定的，从其规定。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（四）收益分配方案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（五）收益分配方案的确定、公告与实施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法律法规或监管机关另有规定的，从其规定。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（六）基金收益分配中发生的费用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（七）收益分配方式的修改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（八）实施侧袋机制期间的收益分配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8" w:name="_Toc240890878"/>
      <w:r>
        <w:rPr>
          <w:rFonts w:ascii="Times New Roman" w:hAnsi="Times New Roman"/>
          <w:sz w:val="30"/>
        </w:rPr>
        <w:lastRenderedPageBreak/>
        <w:t>十五、基金的费用与税收</w:t>
      </w:r>
      <w:bookmarkEnd w:id="18"/>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6、基金的证券交易费用；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9、本基金从C类基金份额、E类基金份额的基金财产中计提的销售服务费；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（二）基金费用计提方法、计提标准和支付方式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本基金的管理费按前一日基金资产净值的0.3%年费率计提。管理费的计算方法如下：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H＝E×0.3%÷当年天数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逐日累计至每月月末，按月支付。由基金管理人与基金托管人核对一致后，由基金托管人按照与基金管理人协商一致的方式自动于次月首日起5个工作日内从基金财产中一次性支付给基金管理人，若遇法定节假日、休息日或不可抗力致使无法按时支付的，支付日期顺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本基金的托管费按前一日基金资产净值的0.1%的年费率计提。托管费的计算方法如下：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H＝E×0.1%÷当年天数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H为每日应计提的基金托管费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逐日累计至每月月末，按月支付。由基金管理人与基金托管人核对一致后，由基金托管人按照与基金管理人协商一致的方式自动于次月首日起5个工作日内从基金财产中一次性支付给基金托管人，若遇法定节假日、休息日或不可抗力致使无法按时支付的，支付日期顺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（3）C类基金份额、E类基金份额的销售服务费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本基金A类基金份额和D类基金份额不收取销售服务费。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C类基金份额的销售服务费按前一日C类基金资产净值的0.4%年费率计提。计算方法如下：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H＝E×0.4%÷当年天数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E类基金份额的销售服务费按前一日E类基金资产净值的0.5%年费率计提。计算方法如下：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H＝E×0.5%÷当年天数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H为E类基金份额每日应计提的销售服务费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E为E类基金份额前一日基金资产净值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和E类基金份额销售服务费每日计提，逐日累计至每月月末，按月支付。由基金管理人与基金托管人核对一致后，由基金托管人按照与基金管理人协商一致的方式自动于次月首日起5个工作日内从基金财产中一次性支付给基金管理人，由基金管理人代付给销售机构，若遇法定节假日、休息日或不可抗力致使无法按时支付的，支付日期顺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本基金的销售服务费将专门用于本基金的推广、销售与基金份额持有人服务。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w:t>
      </w:r>
      <w:r>
        <w:rPr>
          <w:rFonts w:ascii="宋体" w:hAnsi="宋体"/>
          <w:sz w:val="24"/>
        </w:rPr>
        <w:lastRenderedPageBreak/>
        <w:t>回”一章。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（三）不列入基金费用的项目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和基金托管人可根据基金发展情况，履行适当的程序后调整基金管理费率、基金托管费率和销售服务费率等相关费率。降低C类基金份额或E类基金份额销售服务费率，无需召开基金份额持有人大会。基金管理人必须依照有关规定于新的费率实施日前在指定媒介上刊登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（五）实施侧袋机制期间的基金费用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（六）基金税收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基金财产投资的相关税收，由基金份额持有人承担，基金管理人或者其他扣缴义务人按照国家有关税收征收的规定代扣代缴。</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19" w:name="_Toc240890879"/>
      <w:r>
        <w:rPr>
          <w:rFonts w:ascii="Times New Roman" w:hAnsi="Times New Roman"/>
          <w:sz w:val="30"/>
        </w:rPr>
        <w:lastRenderedPageBreak/>
        <w:t>十六、基金的会计与审计</w:t>
      </w:r>
      <w:bookmarkEnd w:id="19"/>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（一）基金会计政策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（二）基金的年度审计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1、基金管理人聘请与基金管理人、基金托管人相互独立的具有证券、期货相关从业资格的会计师事务所及其注册会计师对本基金的年度财务报表进行审计。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3、基金管理人认为有充足理由更换会计师事务所，须通报基金托管人。更换会计师事务所需按照《信息披露办法》的有关规定在指定媒介公告。</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0" w:name="_Toc240890880"/>
      <w:r>
        <w:rPr>
          <w:rFonts w:ascii="Times New Roman" w:hAnsi="Times New Roman"/>
          <w:sz w:val="30"/>
        </w:rPr>
        <w:lastRenderedPageBreak/>
        <w:t>十七、基金的信息披露</w:t>
      </w:r>
      <w:bookmarkEnd w:id="20"/>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（一）本基金的信息披露应符合《基金法》、《运作办法》、《信息披露办法》、《流动性规定》、《基金合同》及其他有关规定。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（二）信息披露义务人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（三）本基金信息披露义务人承诺公开披露的基金信息，不得有下列行为：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（五）公开披露的基金信息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《基金合同》生效后，在开始办理基金份额申购或者赎回前，基金管理人应当至少每周在指定网站分别披露一次A类基金份额和C类基金份额所对应的基金份额净值和基金份额累计净值。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开始办理基金份额申购或者赎回后，基金管理人应当在不晚于每个开放日的次日，通过指定网站、基金销售机构网站或者营业网点分别披露开放日A类基金份额、C类基金份额、D类基金份额和E类基金份额所对应的基金份额净值和基金份额累计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基金管理人应当在不晚于半年度和年度最后一日的次日，在指定网站披露半年度和年度最后一日A类基金份额、C类基金份额、D类基金份额和E类基金份额所对应的基金份额净值和基金份额累计净值。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w:t>
      </w:r>
      <w:r>
        <w:rPr>
          <w:rFonts w:ascii="宋体" w:hAnsi="宋体"/>
          <w:sz w:val="24"/>
        </w:rPr>
        <w:lastRenderedPageBreak/>
        <w:t>登载在指定报刊和指定网站上。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（21）本基金增加或调整基金份额类别；</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（23）基金管理人采用摆动定价机制进行估值；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（24）基金信息披露义务人认为可能对基金份额持有人权益或者基金份额的价格产生重大影响的其他事项或中国证监会规定的其他事项。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w:t>
      </w:r>
      <w:r>
        <w:rPr>
          <w:rFonts w:ascii="宋体" w:hAnsi="宋体"/>
          <w:sz w:val="24"/>
        </w:rPr>
        <w:lastRenderedPageBreak/>
        <w:t>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13、基金投资中小企业私募债情况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投资中小企业私募债券后2个交易日内，在中国证监会指定媒介披露所投资中小企业私募债券的名称、数量、期限、收益率等信息。基金管理人应当在基金年度报告、基金中期报告和基金季度报告等定期报告和招募说明书等文件中披露中小企业私募债券的投资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14、中国证监会规定的其他信息。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（六）信息披露事务管理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w:t>
      </w:r>
      <w:r>
        <w:rPr>
          <w:rFonts w:ascii="宋体" w:hAnsi="宋体"/>
          <w:sz w:val="24"/>
        </w:rPr>
        <w:lastRenderedPageBreak/>
        <w:t>会及自律规则的相关规定。前述自主披露如产生信息披露费用，该费用不得从基金财产中列支。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（七）信息披露文件的存放与查阅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1" w:name="_Toc240890881"/>
      <w:r>
        <w:rPr>
          <w:rFonts w:ascii="Times New Roman" w:hAnsi="Times New Roman"/>
          <w:sz w:val="30"/>
        </w:rPr>
        <w:lastRenderedPageBreak/>
        <w:t>十八、侧袋机制</w:t>
      </w:r>
      <w:bookmarkEnd w:id="21"/>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1、本基金实施侧袋机制的，管理费和托管费等按主袋账户基金资产净值作为基数计提。</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8C2B37" w:rsidRDefault="005A6265">
      <w:pPr>
        <w:pStyle w:val="1"/>
        <w:snapToGrid w:val="0"/>
        <w:spacing w:beforeLines="0" w:before="240" w:after="240"/>
        <w:rPr>
          <w:rFonts w:ascii="宋体" w:hAnsi="宋体"/>
          <w:szCs w:val="30"/>
        </w:rPr>
      </w:pPr>
      <w:bookmarkStart w:id="22" w:name="_Toc240890882"/>
      <w:r>
        <w:rPr>
          <w:rFonts w:ascii="Times New Roman" w:hAnsi="Times New Roman"/>
          <w:sz w:val="30"/>
        </w:rPr>
        <w:lastRenderedPageBreak/>
        <w:t>十九、风险揭示</w:t>
      </w:r>
      <w:bookmarkEnd w:id="22"/>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w:t>
      </w:r>
      <w:r>
        <w:rPr>
          <w:rFonts w:ascii="宋体" w:hAnsi="宋体"/>
          <w:sz w:val="24"/>
        </w:rPr>
        <w:lastRenderedPageBreak/>
        <w:t>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4、信用风险。基金所投资债券的发行人如果不能或拒绝支付到期本息，或者不能履行合约规定的其它义务，或者其信用等级降低，将会导致债券价格下降，进而造成基金资产损失，从而产生风险。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6、债券收益率曲线变动风险。是指收益率曲线没有按预期变化导致基金投资决策出现偏差。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8、经营风险。它与基金所投资债券的发行人的经营活动所引起的收入现金流的不确定性有关。债券发行人期间运营收入变化越大，经营风险就越大；反之，运营收入越稳定，经营风险就越小。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9、上市公司经营风险。上市公司的经营状况受多种因素影响，如管理能力、财务状况、市场前景、行业竞争、人员素质等，这些都会导致企业的盈利发生变</w:t>
      </w:r>
      <w:r>
        <w:rPr>
          <w:rFonts w:ascii="宋体" w:hAnsi="宋体"/>
          <w:sz w:val="24"/>
        </w:rPr>
        <w:lastRenderedPageBreak/>
        <w:t>化。虽然基金可以通过投资多样化来分散这种非系统风险，但不能完全规避。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本基金的投资市场主要为证券交易所、全国银行间债券市场等流动性较好的规范型交易场所，主要投资对象为具有良好流动性的金融工具（包括国内依法发行上</w:t>
      </w:r>
      <w:r>
        <w:rPr>
          <w:rFonts w:ascii="宋体" w:hAnsi="宋体"/>
          <w:sz w:val="24"/>
        </w:rPr>
        <w:lastRenderedPageBreak/>
        <w:t>市的债券和货币市场工具等），同时本基金基于分散投资的原则在个券方面未有高集中度的特征，综合评估在正常市场环境下本基金的流动性风险适中。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对于基金份额持有人未超过上述比例的部分，基金管理人可以根据前段“（1）全额赎回”或“（2）部分延期赎回”的约定方式与其他基金份额持有人的赎回申请一并</w:t>
      </w:r>
      <w:r>
        <w:rPr>
          <w:rFonts w:ascii="宋体" w:hAnsi="宋体"/>
          <w:sz w:val="24"/>
        </w:rPr>
        <w:lastRenderedPageBreak/>
        <w:t>办理。如基金份额持有人在当日选择取消赎回，则其当日未获受理的部分赎回申请将被撤销。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暂停接受赎回申请、部分延期赎回、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（四）交易对手违约风险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1、本基金为债券型基金，投资于债券资产的比例不低于基金资产的80%，因投资固定收益类资产而面临固定收益类资产市场的系统性风险和个券风险；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5、基金合同提前终止风险。连续六十个工作日出现基金份额持有人数量不满200人或者基金资产净值低于5000万元情形的，基金管理人应向中国证监会报告，并可提前终止基金合同，不需召开基金份额持有人大会。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（六）本基金法律文件风险收益特征表述与销售机构基金风险评价可能不一致的风险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（七）其他风险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1、因技术因素而产生的风险，如电脑系统不可靠产生的风险；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3" w:name="_Toc240890883"/>
      <w:r>
        <w:rPr>
          <w:rFonts w:ascii="Times New Roman" w:hAnsi="Times New Roman"/>
          <w:sz w:val="30"/>
        </w:rPr>
        <w:lastRenderedPageBreak/>
        <w:t>二十、基金合同的变更、终止与基金财产的清算</w:t>
      </w:r>
      <w:bookmarkEnd w:id="23"/>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2、关于《基金合同》变更的基金份额持有人大会决议自决议通过之日起生效，生效后方可执行，并自决议生效后依照《信息披露办法》的规定在指定媒介公告。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（二）《基金合同》的终止事由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3、连续60个工作日出现基金份额持有人数量不满200人或者基金资产净值低于5000万元情形的，基金管理人可提前终止基金合同，不需召开基金份额持有人大会；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（三）基金财产的清算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（1）《基金合同》终止情形出现时，由基金财产清算小组统一接管基金财产；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（四）清算费用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（五）基金财产清算剩余资产的分配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（六）基金财产清算的公告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（七）基金财产清算账册及文件的保存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4" w:name="_Toc240890884"/>
      <w:r>
        <w:rPr>
          <w:rFonts w:ascii="Times New Roman" w:hAnsi="Times New Roman"/>
          <w:sz w:val="30"/>
        </w:rPr>
        <w:lastRenderedPageBreak/>
        <w:t>二十一、基金合同内容摘要</w:t>
      </w:r>
      <w:bookmarkEnd w:id="24"/>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（一）基金份额持有人、基金管理人和基金托管人的权利与义务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12）依照法律法规为基金的利益行使因基金财产投资于证券所产生的权利；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15）选择、更换律师事务所、会计师事务所、证券经纪商或其他为基金提供服务的外部机构；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16）在符合有关法律、法规的前提下，制定和调整有关基金认购、申购、赎回、转换和非交易过户等的业务规则；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17）法律法规及中国证监会规定的和《基金合同》约定的其他权利。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2）依《基金合同》约定获得基金托管费以及法律法规规定或监管部门批准的其他费用；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4）根据相关市场规则，为基金开设资金账户、证券账户等投资所需账户，为基金办理证券交易资金清算；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8）复核、审查基金管理人计算的基金资产净值、各类基金份额净值、基金份额申购、赎回价格；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w:t>
      </w:r>
      <w:r>
        <w:rPr>
          <w:rFonts w:ascii="宋体" w:hAnsi="宋体"/>
          <w:sz w:val="24"/>
        </w:rPr>
        <w:lastRenderedPageBreak/>
        <w:t>金管理人在各重要方面的运作是否严格按照《基金合同》的规定进行；如果基金管理人有未执行《基金合同》规定的行为，还应当说明基金托管人是否采取了适当的措施；</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12）保存基金份额持有人名册；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（1）根据《基金法》、《运作办法》及其他有关规定，基金份额持有人的权利包括但不限于：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1）分享基金财产收益；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（二）基金份额持有人大会召集、议事及表决的程序和规则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基金份额持有人大会由基金份额持有人组成，基金份额持有人的合法授权代表有权代表基金份额持有人出席会议并表决。基金份额持有人持有的每一基金份额拥有平等的投票权。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5）调整基金管理人、基金托管人的报酬标准和提高销售服务费；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1）调低销售服务费；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3）在法律法规及《基金合同》规定的范围内调整本基金的申购费率、调低赎回费率、在对现有基金份额持有人利益无实质性不利影响的前提下变更收费方式；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w:t>
      </w:r>
      <w:r>
        <w:rPr>
          <w:rFonts w:ascii="宋体" w:hAnsi="宋体"/>
          <w:sz w:val="24"/>
        </w:rPr>
        <w:lastRenderedPageBreak/>
        <w:t>同》进行修改；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6）在法律法规允许的情况下，且在对现有基金份额持有人利益无实质性不利影响的前提下，基金推出新业务或服务；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7）在符合法律法规及本基金合同规定、并且对基金份额持有人利益无实质不利影响的前提下，经与基金托管人协商一致，调整本基金份额类别的设置；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8）在不违反法律法规及对基金份额持有人利益无实质性不利影响的前提下，基金管理人、登记机构、销售机构调整有关基金认购、申购、赎回、转换、收益分配、非交易过户、转托管等业务的规则；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9）按照法律法规和《基金合同》规定不需召开基金份额持有人大会的其他情形。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w:t>
      </w:r>
      <w:r>
        <w:rPr>
          <w:rFonts w:ascii="宋体" w:hAnsi="宋体"/>
          <w:sz w:val="24"/>
        </w:rPr>
        <w:lastRenderedPageBreak/>
        <w:t>基金管理人，基金管理人应当配合；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w:t>
      </w:r>
      <w:r>
        <w:rPr>
          <w:rFonts w:ascii="宋体" w:hAnsi="宋体"/>
          <w:sz w:val="24"/>
        </w:rPr>
        <w:lastRenderedPageBreak/>
        <w:t>关允许的其他方式召开，会议的召开方式由会议召集人确定。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（2）通讯开会。通讯开会系指基金份额持有人将其对表决事项的投票以会议通知载明的形式在表决截止日以前送达至召集人指定的地址或系统。通讯开会应以书面方式或大会公告载明的其他方式进行表决。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总份额小于在权益登记日基金总份额的二分之一，召集人可以在原公告的基金份</w:t>
      </w:r>
      <w:r>
        <w:rPr>
          <w:rFonts w:ascii="宋体" w:hAnsi="宋体"/>
          <w:sz w:val="24"/>
        </w:rPr>
        <w:lastRenderedPageBreak/>
        <w:t>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w:t>
      </w:r>
      <w:r>
        <w:rPr>
          <w:rFonts w:ascii="宋体" w:hAnsi="宋体"/>
          <w:sz w:val="24"/>
        </w:rPr>
        <w:lastRenderedPageBreak/>
        <w:t>该次基金份额持有人大会的主持人。基金管理人和基金托管人拒不出席或主持基金份额持有人大会，不影响基金份额持有人大会作出的决议的效力。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w:t>
      </w:r>
      <w:r>
        <w:rPr>
          <w:rFonts w:ascii="宋体" w:hAnsi="宋体"/>
          <w:sz w:val="24"/>
        </w:rPr>
        <w:lastRenderedPageBreak/>
        <w:t>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基金份额持有人大会的决议，召集人应当自通过之日起5日内报中国证监会备案。基金份额持有人大会的决议自表决通过之日起生效。法律法规另有规定的，从其规定。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基金管理人、基金托管人和基金份额持有人应当执行生效的基金份额持有人大会的决议。生效的基金份额持有人大会决议对全体基金份额持有人、基金管理人、基金托管人均有约束力。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w:t>
      </w:r>
      <w:r>
        <w:rPr>
          <w:rFonts w:ascii="宋体" w:hAnsi="宋体"/>
          <w:sz w:val="24"/>
        </w:rPr>
        <w:lastRenderedPageBreak/>
        <w:t>份额持有人大会召集和审议事项不涉及侧袋账户的，则仅指主袋份额持有人持有或代表的基金份额或表决权符合该等比例：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（三）基金合同解除和终止的事由、程序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w:t>
      </w:r>
      <w:r>
        <w:rPr>
          <w:rFonts w:ascii="宋体" w:hAnsi="宋体"/>
          <w:sz w:val="24"/>
        </w:rPr>
        <w:lastRenderedPageBreak/>
        <w:t>额持有人大会决议通过的事项，由基金管理人和基金托管人同意后变更并公告，并报中国证监会备案。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（2）关于《基金合同》变更的基金份额持有人大会决议自表决通过之日起生效，生效后方可执行，并自决议生效后依照《信息披露办法》的规定在指定媒介公告。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（3）连续60个工作日出现基金份额持有人数量不满200人或者基金资产净值低于5000万元情形的，基金管理人可提前终止基金合同，不需召开基金份额持有人大会；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w:t>
      </w:r>
      <w:r>
        <w:rPr>
          <w:rFonts w:ascii="宋体" w:hAnsi="宋体"/>
          <w:sz w:val="24"/>
        </w:rPr>
        <w:lastRenderedPageBreak/>
        <w:t>出具法律意见书；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（四）争议解决方式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华南国际经济贸易仲裁委员会，按照华南国际经济贸易仲裁委员会届时有效的仲裁规则进行仲裁。仲裁地点为深圳市。仲裁裁决是终局的，对各方当事人均有约束力，除非仲裁裁决另有规定，仲裁费用由败诉方承担。争议处理期间，基金合同当事人应恪守各自的职责，继续忠实、勤勉、尽责地履行基金合同规定的义务，维护基金份额持有人的合法权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（五）基金合同存放及投资者取得基金合同的方式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《基金合同》正本一式三份，除上报有关监管机构一份外，基金管理人、基金</w:t>
      </w:r>
      <w:r>
        <w:rPr>
          <w:rFonts w:ascii="宋体" w:hAnsi="宋体"/>
          <w:sz w:val="24"/>
        </w:rPr>
        <w:lastRenderedPageBreak/>
        <w:t>托管人各持有一份，每份具有同等的法律效力。</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5" w:name="_Toc240890885"/>
      <w:r>
        <w:rPr>
          <w:rFonts w:ascii="Times New Roman" w:hAnsi="Times New Roman"/>
          <w:sz w:val="30"/>
        </w:rPr>
        <w:lastRenderedPageBreak/>
        <w:t>二十二、托管协议的内容摘要</w:t>
      </w:r>
      <w:bookmarkEnd w:id="25"/>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 2005年8月4日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批准设立机关：中国证券监督管理委员会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批准设立文号：中国证监会证监基金字[2005]128号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 2亿元人民币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经营范围：基金募集、基金销售、资产管理和中国证监会许可的其他业务。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名称：招商银行股份有限公司(简称：招商银行)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住所：深圳市深南大道7088号招商银行大厦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办公地址：深圳市深南大道7088号招商银行大厦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邮政编码：518040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成立时间：1987年4月8日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基金托管业务批准文号：证监基金字[2002]83号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注册资本：人民币252.20亿元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1、基金托管人根据有关法律法规的规定以及《基金合同》的约定，对基金投资范围、投资比例、投资限制、关联方交易等进行监督。《基金合同》明确约定基</w:t>
      </w:r>
      <w:r>
        <w:rPr>
          <w:rFonts w:ascii="宋体" w:hAnsi="宋体"/>
          <w:sz w:val="24"/>
        </w:rPr>
        <w:lastRenderedPageBreak/>
        <w:t>金投资证券选择标准的，基金管理人应事先或定期向基金托管人提供投资品种池，以便基金托管人对基金实际投资是否符合基金合同关于证券选择标准的约定进行监督。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（1）本基金的投资范围为：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交易的国债、金融债、央行票据、地方政府债、企业债、公司债、可分离交易可转债的纯债部分、公开发行的次级债、资产支持证券、短期融资券、超短期融资券、中小企业私募债、中期票据、债券回购、银行存款（包括定期存款、协议存款等）、同业存单、货币市场工具，以及法律法规允许投资的其他金融工具。本基金不投资于股票、权证等资产，也不投资于可转换债券（可分离交易可转债的纯债部分除外）、可交换债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（2）本基金各类品种的投资比例、投资限制为：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本基金投资于债券资产的比例不低于基金资产的80%，其中投资于短期债券的比例不低于非现金资产的80%。本基金持有的现金或到期日在一年以内的政府债券的比例合计不低于基金资产净值的5%，其中现金不包括结算备付金、存出保证金、应收申购款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所指的短期债券是指剩余期限不超过397天(含397天)的债券资产，包括国债、金融债、央行票据、地方政府债、企业债、公司债、可分离交易可转债的纯债部分、公开发行的次级债、短期融资券、超短期融资券、中期票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1）本基金投资于债券资产的比例不低于基金资产的80%，其中投资于短期债券的比例不低于非现金资产的80%；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2）本基金持有的现金或到期日在一年以内的政府债券的投资比例合计不低于基金资产净值的5%，其中现金不包括结算备付金、存出保证金、应收申购款等；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3）本基金持有一家公司发行的证券，其市值不得超过基金资产净值的10%；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w:t>
      </w:r>
      <w:r>
        <w:rPr>
          <w:rFonts w:ascii="宋体" w:hAnsi="宋体"/>
          <w:sz w:val="24"/>
        </w:rPr>
        <w:lastRenderedPageBreak/>
        <w:t>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5）本基金的基金资产总值不得超过基金资产净值的140%；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6）本基金主动投资于流动性受限资产的市值合计不得超过基金资产净值的 15%；因证券市场波动、基金规模变动等基金管理人之外的因素致使基金不符合该比例限制的，基金管理人不得主动新增流动性受限资产的投资；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7）本基金与私募类证券资管产品及中国证监会认定的其他主体为交易对手开展逆回购交易的，可接受质押品的资质要求应当与基金合同约定的投资范围保持一致；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13）本基金进入全国银行间同业市场进行债券回购的资金余额不得超过基金资产净值的40%；本基金在全国银行间同业市场中的债券回购最长期限为1年，债券回购到期后不得展期；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14）本基金持有单只中小企业私募债券，其市值不得超过基金资产净值的10%；</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15）法律法规及中国证监会规定的和《基金合同》约定的其他投资限制。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6）、7）、12）项外，因证券市场波动、证券发行人合并、基金规模变动等基金管理人之外的因素致使基金投资比例不符合上述规定投资比例的，基金管理人应当在10个交易日内进行调整，但中国证监会规定的特殊情形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（3）本基金财产不得用于以下投资或者活动：1）承销证券；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4）买卖其他基金份额，但是中国证监会另有规定的除外；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运用基金财产买卖基金管理人、基金托管人及其控股股东、实际控制人或者与其有其他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（5）基金管理人应当自基金合同生效日起6个月内使基金的投资组合比例符合基金合同的有关约定。在上述期间内，本基金的投资范围、投资策略应当符合基金合同的约定。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的投资的监督与检查自本基金合同生效之日起开始。因证券市场波动、证券发行人合并或基金规模变动等基金管理人之外的原因导致投资比例不符合上述规定的，基金管理人应在10个交易日内进行调整。法律法规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法律法规及监管政策等对基金合同约定的投资禁止行为和投资组合比例限制进行变更的，本基金可相应调整禁止行为和投资比例限制规定，不需经基金份额持有人大会审议。《基金法》及其他有关法律法规或监管部门取消上述限制的，履行适当程序后，基金不受上述限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管理人选择存款银行进行监督。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对于不符合规定的银行存款，基金托管人可以拒绝执行，并通知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本基金投资银行存款应符合如下规定：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于有固定期限银行存款的比例，不得超过基金资产净值的30%，但投资于有存款期限，根据协议可提前支取的银行存款不受上述比例限制；本基金投资于具有基金托管人资格的同一商业银行的银行存款、同业存单占基金资产净值的比例合计不得超过20%，投资于不具有基金托管人资格的同一商业银行的银行存款、同业存单占基金资产净值的比例合计不得超过5%。</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有关法律法规或监管部门制定或修改新的定期存款投资政策，基金管理人履行适当程序后，可相应调整投资组合限制的规定。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对本基金存款银行的评估与研究，建立健全银行存款的业务流程、岗位职责、风险控制措施和监察稽核制度，切实防范有关风险。基金托管人负责对本基金银行定期存款业务的监督与核查，审查、复核相关协议、账户资料、投资指令、存款证实书等有关文件，切实履行托管职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1）基金管理人负责控制信用风险。信用风险主要包括存款银行的信用等级、存款银行的支付能力等涉及到存款银行选择方面的风险。因选择存款银行不当造成基金财产损失的，由基金管理人承担责任。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负责控制流动性风险，并承担因控制不力而造成的损失。流动性风险主要包括基金管理人要求全部提前支取、部分提前支取或到期支取而存款银行未能及时兑付的风险、基金投资银行存款不能满足基金正常结算业务的风险、因全部提前支取或部分提前支取而涉及的利息损失影响估值等涉及到基金流动性方面的风险。</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3）基金管理人须加强内部风险控制制度的建设。如因基金管理人员工职务行为导致基金财产受到损失的，需由基金管理人承担由此造成的损失。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4）基金管理人与基金托管人在开展基金存款业务时，应严格遵守《基金法》、《运作办法》等有关法律法规，以及国家有关账户管理、利率管理、支付结算等的各项规定。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3、基金投资银行存款协议的签订、账户开设与管理、投资指令与资金划付、账目核对、到期兑付、提前支取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（1）基金投资银行存款协议的签订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1）基金管理人应与符合资格的存款银行总行或其授权分行签订《基金存款业务总体合作协议》（以下简称《总体合作协议》），确定《存款协议书》的格式范本。</w:t>
      </w:r>
      <w:r>
        <w:rPr>
          <w:rFonts w:ascii="宋体" w:hAnsi="宋体"/>
          <w:sz w:val="24"/>
        </w:rPr>
        <w:lastRenderedPageBreak/>
        <w:t>《总体合作协议》和《存款协议书》的格式范本由基金托管人与基金管理人共同商定。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2）基金托管人依据相关法规对《总体合作协议》和《存款协议书》的内容进行复核，审查存款银行资格等。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3）基金管理人应在《存款协议书》中明确存款证实书或其他有效存款凭证的办理方式、邮寄地址、联系人和联系电话，以及存款证实书或其他有效凭证在邮寄过程中遗失后，存款余额的确认及兑付办法等。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存款银行指定的存放存款的分支机构（以下简称“存款分支机构”）寄送、上门交付或双方约定方式送达存款证实书或其他有效存款凭证的，基金托管人可向存款分支机构的上级行发出存款余额询证函，存款分支机构及其上级行应予配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5）基金管理人应在《存款协议书》中规定，基金存放到期或提前兑付的资金应全部划转到指定的基金托管账户，并在《存款协议书》写明账户名称和账号，未划入指定账户的，由存款银行承担一切责任。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在《存款协议书》中规定，在存期内，如本基金银行账户、预留印鉴发生变更，管理人应及时书面通知存款行，书面通知应加盖基金托管人预留印鉴。存款分支机构应及时就变更事项向基金管理人、基金托管人出具正式书面确认书。变更通知的送达方式同开户手续。在存期内，存款分支机构和基金托管人的指定联系人变更，应及时加盖公章书面通知对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7）基金管理人应在《存款协议书》中规定，因定期存款产生的存单不得被质押或以任何方式被抵押，不得用于转让和背书。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（2）基金投资银行存款时的账户开设与管理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1）基金投资于银行存款时，基金管理人应当依据基金管理人与存款银行签订的《总体合作协议》、《存款协议书》等，以基金的名义在存款银行总行或授权分行指定的分支机构开立银行账户。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2）基金投资于银行存款时的预留印鉴由基金托管人保管和使用。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（3）存款凭证传递、账目核对及到期兑付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1）存款证实书等存款凭证传递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存款资金只能存放于存款银行总行或授权分行指定的分支机构。基金管理人应在《存款协议书》中规定，存款银行分支机构应为基金开具存款证实书或其他有效</w:t>
      </w:r>
      <w:r>
        <w:rPr>
          <w:rFonts w:ascii="宋体" w:hAnsi="宋体"/>
          <w:sz w:val="24"/>
        </w:rPr>
        <w:lastRenderedPageBreak/>
        <w:t>存款凭证（下称“存款凭证”），该存款凭证为基金存款确认或到期提款的有效凭证，且对应每笔存款仅能开具唯一存款凭证。资金到账当日，由存款银行分支机构指定的会计主管传真一份存款凭证复印件并与基金托管人电话确认收妥后，将存款凭证原件通过快递寄送或上门交付至基金托管人指定联系人；若存款银行分支机构代为保管存款凭证的，由存款银行分支机构指定会计主管传真一份存款凭证复印件并与基金托管人电话确认收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2）存款凭证的遗失补办</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存款凭证在邮寄过程中遗失的，由基金管理人向存款银行提出补办申请，基金管理人应督促存款银行尽快补办存款凭证，并按以上1）的方式快递或上门交送至托管人，原存款凭证自动作废。</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3）账目核对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基金管理人应与基金托管人核对各项银行存款投资余额及应计利息。基金管理人应在《存款协议书》中规定，对于存期超过3个月的定期存款，存款银行应于每季末后5个工作日内向基金托管人指定人员寄送对账单。因存款银行未寄送对账单造成的资金被挪用、盗取的责任由存款银行承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存款银行应配合基金托管人对存款凭证的询证，并在询证函上加盖存款银行公章寄送至基金托管人指定联系人。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4）到期兑付</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提前通知基金托管人通过快递或双方约定方式将存款凭证原件寄给存款银行分支机构指定的会计主管。存款银行未收到存款凭证原件的，应与基金托管人电话询问。存款到期前基金管理人与存款银行确认存款凭证收到并于到期日兑付存款本息事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存款到期日未收到存款本息或存款本息金额不符时，通知基金管理人与存款银行接洽存款到账时间及利息补付事宜。基金管理人应将接洽结果告知基金托管人，基金托管人收妥存款本息的当日通知基金管理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存款协议书》中规定，存款凭证在邮寄过程中遗失的，存款银行应立即通知基金托管人，基金托管人在原存款凭证复印件上加盖公章并出具相关证明文件后，与存款银行指定会计主管电话确认后，存款银行应在到期日将存款本息划至指定的基金资金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如果存款到期日为法定节假日，存款银行顺延至到期后第一个工作日支付，存</w:t>
      </w:r>
      <w:r>
        <w:rPr>
          <w:rFonts w:ascii="宋体" w:hAnsi="宋体"/>
          <w:sz w:val="24"/>
        </w:rPr>
        <w:lastRenderedPageBreak/>
        <w:t>款银行需按原协议约定利率和实际延期天数支付延期利息。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（4）提前支取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如果在存款期限内，由于基金规模发生缩减的原因或者出于流动性管理的需要等原因，基金管理人可以提前支取全部或部分资金。</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提前支取的具体事项按照基金管理人与存款银行签订的《存款协议书》执行。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（5）基金投资银行存款的监督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基金托管人发现基金管理人在进行存款投资时有违反有关法律法规的规定及《基金合同》的约定的行为，应及时以书面形式通知基金管理人在10 个工作日内纠正。基金管理人对基金托管人通知的违规事项未能在10 个工作日内纠正的，基金托管人应报告中国证监会。基金托管人发现基金管理人有重大违规行为，应立即报告中国证监会，同时通知基金管理人在10 个工作日内纠正或拒绝结算，若因基金管理人拒不执行造成基金财产损失的，相关损失由基金管理人承担，基金托管人不承担任何责任。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有责任确保及时将更新后的交易对手名单发送给基金托管人，否则由此造成的损失应由基金管理人承担。基金管理人应严格按照交易对手名单的范围在银行间债券市场选择交易对手。基金托管人监督基金管理人是否按事前提供的银行间债券市场交易对手名单进行交易。在基金存续期间基金管理人可以调整交易对手名单，但应将调整结果至少提前一个工作日书面通知基金托管人。新名单确定时已与本次剔除的交易对手所进行但尚未结算的交易，仍应按照协议进行结算，但不得再发生新的交易。如基金管理人根据市场需要临时调整银行间债券交易对手名单及结算方式的，应向基金托管人说明理由，并在与交易对手发生交易前3个交易日内与基金托管人协商解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风险防范，按银行间债券市场的交易规则进行交易，并负责解决因交易对手不履行合同而造成的纠纷及损失。若未履约的交易对手在基金管理人确定的时间内仍未承担违约责任及其他相关法律责任的，基金管理人可以对相应损失先行予以承担，然后再向相关交易对手追偿。基金托管人则根据银行间债券市场成交单对合同履行情况进行监督。如基金托管人事后发现基金管</w:t>
      </w:r>
      <w:r>
        <w:rPr>
          <w:rFonts w:ascii="宋体" w:hAnsi="宋体"/>
          <w:sz w:val="24"/>
        </w:rPr>
        <w:lastRenderedPageBreak/>
        <w:t>理人没有按照事先约定的交易对手进行交易时，基金托管人应及时提醒基金管理人，基金托管人不承担由此造成的任何损失和责任。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5、基金管理人应当对投资中期票据业务进行研究，认真评估中期票据投资业务的风险，本着审慎、勤勉尽责的原则进行中期票据的投资业务，并应符合法律法规及监管机构的相关规定。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各类基金份额的基金资产净值计算及基金份额净值计算、基金费用开支及收入确定、基金收益分配、相关信息披露、基金宣传推介材料中登载基金业绩表现数据等进行监督和核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的上述事项及投资指令或实际投资运作违反法律法规、《基金合同》和本托管协议的规定，应及时以电话提醒、邮件或书面提示等方式通知基金管理人限期纠正。基金管理人应积极配合和协助基金托管人的监督和核查。基金管理人收到通知后应及时核对并回复基金托管人，对于收到的书面通知，基金管理人应以书面形式给基金托管人发出回函，就基金托管人的疑义进行解释或举证，说明违规原因及纠正期限。在上述规定期限内，基金托管人有权随时对通知事项进行复查，督促基金管理人改正。基金管理人对基金托管人通知的违规事项未能在限期内纠正的，基金托管人应报告中国证监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包括但不限于：对基金托管人发出的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及时纠正，由此造成的损失由基金管理人承担，托管人在履行其通知义务后，予以免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11、侧袋机制的实施和投资运作安排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w:t>
      </w:r>
      <w:r>
        <w:rPr>
          <w:rFonts w:ascii="宋体" w:hAnsi="宋体"/>
          <w:sz w:val="24"/>
        </w:rPr>
        <w:lastRenderedPageBreak/>
        <w:t>额持有人利益的原则，基金管理人经与基金托管人协商一致，并咨询会计师事务所意见后，可以依照法律法规及基金合同的约定启用侧袋机制。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侧袋机制实施期间，基金合同约定的投资组合比例、投资策略、组合限制、业绩比较基准、风险收益特征等约定仅适用于主袋账户。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侧袋账户的实施条件、实施程序、运作安排、投资安排、特定资产的处置变现和支付等对投资者权益有重大影响的事项详见招募说明书的规定。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托管协议及其他有关规定时，应及时以书面形式通知基金托管人限期纠正。基金托管人收到书面通知后应在下一工作日前及时核对并以书面形式给基金管理人发出回函，说明违规原因及纠正期限，并保证在规定期限内及时改正。在上述规定期限内，基金管理人有权随时对通知事项进行复查，督促基金托管人改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4、基金管理人发现基金托管人有重大违规行为，应及时报告中国证监会，同时通知基金托管人限期纠正，并将纠正结果报告中国证监会。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（3）基金托管人按照规定开设基金财产的资金账户和证券账户等投资所需的相关账户。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（4）基金托管人对所托管的不同基金财产分别设置账户，确保基金财产的完整与独立。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未经基金管理人的正当指令，不得自行运用、处分、分配基金的任何资产。不属于基金托管人实际有效控制下的资产及实物证券等在基金托管人保管期间的损坏、灭失，基金托管人不承担由此产生的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资金账户的，基金托管人应及时通知基金管理人采取措施进行催收，基金管理人应负责向有关当事人追偿基金财产的损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因为基金管理人投资产生的存放或存管在基金托管人以外机构的基金资产，或交由证券公司负责清算交收的基金资产及其收益，由于该等机构或该机构会员单位等本协议当事人外第三方的欺诈、疏忽、过失或破产等原因给基金资产造成的损失等不承担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（8）除依据法律法规和基金合同的规定外，基金托管人不得委托第三人托管基金财产。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（1）基金募集期间募集认购款项应开立“基金募集专户”。该账户由基金管理人或基金管理人委托的登记机构开立并管理。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停止募集时，募集的基金份额总额、基金募集金额、基金份额持有人人数符合《基金法》、《运作办法》等有关规定后，基金管理人应将属于基金财产的全部资金划入基金托管人为基金开立的基金资金账户，同时在规定时间内，基金管理人应聘请具有从事证券相关业务资格的会计师事务所进行验资，出具验资报告。出具的验资报告由参加验资的2名或2名以上中国注册会计师签字方为有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（1）基金托管人以本基金的名义在其营业机构开立基金的资金账户（也可称为“托管账户”），保管基金的银行存款，并根据基金管理人的指令办理资金收</w:t>
      </w:r>
      <w:r>
        <w:rPr>
          <w:rFonts w:ascii="宋体" w:hAnsi="宋体"/>
          <w:sz w:val="24"/>
        </w:rPr>
        <w:lastRenderedPageBreak/>
        <w:t>付。托管账户名称应为“交银施罗德稳鑫短债债券型证券投资基金”，预留印鉴为基金托管人印章。</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（2）基金资金账户的开立和使用，限于满足开展本基金业务的需要。基金托管人和基金管理人不得假借本基金的名义开立任何其他银行账户；亦不得使用基金的任何账户进行本基金业务以外的活动。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（3）基金资金账户的开立和管理应符合法律法规及银行业监督管理机构的有关规定。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（1）基金托管人在中国证券登记结算有限责任公司上海分公司、深圳分公司为基金开立基金托管人与基金联名的证券账户。</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等的收取按照中国证券登记结算有限责任公司的规定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若中国证监会或其他监管机构在本托管协议订立日之后允许基金从事其他投资品种的投资业务，涉及相关账户的开立、使用的，按有关规定开立、使用并管理；若无相关规定，则基金托管人比照上述关于账户开立、使用的规定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托管人根据中国人民银行、中央国债登记结算有限责任公司和银行间市场清算所股份有限公司的有关规定，以基金的名义在银行间市场登记结算机构开立债券托管账户，并代表基金进行银行间市场债券的结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（1）因业务发展需要而开立的其他账户，可以根据法律法规和基金合同的规定，由基金管理人协助基金托管人按照有关法律法规和本协议的约定协商后开立。新账户按有关规定使用并管理。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（2）法律法规等有关规定对相关账户的开立和管理另有规定的，从其规定办理。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等有价凭证按约定由基金托管人存放于基金托管人的保管库，或存入中央国债登记结算有限责任公司、银行间市场清算所股份有限公司、中国证券登记结算有限责任公司或票据营业中心的代保管库，实物保管凭证由基金托管人持有。实物证券等有价凭证的购买和转让，由基金托管人根据基金管理人的指令办理。基金托管人对由上述存放机构及基金托管人以外机构实际有效控制的有价凭证不承担保管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财产有关的重大合同的原件分别由基金管理人、基金托管人保管。除本协议另有规定外，基金管理人代表基金签署的与基金财产有关的重大合同应保证基金管理人和基金托管人至少各持有一份正本的原件。基金管理人应在重大合同签署后及时将重大合同传真给基金托管人，并在三十个工作日内将正本送达基金托管人处。因基金管理人发送的合同传真件与事后送达的合同原件不一致所造成的后果，由基金管理人负责。重大合同的保管期限为基金合同终止后不少于15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无法取得二份以上的正本的，基金管理人应向基金托管人提供加盖公章的合同传真件，未经双方协商一致，合同原件不得转移。基金管理人向基金托管人提供的合同传真件与基金管理人留存原件不一致的，以传真件为准。</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（五）基金资产净值计算、估值和会计核算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1、基金资产净值的计算、复核与完成的时间及程序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各类基金份额的基金份额净值是指估值日该类基金份额的基金资产净值除以估值日该类基金份额总数，基金份额净值的计算，精确到0.0001元，小数点后第五位四舍五入，国家另有规定的，从其规定。</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基金管理人每个工作日计算各类基金份额的基金资产净值、基金份额净值，经基金托管人复核，按规定公告，但基金管理人根据法律法规或基金合同的规定暂停估值时除外。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（2）复核程序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基金管理人每个工作日对基金资产进行估值后，将各类基金份额的基金资产净值、基金份额净值发送基金托管人，经基金托管人复核无误后，由基金管理人对外公布。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按照基金管理人对基金资产净值的计算结果对外予以公布。</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2、基金资产的估值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基金管理人及基金托管人应当按照《基金合同》的约定进行估值。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3、基金份额净值错误的处理方式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基金管理人及基金托管人应当按照《基金合同》的约定处理份额净值错误。</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4、基金会计制度</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按国家有关部门规定的会计制度执行。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5、基金账册的建立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双方约定的同一记账方法和会计处理原则，分别独立地设置、记录和保管本基金的全套账册，对相关各方各自的账册定期进行核对，互相监督，以保证基金资产的安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6、基金财务报表与报告的编制和复核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（1）财务报表的编制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基金财务报表由基金管理人编制，基金托管人复核。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（2）报表复核</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基金托管人在收到基金管理人编制的基金财务报表后，进行独立的复核。核对不符时，应及时通知基金管理人共同查出原因，进行调整，直至双方数据完全一致。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（3）财务报表的编制与复核时间安排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每月结束后5个工作日内完成月度报表的编制及复核；在每个季度结束之日起15个工作日内完成基金季度报告的编制及复核；在上半年结束之日起60日内完成基金半年度报告的编制及复核；在每年结束之日起90日内完成基金年度报告的编制及复核。基金托管人在复核过程中，发现双方的报表</w:t>
      </w:r>
      <w:r>
        <w:rPr>
          <w:rFonts w:ascii="宋体" w:hAnsi="宋体"/>
          <w:sz w:val="24"/>
        </w:rPr>
        <w:lastRenderedPageBreak/>
        <w:t>存在不符时，基金管理人和基金托管人应共同查明原因，进行调整，调整以国家有关规定为准。基金年度报告的财务会计报告应当经过审计。基金合同生效不足两个月的，基金管理人可以不编制当期季度报告、半年度报告或者年度报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7、在有需要时，基金管理人应每季度向基金托管人提供基金业绩比较基准的基础数据和编制结果。</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8、实施侧袋机制期间的基金资产估值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本基金实施侧袋机制的，应根据基金合同的约定对主袋账户资产进行估值并披露主袋账户的基金净值信息，暂停披露侧袋账户份额净值。</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（六）基金份额持有人名册的保管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证件号码和持有的基金份额。基金份额持有人名册由基金登记机构根据基金管理人的指令编制和保管，基金管理人和基金托管人应分别保管基金份额持有人名册，保存期不少于15年。如不能妥善保管，则按相关法律法规承担责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半年报和年报前，基金管理人应将有关资料送交基金托管人，不得无故拒绝或延误提供，并保证其真实性、准确性和完整性。基金管理人和托管人不得将所保管的基金份额持有人名册用于基金托管业务以外的其他用途，并应遵守保密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双方当事人同意，因本协议而产生的或与本协议有关的一切争议，如经友好协商未能解决的，任何一方均有权将争议提交华南国际经济贸易仲裁委员会，按照华南国际经济贸易仲裁委员会届时有效的仲裁规则进行仲裁。仲裁地点为深圳市。仲裁裁决是终局的，对双方当事人均有约束力，除非仲裁裁决另有规定，仲裁费用由败诉方承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本协议受中华人民共和国法律（不含港澳台立法）管辖。</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（八）托管协议的变更、终止与基金财产的清算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w:t>
      </w:r>
      <w:r>
        <w:rPr>
          <w:rFonts w:ascii="宋体" w:hAnsi="宋体"/>
          <w:sz w:val="24"/>
        </w:rPr>
        <w:lastRenderedPageBreak/>
        <w:t>容不得与基金合同的规定有任何冲突。基金托管协议的变更应报中国证监会备案。</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（2）基金托管人因解散、破产、撤销等事由，不能继续担任基金托管人的职务，而在6个月内无其他适当的托管机构承接其原有权利义务；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（3）基金管理人因解散、破产、撤销等事由，不能继续担任基金管理人的职务，而在6个月内无其他适当的基金管理公司承接其原有权利义务；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（4）发生法律法规或《基金合同》规定的其他终止事项。</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基金管理人与基金托管人按照《基金合同》的约定处理基金财产的清算。</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6" w:name="_Toc240890886"/>
      <w:r>
        <w:rPr>
          <w:rFonts w:ascii="Times New Roman" w:hAnsi="Times New Roman"/>
          <w:sz w:val="30"/>
        </w:rPr>
        <w:lastRenderedPageBreak/>
        <w:t>二十三、对基金份额持有人的服务</w:t>
      </w:r>
      <w:bookmarkEnd w:id="26"/>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（一）持有人交易资料的寄送服务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1、每次交易结束后，投资人可在T+2个工作日后通过销售机构的网点查询和打印确认单；</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（二）网上直销服务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公司网站的网上直销交易平台办理开户和本基金A类基金份额、C类基金份额、D类基金份额和E类基金份额的申购、赎回、定期定额投资和转换等业务。通过网上直销交易平台办理本基金A类基金份额或D类基金份额申购和定期定额投资业务的个人投资者将享受前端申购费率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在条件成熟的时候，本基金管理人将根据基金网上直销业务的发展状况，适时调整可用于基金网上直销交易平台的银行卡种类，敬请投资人留意相关公告。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（三）信息咨询、查询服务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投资人可以拨打本基金管理人客户服务电话投诉直销机构的人员和服务。</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（四）基金红利再投资</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基金份额、C类基金份额、D类基金份额和E类基金份额分别选择不同的收益分配方式。再投资红利按红利再投日（即除息日）除息后的基金份额净值自动转为相应类别的基金份额，并免收申购费用。</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（五）定期定额投资计划</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7" w:name="_Toc240890887"/>
      <w:r>
        <w:rPr>
          <w:rFonts w:ascii="Times New Roman" w:hAnsi="Times New Roman"/>
          <w:sz w:val="30"/>
        </w:rPr>
        <w:lastRenderedPageBreak/>
        <w:t>二十四、其他应披露事项</w:t>
      </w:r>
      <w:bookmarkEnd w:id="27"/>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E</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交银施罗德基金管理有限公司关于增加上海长量基金销售有限公司为旗下基金的销售机构的公告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2025-08-04</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交银施罗德基金管理有限公司关于增加上海基煜基金销售有限公司为旗下基金的销售机构的公告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2025-09-05</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w:t>
            </w:r>
            <w:r>
              <w:rPr>
                <w:rFonts w:ascii="Times New Roman" w:hAnsi="Times New Roman"/>
                <w:color w:val="000000"/>
                <w:kern w:val="0"/>
                <w:sz w:val="25"/>
                <w:szCs w:val="24"/>
              </w:rPr>
              <w:t>2025</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国庆节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2025-09-27</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元旦</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春节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2026-02-10</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交银施罗德稳鑫短债债券型证券投资基金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交银施罗德基金管理有限公司关于交银施罗德稳鑫短债债券型证券投资基金于</w:t>
            </w:r>
            <w:r>
              <w:rPr>
                <w:rFonts w:ascii="Times New Roman" w:hAnsi="Times New Roman"/>
                <w:color w:val="000000"/>
                <w:kern w:val="0"/>
                <w:sz w:val="25"/>
                <w:szCs w:val="24"/>
              </w:rPr>
              <w:t>2026</w:t>
            </w:r>
            <w:r>
              <w:rPr>
                <w:rFonts w:ascii="Times New Roman" w:hAnsi="Times New Roman"/>
                <w:color w:val="000000"/>
                <w:kern w:val="0"/>
                <w:sz w:val="25"/>
                <w:szCs w:val="24"/>
              </w:rPr>
              <w:t>年</w:t>
            </w:r>
            <w:r>
              <w:rPr>
                <w:rFonts w:ascii="Times New Roman" w:hAnsi="Times New Roman"/>
                <w:color w:val="000000"/>
                <w:kern w:val="0"/>
                <w:sz w:val="25"/>
                <w:szCs w:val="24"/>
              </w:rPr>
              <w:t>“</w:t>
            </w:r>
            <w:r>
              <w:rPr>
                <w:rFonts w:ascii="Times New Roman" w:hAnsi="Times New Roman"/>
                <w:color w:val="000000"/>
                <w:kern w:val="0"/>
                <w:sz w:val="25"/>
                <w:szCs w:val="24"/>
              </w:rPr>
              <w:t>劳动节</w:t>
            </w:r>
            <w:r>
              <w:rPr>
                <w:rFonts w:ascii="Times New Roman" w:hAnsi="Times New Roman"/>
                <w:color w:val="000000"/>
                <w:kern w:val="0"/>
                <w:sz w:val="25"/>
                <w:szCs w:val="24"/>
              </w:rPr>
              <w:t>”</w:t>
            </w:r>
            <w:r>
              <w:rPr>
                <w:rFonts w:ascii="Times New Roman" w:hAnsi="Times New Roman"/>
                <w:color w:val="000000"/>
                <w:kern w:val="0"/>
                <w:sz w:val="25"/>
                <w:szCs w:val="24"/>
              </w:rPr>
              <w:t>假期前调整大额申购（转换转入、定期定额投资）业务限额的公告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2026-04-28</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20</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8C2B37">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21</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8C2B37" w:rsidRDefault="005A6265">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8" w:name="_Toc240890888"/>
      <w:r>
        <w:rPr>
          <w:rFonts w:ascii="Times New Roman" w:hAnsi="Times New Roman"/>
          <w:sz w:val="30"/>
        </w:rPr>
        <w:lastRenderedPageBreak/>
        <w:t>二十五、招募说明书的存放及查阅方式</w:t>
      </w:r>
      <w:bookmarkEnd w:id="28"/>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和营业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5A6265"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8C2B37" w:rsidRDefault="005A6265">
      <w:pPr>
        <w:pStyle w:val="1"/>
        <w:snapToGrid w:val="0"/>
        <w:spacing w:beforeLines="0" w:before="240" w:after="240"/>
        <w:rPr>
          <w:rFonts w:ascii="宋体" w:hAnsi="宋体"/>
          <w:szCs w:val="30"/>
        </w:rPr>
      </w:pPr>
      <w:bookmarkStart w:id="29" w:name="_Toc240890889"/>
      <w:r>
        <w:rPr>
          <w:rFonts w:ascii="Times New Roman" w:hAnsi="Times New Roman"/>
          <w:sz w:val="30"/>
        </w:rPr>
        <w:lastRenderedPageBreak/>
        <w:t>二十六、备查文件</w:t>
      </w:r>
      <w:bookmarkEnd w:id="29"/>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（一）中国证监会准予交银施罗德稳鑫短债债券型证券投资基金募集注册的文件</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（二）《交银施罗德稳鑫短债债券型证券投资基金基金合同》</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（三）《交银施罗德稳鑫短债债券型证券投资基金托管协议》</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8C2B37" w:rsidRDefault="005A6265">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（六）关于申请募集注册交银施罗德稳鑫短债债券型证券投资基金的法律意见书</w:t>
      </w:r>
    </w:p>
    <w:sectPr w:rsidR="008C2B37">
      <w:footerReference w:type="default" r:id="rId19"/>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7D98" w:rsidRDefault="005A6265">
      <w:r>
        <w:separator/>
      </w:r>
    </w:p>
  </w:endnote>
  <w:endnote w:type="continuationSeparator" w:id="0">
    <w:p w:rsidR="00E17D98" w:rsidRDefault="005A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8C2B37">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500E4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8C2B37" w:rsidRDefault="005A626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00E47">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8C2B37">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500E47">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8C2B37" w:rsidRDefault="005A6265">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500E47">
                  <w:rPr>
                    <w:rFonts w:ascii="Times New Roman" w:hAnsi="Times New Roman"/>
                    <w:noProof/>
                    <w:kern w:val="0"/>
                    <w:sz w:val="18"/>
                    <w:szCs w:val="18"/>
                  </w:rPr>
                  <w:t>164</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7D98" w:rsidRDefault="005A6265">
      <w:r>
        <w:separator/>
      </w:r>
    </w:p>
  </w:footnote>
  <w:footnote w:type="continuationSeparator" w:id="0">
    <w:p w:rsidR="00E17D98" w:rsidRDefault="005A62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8C2B3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5A6265">
    <w:pPr>
      <w:pStyle w:val="a3"/>
      <w:jc w:val="right"/>
      <w:rPr>
        <w:rFonts w:ascii="宋体" w:hAnsi="宋体"/>
      </w:rPr>
    </w:pPr>
    <w:r>
      <w:rPr>
        <w:rFonts w:ascii="宋体" w:hAnsi="宋体" w:hint="eastAsia"/>
      </w:rPr>
      <w:t>交银施罗德稳鑫短债债券型证券投资基金招募说明书更新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8C2B37">
    <w:pPr>
      <w:pStyle w:val="10"/>
      <w:jc w:val="right"/>
    </w:pPr>
  </w:p>
  <w:p w:rsidR="008C2B37" w:rsidRDefault="008C2B37">
    <w:pPr>
      <w:pStyle w:val="10"/>
      <w:jc w:val="right"/>
    </w:pPr>
  </w:p>
  <w:p w:rsidR="008C2B37" w:rsidRDefault="008C2B37">
    <w:pPr>
      <w:pStyle w:val="a3"/>
      <w:jc w:val="right"/>
    </w:pPr>
  </w:p>
  <w:p w:rsidR="008C2B37" w:rsidRDefault="005A6265">
    <w:pPr>
      <w:pStyle w:val="a3"/>
      <w:jc w:val="right"/>
      <w:rPr>
        <w:rFonts w:ascii="宋体" w:hAnsi="宋体"/>
      </w:rPr>
    </w:pPr>
    <w:r>
      <w:rPr>
        <w:rFonts w:ascii="宋体" w:hAnsi="宋体" w:hint="eastAsia"/>
      </w:rPr>
      <w:t>交银施罗德稳鑫短债债券型证券投资基金招募说明书更新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2B37" w:rsidRDefault="008C2B37">
    <w:pPr>
      <w:pStyle w:val="a3"/>
      <w:jc w:val="right"/>
    </w:pPr>
  </w:p>
  <w:p w:rsidR="008C2B37" w:rsidRDefault="008C2B37">
    <w:pPr>
      <w:pStyle w:val="a3"/>
      <w:jc w:val="right"/>
    </w:pPr>
  </w:p>
  <w:p w:rsidR="008C2B37" w:rsidRDefault="008C2B37">
    <w:pPr>
      <w:pStyle w:val="a3"/>
      <w:jc w:val="right"/>
    </w:pPr>
  </w:p>
  <w:p w:rsidR="008C2B37" w:rsidRDefault="005A6265">
    <w:pPr>
      <w:pStyle w:val="a3"/>
      <w:jc w:val="right"/>
      <w:rPr>
        <w:rFonts w:ascii="宋体" w:hAnsi="宋体"/>
      </w:rPr>
    </w:pPr>
    <w:r>
      <w:rPr>
        <w:rFonts w:ascii="宋体" w:hAnsi="宋体" w:hint="eastAsia"/>
      </w:rPr>
      <w:t>交银施罗德稳鑫短债债券型证券投资基金招募说明书更新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8"/>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0E47"/>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265"/>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2B37"/>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17D98"/>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8"/>
    <o:shapelayout v:ext="edit">
      <o:idmap v:ext="edit" data="3"/>
    </o:shapelayout>
  </w:shapeDefaults>
  <w:decimalSymbol w:val="."/>
  <w:listSeparator w:val=","/>
  <w15:docId w15:val="{E82AC0BE-CB5A-4AD9-B645-F8466302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165</Pages>
  <Words>17034</Words>
  <Characters>97098</Characters>
  <Application>Microsoft Office Word</Application>
  <DocSecurity>0</DocSecurity>
  <Lines>809</Lines>
  <Paragraphs>227</Paragraphs>
  <ScaleCrop>false</ScaleCrop>
  <Company>Microsoft</Company>
  <LinksUpToDate>false</LinksUpToDate>
  <CharactersWithSpaces>113905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2026-09-21T05:47:00Z</dcterms:created>
  <dcterms:modified xsi:type="dcterms:W3CDTF">2026-09-21T05:47:00Z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