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AE06A7">
      <w:pPr>
        <w:rPr>
          <w:sz w:val="32"/>
        </w:rPr>
      </w:pPr>
    </w:p>
    <w:p w:rsidR="00C92FC0" w:rsidRPr="00EB07BC" w:rsidRDefault="00AE06A7">
      <w:pPr>
        <w:rPr>
          <w:sz w:val="32"/>
        </w:rPr>
      </w:pPr>
    </w:p>
    <w:p w:rsidR="00C92FC0" w:rsidRPr="00EB07BC" w:rsidRDefault="00AE06A7">
      <w:pPr>
        <w:rPr>
          <w:sz w:val="32"/>
        </w:rPr>
      </w:pPr>
    </w:p>
    <w:p w:rsidR="00BB3A60" w:rsidRDefault="00BB3A6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B3A60" w:rsidRDefault="00BB3A6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B3A60" w:rsidRDefault="00BB3A6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B3A60" w:rsidRDefault="00407DB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交银施罗德启明混合型证券投资基金</w:t>
      </w:r>
    </w:p>
    <w:p w:rsidR="00BB3A60" w:rsidRDefault="00407DB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B3A60" w:rsidRDefault="00BB3A60">
      <w:pPr>
        <w:snapToGrid w:val="0"/>
        <w:spacing w:line="360" w:lineRule="auto"/>
        <w:jc w:val="center"/>
        <w:rPr>
          <w:rFonts w:ascii="宋体" w:hAnsi="宋体"/>
          <w:b/>
          <w:sz w:val="30"/>
          <w:szCs w:val="30"/>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407DB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B3A60" w:rsidRDefault="00407DB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BB3A6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B3A60" w:rsidRDefault="00407DB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BB3A60" w:rsidRDefault="00BB3A60">
      <w:pPr>
        <w:autoSpaceDE w:val="0"/>
        <w:autoSpaceDN w:val="0"/>
        <w:adjustRightInd w:val="0"/>
        <w:snapToGrid w:val="0"/>
        <w:spacing w:line="360" w:lineRule="auto"/>
        <w:ind w:left="1347" w:rightChars="6" w:right="13"/>
        <w:rPr>
          <w:rFonts w:ascii="宋体" w:hAnsi="宋体"/>
          <w:kern w:val="0"/>
          <w:sz w:val="32"/>
          <w:szCs w:val="32"/>
        </w:rPr>
        <w:sectPr w:rsidR="00BB3A60">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B3A60" w:rsidRDefault="00407DBA">
      <w:pPr>
        <w:pStyle w:val="1"/>
        <w:snapToGrid w:val="0"/>
        <w:spacing w:beforeLines="0" w:before="240" w:after="240"/>
        <w:rPr>
          <w:rFonts w:ascii="宋体" w:hAnsi="宋体"/>
          <w:kern w:val="0"/>
        </w:rPr>
      </w:pPr>
      <w:bookmarkStart w:id="0" w:name="_Toc324920538"/>
      <w:bookmarkStart w:id="1" w:name="_Toc496884613"/>
      <w:bookmarkStart w:id="2" w:name="_Toc240890854"/>
      <w:r>
        <w:rPr>
          <w:rFonts w:ascii="Times New Roman" w:hAnsi="Times New Roman"/>
          <w:kern w:val="0"/>
        </w:rPr>
        <w:lastRenderedPageBreak/>
        <w:t>重要提示</w:t>
      </w:r>
      <w:bookmarkEnd w:id="0"/>
      <w:bookmarkEnd w:id="1"/>
      <w:bookmarkEnd w:id="2"/>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交银施罗德启明混合型证券投资基金（以下简称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584</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万元情形时基金管理人可依基金合同约定提前终止基金合同的风险；投资科创板股票的特定风险；投资本基金的其他风险等等。</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本基金可投资港股通标的股票，会面临港股通机制下因投资环境、投资标的、市场制度以及交易规则等差异带来的特有风险。</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w:t>
      </w:r>
      <w:r>
        <w:rPr>
          <w:rFonts w:ascii="Times New Roman" w:hAnsi="Times New Roman"/>
          <w:kern w:val="0"/>
          <w:sz w:val="24"/>
        </w:rPr>
        <w:lastRenderedPageBreak/>
        <w:t>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B3A60" w:rsidRDefault="00407DB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BB3A60" w:rsidRDefault="00BB3A60">
      <w:pPr>
        <w:autoSpaceDE w:val="0"/>
        <w:autoSpaceDN w:val="0"/>
        <w:adjustRightInd w:val="0"/>
        <w:snapToGrid w:val="0"/>
        <w:spacing w:before="51" w:line="360" w:lineRule="auto"/>
        <w:ind w:left="120" w:rightChars="6" w:right="13" w:firstLine="480"/>
        <w:rPr>
          <w:rFonts w:ascii="宋体" w:hAnsi="宋体"/>
          <w:kern w:val="0"/>
          <w:szCs w:val="24"/>
        </w:rPr>
        <w:sectPr w:rsidR="00BB3A60">
          <w:headerReference w:type="default" r:id="rId14"/>
          <w:pgSz w:w="11920" w:h="16840"/>
          <w:pgMar w:top="1440" w:right="1680" w:bottom="280" w:left="1680" w:header="0" w:footer="1073" w:gutter="0"/>
          <w:pgNumType w:start="1"/>
          <w:cols w:space="720"/>
        </w:sectPr>
      </w:pPr>
    </w:p>
    <w:p w:rsidR="00AE06A7" w:rsidRPr="00AE06A7" w:rsidRDefault="00407DBA" w:rsidP="00AE06A7">
      <w:pPr>
        <w:pStyle w:val="ad"/>
        <w:snapToGrid w:val="0"/>
        <w:spacing w:after="240" w:line="360" w:lineRule="auto"/>
        <w:jc w:val="center"/>
        <w:rPr>
          <w:rFonts w:ascii="宋体" w:hAnsi="宋体"/>
          <w:noProof/>
          <w:sz w:val="24"/>
        </w:rPr>
      </w:pPr>
      <w:r w:rsidRPr="00AE06A7">
        <w:rPr>
          <w:rFonts w:ascii="宋体" w:hAnsi="宋体"/>
          <w:color w:val="000000"/>
          <w:position w:val="-4"/>
          <w:sz w:val="24"/>
          <w:szCs w:val="30"/>
        </w:rPr>
        <w:lastRenderedPageBreak/>
        <w:t>目</w:t>
      </w:r>
      <w:r w:rsidRPr="00AE06A7">
        <w:rPr>
          <w:rFonts w:ascii="宋体" w:hAnsi="宋体"/>
          <w:color w:val="000000"/>
          <w:position w:val="-4"/>
          <w:sz w:val="24"/>
          <w:szCs w:val="30"/>
        </w:rPr>
        <w:tab/>
        <w:t>录</w:t>
      </w:r>
      <w:r w:rsidR="00AE06A7" w:rsidRPr="00AE06A7">
        <w:rPr>
          <w:rFonts w:ascii="宋体" w:hAnsi="宋体"/>
          <w:color w:val="000000"/>
          <w:position w:val="-4"/>
          <w:sz w:val="24"/>
          <w:szCs w:val="30"/>
        </w:rPr>
        <w:fldChar w:fldCharType="begin"/>
      </w:r>
      <w:r w:rsidR="00AE06A7" w:rsidRPr="00AE06A7">
        <w:rPr>
          <w:rFonts w:ascii="宋体" w:hAnsi="宋体"/>
          <w:color w:val="000000"/>
          <w:position w:val="-4"/>
          <w:sz w:val="24"/>
          <w:szCs w:val="30"/>
        </w:rPr>
        <w:instrText xml:space="preserve"> TOC \o "1-3" \f - \h \t "-1" </w:instrText>
      </w:r>
      <w:r w:rsidR="00AE06A7" w:rsidRPr="00AE06A7">
        <w:rPr>
          <w:rFonts w:ascii="宋体" w:hAnsi="宋体"/>
          <w:color w:val="000000"/>
          <w:position w:val="-4"/>
          <w:sz w:val="24"/>
          <w:szCs w:val="30"/>
        </w:rPr>
        <w:fldChar w:fldCharType="separate"/>
      </w:r>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4" w:history="1">
        <w:r w:rsidRPr="00AE06A7">
          <w:rPr>
            <w:rStyle w:val="aa"/>
            <w:rFonts w:ascii="宋体" w:hAnsi="宋体" w:hint="eastAsia"/>
            <w:noProof/>
            <w:kern w:val="0"/>
            <w:sz w:val="24"/>
          </w:rPr>
          <w:t>重要提示</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_Toc240890854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5" w:history="1">
        <w:r w:rsidRPr="00AE06A7">
          <w:rPr>
            <w:rStyle w:val="aa"/>
            <w:rFonts w:ascii="宋体" w:hAnsi="宋体" w:hint="eastAsia"/>
            <w:noProof/>
            <w:sz w:val="24"/>
          </w:rPr>
          <w:t>绪言</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_Toc240890855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5</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6" w:history="1">
        <w:r w:rsidRPr="00AE06A7">
          <w:rPr>
            <w:rStyle w:val="aa"/>
            <w:rFonts w:ascii="宋体" w:hAnsi="宋体" w:hint="eastAsia"/>
            <w:noProof/>
            <w:sz w:val="24"/>
          </w:rPr>
          <w:t>一、释义</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_Toc240890856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6</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7" w:history="1">
        <w:r w:rsidRPr="00AE06A7">
          <w:rPr>
            <w:rStyle w:val="aa"/>
            <w:rFonts w:ascii="宋体" w:hAnsi="宋体" w:hint="eastAsia"/>
            <w:noProof/>
            <w:sz w:val="24"/>
          </w:rPr>
          <w:t>二、基金管理人</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_Toc240890857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11</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8" w:history="1">
        <w:r w:rsidRPr="00AE06A7">
          <w:rPr>
            <w:rStyle w:val="aa"/>
            <w:rFonts w:ascii="宋体" w:hAnsi="宋体" w:hint="eastAsia"/>
            <w:noProof/>
            <w:sz w:val="24"/>
          </w:rPr>
          <w:t>三、基金托管人</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_Toc240890858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18</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59" w:history="1">
        <w:r w:rsidRPr="00AE06A7">
          <w:rPr>
            <w:rStyle w:val="aa"/>
            <w:rFonts w:ascii="宋体" w:hAnsi="宋体" w:hint="eastAsia"/>
            <w:noProof/>
            <w:sz w:val="24"/>
          </w:rPr>
          <w:t>四、相关服务机构</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_Toc240890859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21</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0" w:history="1">
        <w:r w:rsidRPr="00AE06A7">
          <w:rPr>
            <w:rStyle w:val="aa"/>
            <w:rFonts w:ascii="宋体" w:hAnsi="宋体" w:hint="eastAsia"/>
            <w:noProof/>
            <w:sz w:val="24"/>
          </w:rPr>
          <w:t>五、基金的募集</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_Toc240890860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54</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1" w:history="1">
        <w:r w:rsidRPr="00AE06A7">
          <w:rPr>
            <w:rStyle w:val="aa"/>
            <w:rFonts w:ascii="宋体" w:hAnsi="宋体" w:hint="eastAsia"/>
            <w:noProof/>
            <w:sz w:val="24"/>
          </w:rPr>
          <w:t>六、基金合同的生效</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_Toc240890861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55</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2" w:history="1">
        <w:r w:rsidRPr="00AE06A7">
          <w:rPr>
            <w:rStyle w:val="aa"/>
            <w:rFonts w:ascii="宋体" w:hAnsi="宋体" w:hint="eastAsia"/>
            <w:noProof/>
            <w:sz w:val="24"/>
          </w:rPr>
          <w:t>七、基金份额的申购与赎回</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_Toc240890862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56</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3" w:history="1">
        <w:r w:rsidRPr="00AE06A7">
          <w:rPr>
            <w:rStyle w:val="aa"/>
            <w:rFonts w:ascii="宋体" w:hAnsi="宋体" w:hint="eastAsia"/>
            <w:noProof/>
            <w:sz w:val="24"/>
          </w:rPr>
          <w:t>八、基金的转换</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_Toc240890863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70</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4" w:history="1">
        <w:r w:rsidRPr="00AE06A7">
          <w:rPr>
            <w:rStyle w:val="aa"/>
            <w:rFonts w:ascii="宋体" w:hAnsi="宋体" w:hint="eastAsia"/>
            <w:noProof/>
            <w:sz w:val="24"/>
          </w:rPr>
          <w:t>九、基金的投资</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_Toc240890864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77</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5" w:history="1">
        <w:r w:rsidRPr="00AE06A7">
          <w:rPr>
            <w:rStyle w:val="aa"/>
            <w:rFonts w:ascii="宋体" w:hAnsi="宋体" w:hint="eastAsia"/>
            <w:noProof/>
            <w:sz w:val="24"/>
          </w:rPr>
          <w:t>十、基金的业绩</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_Toc240890865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89</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6" w:history="1">
        <w:r w:rsidRPr="00AE06A7">
          <w:rPr>
            <w:rStyle w:val="aa"/>
            <w:rFonts w:ascii="宋体" w:hAnsi="宋体" w:hint="eastAsia"/>
            <w:noProof/>
            <w:sz w:val="24"/>
          </w:rPr>
          <w:t>十一、基金的财产</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_Toc240890866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92</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7" w:history="1">
        <w:r w:rsidRPr="00AE06A7">
          <w:rPr>
            <w:rStyle w:val="aa"/>
            <w:rFonts w:ascii="宋体" w:hAnsi="宋体" w:hint="eastAsia"/>
            <w:noProof/>
            <w:sz w:val="24"/>
          </w:rPr>
          <w:t>十二、基金资产的估值</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_Toc240890867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93</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8" w:history="1">
        <w:r w:rsidRPr="00AE06A7">
          <w:rPr>
            <w:rStyle w:val="aa"/>
            <w:rFonts w:ascii="宋体" w:hAnsi="宋体" w:hint="eastAsia"/>
            <w:noProof/>
            <w:sz w:val="24"/>
          </w:rPr>
          <w:t>十三、基金收益与分配</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_Toc240890868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99</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69" w:history="1">
        <w:r w:rsidRPr="00AE06A7">
          <w:rPr>
            <w:rStyle w:val="aa"/>
            <w:rFonts w:ascii="宋体" w:hAnsi="宋体" w:hint="eastAsia"/>
            <w:noProof/>
            <w:sz w:val="24"/>
          </w:rPr>
          <w:t>十四、基金的费用与税收</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_Toc240890869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101</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0" w:history="1">
        <w:r w:rsidRPr="00AE06A7">
          <w:rPr>
            <w:rStyle w:val="aa"/>
            <w:rFonts w:ascii="宋体" w:hAnsi="宋体" w:hint="eastAsia"/>
            <w:noProof/>
            <w:sz w:val="24"/>
          </w:rPr>
          <w:t>十五、基金的会计与审计</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_Toc240890870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104</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1" w:history="1">
        <w:r w:rsidRPr="00AE06A7">
          <w:rPr>
            <w:rStyle w:val="aa"/>
            <w:rFonts w:ascii="宋体" w:hAnsi="宋体" w:hint="eastAsia"/>
            <w:noProof/>
            <w:sz w:val="24"/>
          </w:rPr>
          <w:t>十六、基金的信息披露</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_Toc240890871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105</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2" w:history="1">
        <w:r w:rsidRPr="00AE06A7">
          <w:rPr>
            <w:rStyle w:val="aa"/>
            <w:rFonts w:ascii="宋体" w:hAnsi="宋体" w:hint="eastAsia"/>
            <w:noProof/>
            <w:sz w:val="24"/>
          </w:rPr>
          <w:t>十七、侧袋机制</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_Toc240890872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112</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3" w:history="1">
        <w:r w:rsidRPr="00AE06A7">
          <w:rPr>
            <w:rStyle w:val="aa"/>
            <w:rFonts w:ascii="宋体" w:hAnsi="宋体" w:hint="eastAsia"/>
            <w:noProof/>
            <w:sz w:val="24"/>
          </w:rPr>
          <w:t>十八、风险揭示</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_Toc240890873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115</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4" w:history="1">
        <w:r w:rsidRPr="00AE06A7">
          <w:rPr>
            <w:rStyle w:val="aa"/>
            <w:rFonts w:ascii="宋体" w:hAnsi="宋体" w:hint="eastAsia"/>
            <w:noProof/>
            <w:sz w:val="24"/>
          </w:rPr>
          <w:t>十九、基金合同的变更、终止与基金财产的清算</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_Toc240890874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125</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5" w:history="1">
        <w:r w:rsidRPr="00AE06A7">
          <w:rPr>
            <w:rStyle w:val="aa"/>
            <w:rFonts w:ascii="宋体" w:hAnsi="宋体" w:hint="eastAsia"/>
            <w:noProof/>
            <w:sz w:val="24"/>
          </w:rPr>
          <w:t>二十、基金合同内容摘要</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_Toc240890875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127</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6" w:history="1">
        <w:r w:rsidRPr="00AE06A7">
          <w:rPr>
            <w:rStyle w:val="aa"/>
            <w:rFonts w:ascii="宋体" w:hAnsi="宋体" w:hint="eastAsia"/>
            <w:noProof/>
            <w:sz w:val="24"/>
          </w:rPr>
          <w:t>二十一、托管协议的内容摘要</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_Toc240890876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144</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7" w:history="1">
        <w:r w:rsidRPr="00AE06A7">
          <w:rPr>
            <w:rStyle w:val="aa"/>
            <w:rFonts w:ascii="宋体" w:hAnsi="宋体" w:hint="eastAsia"/>
            <w:noProof/>
            <w:sz w:val="24"/>
          </w:rPr>
          <w:t>二十二、对基金份额持有人的服务</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_Toc240890877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159</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8" w:history="1">
        <w:r w:rsidRPr="00AE06A7">
          <w:rPr>
            <w:rStyle w:val="aa"/>
            <w:rFonts w:ascii="宋体" w:hAnsi="宋体" w:hint="eastAsia"/>
            <w:noProof/>
            <w:sz w:val="24"/>
          </w:rPr>
          <w:t>二十三、其他应披露事项</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_Toc240890878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161</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79" w:history="1">
        <w:r w:rsidRPr="00AE06A7">
          <w:rPr>
            <w:rStyle w:val="aa"/>
            <w:rFonts w:ascii="宋体" w:hAnsi="宋体" w:hint="eastAsia"/>
            <w:noProof/>
            <w:sz w:val="24"/>
          </w:rPr>
          <w:t>二十四、招募说明书的存放及查阅方式</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_Toc240890879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164</w:t>
        </w:r>
        <w:r w:rsidRPr="00AE06A7">
          <w:rPr>
            <w:rFonts w:ascii="宋体" w:hAnsi="宋体"/>
            <w:noProof/>
            <w:sz w:val="24"/>
          </w:rPr>
          <w:fldChar w:fldCharType="end"/>
        </w:r>
      </w:hyperlink>
    </w:p>
    <w:p w:rsidR="00AE06A7" w:rsidRPr="00AE06A7" w:rsidRDefault="00AE06A7" w:rsidP="00AE06A7">
      <w:pPr>
        <w:pStyle w:val="10"/>
        <w:tabs>
          <w:tab w:val="right" w:leader="dot" w:pos="8550"/>
        </w:tabs>
        <w:spacing w:line="360" w:lineRule="auto"/>
        <w:rPr>
          <w:rFonts w:ascii="宋体" w:hAnsi="宋体" w:cstheme="minorBidi"/>
          <w:noProof/>
          <w:sz w:val="24"/>
        </w:rPr>
      </w:pPr>
      <w:hyperlink w:anchor="_Toc240890880" w:history="1">
        <w:r w:rsidRPr="00AE06A7">
          <w:rPr>
            <w:rStyle w:val="aa"/>
            <w:rFonts w:ascii="宋体" w:hAnsi="宋体" w:hint="eastAsia"/>
            <w:noProof/>
            <w:sz w:val="24"/>
          </w:rPr>
          <w:t>二十五、备案文件</w:t>
        </w:r>
        <w:r w:rsidRPr="00AE06A7">
          <w:rPr>
            <w:rFonts w:ascii="宋体" w:hAnsi="宋体"/>
            <w:noProof/>
            <w:sz w:val="24"/>
          </w:rPr>
          <w:tab/>
        </w:r>
        <w:r w:rsidRPr="00AE06A7">
          <w:rPr>
            <w:rFonts w:ascii="宋体" w:hAnsi="宋体"/>
            <w:noProof/>
            <w:sz w:val="24"/>
          </w:rPr>
          <w:fldChar w:fldCharType="begin"/>
        </w:r>
        <w:r w:rsidRPr="00AE06A7">
          <w:rPr>
            <w:rFonts w:ascii="宋体" w:hAnsi="宋体"/>
            <w:noProof/>
            <w:sz w:val="24"/>
          </w:rPr>
          <w:instrText xml:space="preserve"> PAGEREF _Toc240890880 \h </w:instrText>
        </w:r>
        <w:r w:rsidRPr="00AE06A7">
          <w:rPr>
            <w:rFonts w:ascii="宋体" w:hAnsi="宋体"/>
            <w:noProof/>
            <w:sz w:val="24"/>
          </w:rPr>
        </w:r>
        <w:r w:rsidRPr="00AE06A7">
          <w:rPr>
            <w:rFonts w:ascii="宋体" w:hAnsi="宋体"/>
            <w:noProof/>
            <w:sz w:val="24"/>
          </w:rPr>
          <w:fldChar w:fldCharType="separate"/>
        </w:r>
        <w:r w:rsidRPr="00AE06A7">
          <w:rPr>
            <w:rFonts w:ascii="宋体" w:hAnsi="宋体"/>
            <w:noProof/>
            <w:sz w:val="24"/>
          </w:rPr>
          <w:t>165</w:t>
        </w:r>
        <w:r w:rsidRPr="00AE06A7">
          <w:rPr>
            <w:rFonts w:ascii="宋体" w:hAnsi="宋体"/>
            <w:noProof/>
            <w:sz w:val="24"/>
          </w:rPr>
          <w:fldChar w:fldCharType="end"/>
        </w:r>
      </w:hyperlink>
    </w:p>
    <w:p w:rsidR="00BB3A60" w:rsidRPr="00AE06A7" w:rsidRDefault="00AE06A7" w:rsidP="00AE06A7">
      <w:pPr>
        <w:pStyle w:val="ad"/>
        <w:snapToGrid w:val="0"/>
        <w:spacing w:after="240" w:line="360" w:lineRule="auto"/>
        <w:jc w:val="center"/>
        <w:rPr>
          <w:rFonts w:ascii="宋体" w:hAnsi="宋体"/>
          <w:color w:val="000000"/>
          <w:sz w:val="24"/>
        </w:rPr>
      </w:pPr>
      <w:r w:rsidRPr="00AE06A7">
        <w:rPr>
          <w:rFonts w:ascii="宋体" w:hAnsi="宋体"/>
          <w:color w:val="000000"/>
          <w:position w:val="-4"/>
          <w:sz w:val="24"/>
          <w:szCs w:val="30"/>
        </w:rPr>
        <w:fldChar w:fldCharType="end"/>
      </w:r>
      <w:bookmarkStart w:id="3" w:name="_GoBack"/>
      <w:bookmarkEnd w:id="3"/>
    </w:p>
    <w:p w:rsidR="00BB3A60" w:rsidRDefault="00BB3A60">
      <w:pPr>
        <w:autoSpaceDE w:val="0"/>
        <w:autoSpaceDN w:val="0"/>
        <w:adjustRightInd w:val="0"/>
        <w:snapToGrid w:val="0"/>
        <w:spacing w:line="360" w:lineRule="auto"/>
        <w:ind w:left="120" w:rightChars="6" w:right="13"/>
        <w:rPr>
          <w:rFonts w:ascii="宋体" w:hAnsi="宋体"/>
          <w:kern w:val="0"/>
          <w:szCs w:val="24"/>
        </w:rPr>
        <w:sectPr w:rsidR="00BB3A60">
          <w:pgSz w:w="11920" w:h="16840"/>
          <w:pgMar w:top="1480" w:right="1680" w:bottom="280" w:left="1680" w:header="0" w:footer="1073" w:gutter="0"/>
          <w:cols w:space="720"/>
        </w:sectPr>
      </w:pPr>
    </w:p>
    <w:p w:rsidR="00BB3A60" w:rsidRDefault="00407DBA">
      <w:pPr>
        <w:pStyle w:val="1"/>
        <w:snapToGrid w:val="0"/>
        <w:spacing w:beforeLines="0" w:before="240" w:after="240"/>
        <w:rPr>
          <w:rFonts w:ascii="宋体" w:hAnsi="宋体"/>
          <w:szCs w:val="30"/>
        </w:rPr>
      </w:pPr>
      <w:bookmarkStart w:id="4" w:name="_Toc240890855"/>
      <w:r>
        <w:rPr>
          <w:rFonts w:ascii="Times New Roman" w:hAnsi="Times New Roman"/>
          <w:sz w:val="30"/>
        </w:rPr>
        <w:lastRenderedPageBreak/>
        <w:t>绪言</w:t>
      </w:r>
      <w:bookmarkEnd w:id="4"/>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明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明混合型证券投资基金基金合同》（以下简称“基金合同”）编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5" w:name="_Toc240890856"/>
      <w:r>
        <w:rPr>
          <w:rFonts w:ascii="Times New Roman" w:hAnsi="Times New Roman"/>
          <w:sz w:val="30"/>
        </w:rPr>
        <w:lastRenderedPageBreak/>
        <w:t>一、释义</w:t>
      </w:r>
      <w:bookmarkEnd w:id="5"/>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1、基金或本基金：指交银施罗德启明混合型证券投资基金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4、基金合同：指《交银施罗德启明混合型证券投资基金基金合同》及对基金合同的任何有效修订和补充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5、托管协议：指基金管理人与基金托管人就本基金签订之《交银施罗德启明混合型证券投资基金托管协议》及对该托管协议的任何有效修订和补充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6、招募说明书或本招募说明书：指《交银施罗德启明混合型证券投资基金招募说明书》及其更新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7、基金产品资料概要：指《交银施罗德启明混合型证券投资基金基金产品资料概要》及其更新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8、基金份额发售公告：指《交银施罗德启明混合型证券投资基金基金份额发售公告》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56、港股通：指内地投资者委托内地证券公司，经由内地证券交易所在香港设立的证券交易服务公司，向香港联合交易所进行申报，买卖规定范围内的香港联合交易所上市的股票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w:t>
      </w:r>
      <w:r>
        <w:rPr>
          <w:rFonts w:ascii="宋体" w:hAnsi="宋体"/>
          <w:sz w:val="24"/>
        </w:rPr>
        <w:lastRenderedPageBreak/>
        <w:t>及非公开发行股票、资产支持证券、因发行人债务违约无法进行转让或交易的债券等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6" w:name="_Toc240890857"/>
      <w:r>
        <w:rPr>
          <w:rFonts w:ascii="Times New Roman" w:hAnsi="Times New Roman"/>
          <w:sz w:val="30"/>
        </w:rPr>
        <w:lastRenderedPageBreak/>
        <w:t>二、基金管理人</w:t>
      </w:r>
      <w:bookmarkEnd w:id="6"/>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芝廷先生:基金经理。上海财经大学经济学硕士，16年证券投资行业从业经验。2007年至2009年任通用电气金融（中国）有限公司消费者金融风险分析师，2009年至2010年任交通银行股份有限公司信用卡中心风险策略分析师，2010年至2015年任万家基金管理有限公司行业研究员。2015年加入交银施罗德基金管理有限公司，曾任行业分析师，专户投资部投资经理，现任权益部基金经理。现任交银施罗德启明混合型证券投资基金(2026年08月25日至今)的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刘鹏先生(2020年05月27日至2025年09月20日)；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周珊珊女士(2025年09月15日至2026年09月19日)。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6、编制季度报告、中期报告和年度报告；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金投资内容、基金投资计划等信息，或利用该信息从事或者明示、暗示他人从事相关的交易活动；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w:t>
      </w:r>
      <w:r>
        <w:rPr>
          <w:rFonts w:ascii="宋体" w:hAnsi="宋体"/>
          <w:sz w:val="24"/>
        </w:rPr>
        <w:lastRenderedPageBreak/>
        <w:t>司的财务运作符合法律的要求和通行的会计标准。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w:t>
      </w:r>
      <w:r>
        <w:rPr>
          <w:rFonts w:ascii="宋体" w:hAnsi="宋体"/>
          <w:sz w:val="24"/>
        </w:rPr>
        <w:lastRenderedPageBreak/>
        <w:t>备操作手册，并定期更新。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7" w:name="_Toc240890858"/>
      <w:r>
        <w:rPr>
          <w:rFonts w:ascii="Times New Roman" w:hAnsi="Times New Roman"/>
          <w:sz w:val="30"/>
        </w:rPr>
        <w:lastRenderedPageBreak/>
        <w:t>三、基金托管人</w:t>
      </w:r>
      <w:bookmarkEnd w:id="7"/>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w:t>
      </w:r>
      <w:r>
        <w:rPr>
          <w:rFonts w:ascii="宋体" w:hAnsi="宋体"/>
          <w:sz w:val="24"/>
        </w:rPr>
        <w:lastRenderedPageBreak/>
        <w:t>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8" w:name="_Toc240890859"/>
      <w:r>
        <w:rPr>
          <w:rFonts w:ascii="Times New Roman" w:hAnsi="Times New Roman"/>
          <w:sz w:val="30"/>
        </w:rPr>
        <w:lastRenderedPageBreak/>
        <w:t>四、相关服务机构</w:t>
      </w:r>
      <w:bookmarkEnd w:id="8"/>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办公地址：上海市中山东一路12 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联系人：刘昭宇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（6）名称：中国民生银行股份有限公司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（9）名称：中信银行股份有限公司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（10）名称：交通银行股份有限公司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（12）名称：宁波银行股份有限公司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（14）名称：兴业银行股份有限公司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（15）名称：光大证券股份有限公司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网址：www.ebscn.com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（17）名称：中国中金财富证券有限公司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（18）名称：山西证券股份有限公司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（19）名称：方正证券股份有限公司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（20）名称：德邦证券股份有限公司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（21）名称：国投证券股份有限公司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（22）名称：中信建投证券股份有限公司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（23）名称：中原证券股份有限公司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办公地址：郑州市郑东新区商务外环路10号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（24）名称：东方财富证券股份有限公司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（26）名称：金融街证券股份有限公司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联系人：熊丽、王捷勋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（27）名称：华泰证券股份有限公司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（28）名称：兴业证券股份有限公司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（29）名称：广发证券股份有限公司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（30）名称：海通证券股份有限公司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网址：www.guodu.com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（36）名称：申万宏源西部证券有限公司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（37）名称：中国国际金融股份有限公司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办公地址：北京建国门外大街1号国贸大厦2座27层及28层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（38）名称：长城证券有限责任公司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（39）名称：国金证券股份有限公司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（40）名称：国新证券股份有限公司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客户服务电话：（010）58568118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（42）名称：第一创业证券股份有限公司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（43）名称：中信证券华南股份有限公司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（44）名称：国泰海通证券股份有限公司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（45）名称：招商证券股份有限公司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（46）名称：大同证券有限责任公司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（47）名称：万联证券股份有限公司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（48）名称：华龙证券股份有限公司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（49）名称：西部证券股份有限公司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（50）名称：国联民生证券股份有限公司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（51）名称：财通证券股份有限公司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注册地址：杭州市杭大路15号嘉华国际商务中心201、501、502、1103、1601-1615、1701-1716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（52）名称：中邮证券有限责任公司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（53）名称：开源证券股份有限公司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（54）名称：东兴证券股份有限公司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传真：（010）66555246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（55）名称：浙商证券股份有限公司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（56）名称：华宝证券股份有限公司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网址：www.nizq.com.cn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（58）名称：华福证券有限责任公司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（59）名称：东莞证券股份有限公司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（60）名称：深圳市新兰德证券投资咨询有限公司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（61）名称：大连网金基金销售有限公司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电话：（0411-39027810）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（62）名称：阳光人寿保险股份有限公司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（63）名称：玄元保险代理有限公司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（64）名称：京东肯特瑞基金销售有限公司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客服热线：95118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（65）名称：上海大智慧基金销售有限公司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（66）名称：珠海盈米基金销售有限公司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（67）名称：北京度小满基金销售有限公司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（68）名称：南京苏宁基金销售有限公司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住所：南京市玄武区苏宁大道1-5号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（69）名称：嘉实财富管理有限公司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（70）名称：北京汇成基金销售有限公司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（71）名称：上海利得基金销售有限公司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电话：021-50583533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（72）名称：北京虹点基金销售有限公司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（73）名称：上海陆金所基金销售有限公司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（74）名称：上海挖财基金销售有限公司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联系人：毛善波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（75）名称：万家财富基金销售（天津）有限公司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（76）名称：上海万得基金销售有限公司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（77）名称：格上富信投资顾问有限公司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（78）名称：深圳市金斧子基金销售有限公司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（79）名称：北京雪球基金销售有限公司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（80）名称：北京新浪仓石基金销售有限公司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（81）名称：中证金牛（北京）基金销售有限公司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北京市西城区宣武门外大街甲一号环球财讯中心A座5层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（82）名称：上海证达通基金销售有限公司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（83）名称：奕丰基金销售有限公司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（84）名称：上海天天基金销售有限公司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电话：（021）54509998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（85）名称：和讯信息科技有限公司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（86）名称：诺亚正行基金销售有限公司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（87）名称：上海好买基金销售有限公司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网址：www.howbuy.com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（88）名称：深圳众禄基金销售股份有限公司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（89）名称：蚂蚁（杭州）基金销售有限公司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（90）名称：中信期货有限公司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（91）名称：上海基煜基金销售有限公司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（92）名称：浙江同花顺基金销售有限公司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（93）名称：宜信普泽（北京）基金销售有限公司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（94）名称：上海联泰基金销售有限公司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（95）名称：泛华普益基金销售有限公司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（96）名称：北京展恒基金销售股份有限公司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（97）名称：和耕传承基金销售有限公司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（98）名称：中国人寿保险股份有限公司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（99）名称：腾安基金销售（深圳）有限公司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（100）名称：北京创金启富基金销售有限公司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（101）名称：上海长量基金销售有限公司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住所：上海市浦东新区高翔路526号2幢220室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（102）名称：上海中欧财富基金销售有限公司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（103）名称：济安财富（北京）基金销售有限公司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（104）名称：上海华夏财富投资管理有限公司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电话：010-88066632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（105）名称：博时财富基金销售有限公司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（106）名称：深圳前海微众银行股份有限公司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法定代表人：于文强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9" w:name="_Toc240890860"/>
      <w:r>
        <w:rPr>
          <w:rFonts w:ascii="Times New Roman" w:hAnsi="Times New Roman"/>
          <w:sz w:val="30"/>
        </w:rPr>
        <w:lastRenderedPageBreak/>
        <w:t>五、基金的募集</w:t>
      </w:r>
      <w:bookmarkEnd w:id="9"/>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本基金由基金管理人依照《基金法》、《运作办法》、《销售办法》、基金合同及其他有关规定，并经中国证监会2020年3月26日证监许可【2020】584号文准予募集注册。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本基金自2020年5月18日至2020年5月21日进行发售，本基金设立募集期共募集4,790,396,457.84份基金份额，有效认购户数为52,974户。</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0" w:name="_Toc240890861"/>
      <w:r>
        <w:rPr>
          <w:rFonts w:ascii="Times New Roman" w:hAnsi="Times New Roman"/>
          <w:sz w:val="30"/>
        </w:rPr>
        <w:lastRenderedPageBreak/>
        <w:t>六、基金合同的生效</w:t>
      </w:r>
      <w:bookmarkEnd w:id="10"/>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根据有关规定，本基金满足基金合同生效条件，基金合同已于2020年5月27日正式生效。自基金合同生效之日起，本基金管理人正式开始管理本基金。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1" w:name="_Toc240890862"/>
      <w:r>
        <w:rPr>
          <w:rFonts w:ascii="Times New Roman" w:hAnsi="Times New Roman"/>
          <w:sz w:val="30"/>
        </w:rPr>
        <w:lastRenderedPageBreak/>
        <w:t>七、基金份额的申购与赎回</w:t>
      </w:r>
      <w:bookmarkEnd w:id="11"/>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本基金A类基金份额已于2020年7月3日起开放申购、赎回业务。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本基金C类基金份额已于2021年11月12日起开放申购、赎回业务。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在确定申购开始与赎回开始时间后，基金管理人应在申购、赎回开放日前依照《信息披露办法》的有关规定在指定媒介上公告申购与赎回的开始时间。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w:t>
      </w:r>
      <w:r>
        <w:rPr>
          <w:rFonts w:ascii="宋体" w:hAnsi="宋体"/>
          <w:sz w:val="24"/>
        </w:rPr>
        <w:lastRenderedPageBreak/>
        <w:t>全额到账则申购不成立。投资人全额交付申购款项，申购成立；基金登记机构确认基金份额时，申购生效。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w:t>
      </w:r>
      <w:r>
        <w:rPr>
          <w:rFonts w:ascii="宋体" w:hAnsi="宋体"/>
          <w:sz w:val="24"/>
        </w:rPr>
        <w:lastRenderedPageBreak/>
        <w:t>计提销售服务费。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B3A6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B3A6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B3A6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B3A6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BB3A6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B3A60" w:rsidRDefault="00BB3A6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w:t>
      </w:r>
      <w:r>
        <w:rPr>
          <w:rFonts w:ascii="宋体" w:hAnsi="宋体"/>
          <w:sz w:val="24"/>
        </w:rPr>
        <w:lastRenderedPageBreak/>
        <w:t>制，以确保基金估值的公平性。具体处理原则与操作规范遵循相关法律法规以及监管部门、自律规则的规定。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申购份额=（40,000-591.13）/1.0400=37,893.14份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即：该投资者（非养老金客户）投资40,000元申购本基金A类基金份额，假设申购当日A类基金份额净值为1.0400元，则其可得到37,893.14份A类基金份额。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赎回金额=10,000×1.0160-50.80＝10,109.20元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3、证券、期货交易所交易时间非正常停市或港股通临时停市，导致基金管理人无法计算当日基金资产净值。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基金管理人应当延缓支付赎回款项或暂停接受基金赎回申请。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（3）本基金如发生巨额赎回且单个开放日内单个基金份额持有人申请赎回的基金份额超过前一开放日的基金总份额的20%时，本基金管理人有权采取如下措施：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当发生上述巨额赎回并延期办理时，基金管理人应当通过邮寄、传真或者通知销售机构代为告知等方式在3个交易日内通知基金份额持有人，说明有关处理方法，并在两日内在指定媒介上刊登公告。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（十二）基金的非交易过户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7月1日刊登公告自2020年7月3日起开通A类基金份额的定期定额投资计划业务，本基金2021年11月9日刊登公告自2021年11月12日起增设C类基金份额并开通C类基金份额的定期定额投资计划业务，具体开通销售机构名单和业务规则参见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（十五）定期定额赎回业务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A类基金份额的定期定额赎回业务。定期定额赎回业务是指投资人可以委托中国农业银行股份有限公司每月固定时间从指定的基金账户代投资人赎回固定份额的基金。本基金2020年7月1日刊登公告自2020年7月3日起在中国农业银行股份有限公司下属各销售网点开通本基金A类基金份额的定期定额赎回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投资人通过中国农业银行股份有限公司办理本基金A类基金份额的定期定额赎回业务，相关流程和业务规则遵循中国农业银行股份有限公司的有关规定。详情请</w:t>
      </w:r>
      <w:r>
        <w:rPr>
          <w:rFonts w:ascii="宋体" w:hAnsi="宋体"/>
          <w:sz w:val="24"/>
        </w:rPr>
        <w:lastRenderedPageBreak/>
        <w:t>咨询当地中国农业银行股份有限公司的销售网点或中国农业银行股份有限公司客户服务热线（95599）。</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2" w:name="_Toc240890863"/>
      <w:r>
        <w:rPr>
          <w:rFonts w:ascii="Times New Roman" w:hAnsi="Times New Roman"/>
          <w:sz w:val="30"/>
        </w:rPr>
        <w:lastRenderedPageBreak/>
        <w:t>八、基金的转换</w:t>
      </w:r>
      <w:bookmarkEnd w:id="12"/>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9月24日刊登公告自2020年9月28日起开放A类基金份额的日常转换业务，本基金2021年12月20日刊登公告自2021年12月20日起开放C类基金份额的日常转换业务。本基金2025年10月23日刊登公告自2025年10月23日起开放开通同一基金不同类别基金份额转换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w:t>
      </w:r>
      <w:r>
        <w:rPr>
          <w:rFonts w:ascii="宋体" w:hAnsi="宋体"/>
          <w:sz w:val="24"/>
        </w:rPr>
        <w:lastRenderedPageBreak/>
        <w:t>日）投资人可向销售机构查询基金转换的成交情况，并有权转换或赎回该部分基金份额。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4、后端收费模式下转出与转入基金的申购补差费用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A为货币市场基金转出的基金份额按比例结转的账户当前累计待支付收益（仅限转出基金为货币市场基金的情形，否则A为0）。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转入基金确认份额=（125,000-1,847.29）/2.2700=54,252.30份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转出与转入基金的申购补差费=124,750×0=0元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3" w:name="_Toc240890864"/>
      <w:r>
        <w:rPr>
          <w:rFonts w:ascii="Times New Roman" w:hAnsi="Times New Roman"/>
          <w:sz w:val="30"/>
        </w:rPr>
        <w:lastRenderedPageBreak/>
        <w:t>九、基金的投资</w:t>
      </w:r>
      <w:bookmarkEnd w:id="13"/>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在合理控制风险并保持基金资产良好流动性的前提下，充分发挥专业研究与管理能力，追求超越业绩比较基准的投资回报，力争实现基金资产的长期稳健增值。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（1）定量筛选指标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3、债券投资策略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w:t>
      </w:r>
      <w:r>
        <w:rPr>
          <w:rFonts w:ascii="宋体" w:hAnsi="宋体"/>
          <w:sz w:val="24"/>
        </w:rPr>
        <w:lastRenderedPageBreak/>
        <w:t>通标的股票的比例占股票资产的0%-50%；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w:t>
      </w:r>
      <w:r>
        <w:rPr>
          <w:rFonts w:ascii="宋体" w:hAnsi="宋体"/>
          <w:sz w:val="24"/>
        </w:rPr>
        <w:lastRenderedPageBreak/>
        <w:t>金A股资产投资的业绩比较基准。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侧袋机制实施期间，本部分约定的投资组合比例、投资策略、组合限制、业绩比较基准、风险收益特征等约定仅适用于主袋账户。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本基金托管人中国建设银行股份有限公司根据本基金合同规定，于2025年10月27日复核了本报告中的财务指标、净值表现和投资组合报告等内容，保证复核内容不存在虚假记载、误导性陈述或者重大遗漏。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本投资组合报告期为2025年07月01日起至09月30日，所载财务数据未经审计师审计。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1,606,024,551.84</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1,606,024,551.84</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145,704,572.08</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8.14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2,572,627.30</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1,790,492,055.77</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注：本基金本报告期末通过港股通机制投资香港股票的公允价值为270,705,206.47元，占基金资产净值比例为15.67%。</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4,857,600.00</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1,187,527,579.50</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68.74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10,042,239.01</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128,221,084.52</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7.42</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4,670,842.34</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1,335,319,345.37</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77.30</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100,266,003.62</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5.80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70,193,367.63</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4.06</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62,404,485.89</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3.61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26,627,919.90</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8,181,994.38</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3,031,435.05</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270,705,206.47</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15.67</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319,703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116,937,766.31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6.77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289,120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116,711,961.60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6.76</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531,640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113,398,812.00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6.56</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76,525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101,395,625.00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1,057,209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93,499,563.96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5.41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1,680,000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72,579,718.85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4.20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308,600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49,868,976.16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2.89</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601689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拓普集团</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538,000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43,572,620.00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2.52</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106,478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42,804,156.00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300680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隆盛科技</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672,900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42,365,784.00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2.45</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246,000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24,648,654.08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114,000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11,541,650.47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447,435.39</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911,303.92</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1,213,887.99</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2,572,627.30</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4" w:name="_Toc240890865"/>
      <w:r>
        <w:rPr>
          <w:rFonts w:ascii="Times New Roman" w:hAnsi="Times New Roman"/>
          <w:sz w:val="30"/>
        </w:rPr>
        <w:lastRenderedPageBreak/>
        <w:t>十、基金的业绩</w:t>
      </w:r>
      <w:bookmarkEnd w:id="14"/>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（1）交银施罗德启明混合型证券投资基金A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25.83%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12.64%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13.19%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12.36%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10.97%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-7.98%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-23.91%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-16.41%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-12.90%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37.08%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39.90%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32.98%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24.26%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8.72%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（2）交银施罗德启明混合型证券投资基金C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25.63%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12.64%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12.99%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12.03%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10.64%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-24.37%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-16.87%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BB3A6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bl>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注：本基金的业绩比较基准为沪深300指数收益率×70%+恒生指数收益率×5%+中证综合债券指数收益率×25%，每日进行再平衡过程。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B3A60" w:rsidRDefault="00407D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交银施罗德启明混合型证券投资基金</w:t>
      </w:r>
    </w:p>
    <w:p w:rsidR="00BB3A60" w:rsidRDefault="00407D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BB3A60" w:rsidRDefault="00407DB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（2020年5月27日至2025年09月30日）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(1)交银施罗德启明混合型证券投资基金A</w:t>
      </w:r>
    </w:p>
    <w:p w:rsidR="00BB3A60" w:rsidRDefault="00AE06A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(2)交银施罗德启明混合型证券投资基金C</w:t>
      </w:r>
    </w:p>
    <w:p w:rsidR="00BB3A60" w:rsidRDefault="00AE06A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2、本基金自2021年11月12日起，开始销售C类份额，投资者提交的申购申请于2021年11月15日被确认并将有效份额登记在册。</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5" w:name="_Toc240890866"/>
      <w:r>
        <w:rPr>
          <w:rFonts w:ascii="Times New Roman" w:hAnsi="Times New Roman"/>
          <w:sz w:val="30"/>
        </w:rPr>
        <w:lastRenderedPageBreak/>
        <w:t>十一、基金的财产</w:t>
      </w:r>
      <w:bookmarkEnd w:id="15"/>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6" w:name="_Toc240890867"/>
      <w:r>
        <w:rPr>
          <w:rFonts w:ascii="Times New Roman" w:hAnsi="Times New Roman"/>
          <w:sz w:val="30"/>
        </w:rPr>
        <w:lastRenderedPageBreak/>
        <w:t>十二、基金资产的估值</w:t>
      </w:r>
      <w:bookmarkEnd w:id="16"/>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估值日没有交易的，且最近交易日后经济环境未发生重大变化，按最近交易日债券收盘价作为估值全价。如最近交易日后经济环境发生了重大变化的，可参考类似投资品种现行市价及重大变化因素，调整最近交易市价，确定公允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5、同一股票同时在两个或两个以上市场交易的，按股票所处的市场分别估值。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7" w:name="_Toc240890868"/>
      <w:r>
        <w:rPr>
          <w:rFonts w:ascii="Times New Roman" w:hAnsi="Times New Roman"/>
          <w:sz w:val="30"/>
        </w:rPr>
        <w:lastRenderedPageBreak/>
        <w:t>十三、基金收益与分配</w:t>
      </w:r>
      <w:bookmarkEnd w:id="17"/>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8" w:name="_Toc240890869"/>
      <w:r>
        <w:rPr>
          <w:rFonts w:ascii="Times New Roman" w:hAnsi="Times New Roman"/>
          <w:sz w:val="30"/>
        </w:rPr>
        <w:lastRenderedPageBreak/>
        <w:t>十四、基金的费用与税收</w:t>
      </w:r>
      <w:bookmarkEnd w:id="18"/>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w:t>
      </w:r>
      <w:r>
        <w:rPr>
          <w:rFonts w:ascii="宋体" w:hAnsi="宋体"/>
          <w:sz w:val="24"/>
        </w:rPr>
        <w:lastRenderedPageBreak/>
        <w:t>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（4）上述“（一）基金费用的种类”中第3－9、11项费用，根据有关法规及相应协议规定，按费用实际支出金额列入当期费用，由基金托管人从基金财产中支付。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w:t>
      </w:r>
      <w:r>
        <w:rPr>
          <w:rFonts w:ascii="宋体" w:hAnsi="宋体"/>
          <w:sz w:val="24"/>
        </w:rPr>
        <w:lastRenderedPageBreak/>
        <w:t>回”一章。</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19" w:name="_Toc240890870"/>
      <w:r>
        <w:rPr>
          <w:rFonts w:ascii="Times New Roman" w:hAnsi="Times New Roman"/>
          <w:sz w:val="30"/>
        </w:rPr>
        <w:lastRenderedPageBreak/>
        <w:t>十五、基金的会计与审计</w:t>
      </w:r>
      <w:bookmarkEnd w:id="19"/>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0" w:name="_Toc240890871"/>
      <w:r>
        <w:rPr>
          <w:rFonts w:ascii="Times New Roman" w:hAnsi="Times New Roman"/>
          <w:sz w:val="30"/>
        </w:rPr>
        <w:lastRenderedPageBreak/>
        <w:t>十六、基金的信息披露</w:t>
      </w:r>
      <w:bookmarkEnd w:id="20"/>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至少每周在指定网站分别披露一次A类基金份额和C类基金份额所对应的基金份额净值和基金份额累计净值。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编制临时报告书，并登载在指定报刊和指定网站上。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13、投资港股通标的股票相关公告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基金管理人、基金托管人应当在指定报刊中选择一家披露信息的报刊。基金管理人、基金托管人应当向中国证监会基金电子披露网站报送拟披露的基金信息，并保证相关报送信息的真实、准确、完整、及时。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基金管理人、基金托管人除依法在指定媒介上披露信息外，还可以根据需要在其他公共媒介披露信息，但是其他公共媒介不得早于指定媒介披露信息，并且在不同媒介上披露同一信息的内容应当一致。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1" w:name="_Toc240890872"/>
      <w:r>
        <w:rPr>
          <w:rFonts w:ascii="Times New Roman" w:hAnsi="Times New Roman"/>
          <w:sz w:val="30"/>
        </w:rPr>
        <w:lastRenderedPageBreak/>
        <w:t>十七、侧袋机制</w:t>
      </w:r>
      <w:bookmarkEnd w:id="21"/>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B3A60" w:rsidRDefault="00407DBA">
      <w:pPr>
        <w:pStyle w:val="1"/>
        <w:snapToGrid w:val="0"/>
        <w:spacing w:beforeLines="0" w:before="240" w:after="240"/>
        <w:rPr>
          <w:rFonts w:ascii="宋体" w:hAnsi="宋体"/>
          <w:szCs w:val="30"/>
        </w:rPr>
      </w:pPr>
      <w:bookmarkStart w:id="22" w:name="_Toc240890873"/>
      <w:r>
        <w:rPr>
          <w:rFonts w:ascii="Times New Roman" w:hAnsi="Times New Roman"/>
          <w:sz w:val="30"/>
        </w:rPr>
        <w:lastRenderedPageBreak/>
        <w:t>十八、风险揭示</w:t>
      </w:r>
      <w:bookmarkEnd w:id="22"/>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w:t>
      </w:r>
      <w:r>
        <w:rPr>
          <w:rFonts w:ascii="宋体" w:hAnsi="宋体"/>
          <w:sz w:val="24"/>
        </w:rPr>
        <w:lastRenderedPageBreak/>
        <w:t>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3、基金合同提前终止风险。连续50个工作日出现基金份额持有人数量不满200人或者基金资产净值低于5000万元情形的，基金管理人提前终止基金合同，不需召开基金份额持有人大会。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4、本基金可投资科创板股票和创业板股票，科创板和创业板个股上市后的前五个交易日不设价格涨跌幅限制，第六个交易日开始涨跌幅限制比例为20%。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（六）投资股指期货的特定风险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w:t>
      </w:r>
      <w:r>
        <w:rPr>
          <w:rFonts w:ascii="宋体" w:hAnsi="宋体"/>
          <w:sz w:val="24"/>
        </w:rPr>
        <w:lastRenderedPageBreak/>
        <w:t>境内外交易机制相关的风险可能直接或间接成为本基金风险。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（十）投资科创板股票的特定风险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（十一）投资港股通标的股票的特定风险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1）香港市场实行T+0回转交易机制（即当日买入的股票，在交收前可以于当日卖出），且证券交易价格并无涨跌幅上下限的规定，因此每日涨跌幅空间相对较大，可能表现出比A股更为剧烈的股价波动；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（十二）本基金法律文件风险收益特征表述与销售机构基金风险评价可能不一致的风险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（十三）其他风险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3" w:name="_Toc240890874"/>
      <w:r>
        <w:rPr>
          <w:rFonts w:ascii="Times New Roman" w:hAnsi="Times New Roman"/>
          <w:sz w:val="30"/>
        </w:rPr>
        <w:lastRenderedPageBreak/>
        <w:t>十九、基金合同的变更、终止与基金财产的清算</w:t>
      </w:r>
      <w:bookmarkEnd w:id="23"/>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4" w:name="_Toc240890875"/>
      <w:r>
        <w:rPr>
          <w:rFonts w:ascii="Times New Roman" w:hAnsi="Times New Roman"/>
          <w:sz w:val="30"/>
        </w:rPr>
        <w:lastRenderedPageBreak/>
        <w:t>二十、基金合同内容摘要</w:t>
      </w:r>
      <w:bookmarkEnd w:id="24"/>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根据《基金法》、《运作办法》及其他有关规定，基金份额持有人的权利包括但不限于：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w:t>
      </w:r>
      <w:r>
        <w:rPr>
          <w:rFonts w:ascii="宋体" w:hAnsi="宋体"/>
          <w:sz w:val="24"/>
        </w:rPr>
        <w:lastRenderedPageBreak/>
        <w:t>回费率及销售服务费率、在对现有基金份额持有人利益无实质性不利影响的前提下变更收费方式；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（三）基金合同解除和终止的事由、程序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5" w:name="_Toc240890876"/>
      <w:r>
        <w:rPr>
          <w:rFonts w:ascii="Times New Roman" w:hAnsi="Times New Roman"/>
          <w:sz w:val="30"/>
        </w:rPr>
        <w:lastRenderedPageBreak/>
        <w:t>二十一、托管协议的内容摘要</w:t>
      </w:r>
      <w:bookmarkEnd w:id="25"/>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w:t>
      </w:r>
      <w:r>
        <w:rPr>
          <w:rFonts w:ascii="宋体" w:hAnsi="宋体"/>
          <w:sz w:val="24"/>
        </w:rPr>
        <w:lastRenderedPageBreak/>
        <w:t>有的现金或者到期日在一年以内的政府债券的投资比例合计不低于基金资产净值的5%，其中现金不包括结算备付金、存出保证金和应收申购款等；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（17）本基金持有的所有流通受限证券，其公允价值不得超过本基金资产净值的15%；本基金持有的同一流通受限证券，其公允价值不得超过本基金资产净值的10%；</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除上述第（2）、（9）、（13）、（14)项情形之外，因证券、期货市场波动、证券</w:t>
      </w:r>
      <w:r>
        <w:rPr>
          <w:rFonts w:ascii="宋体" w:hAnsi="宋体"/>
          <w:sz w:val="24"/>
        </w:rPr>
        <w:lastRenderedPageBreak/>
        <w:t>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w:t>
      </w:r>
      <w:r>
        <w:rPr>
          <w:rFonts w:ascii="宋体" w:hAnsi="宋体"/>
          <w:sz w:val="24"/>
        </w:rPr>
        <w:lastRenderedPageBreak/>
        <w:t>的处置。基金管理人应在首次投资流通受限证券前向基金托管人提供基金投资非公开发行股票相关流动性风险处置预案。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2）在基金投资流通受限证券管理工作方面有关制度、流动性风险处置预案的建立与完善情况。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（6）相关法律法规对基金投资流通受限证券有新规定的，从其规定。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w:t>
      </w:r>
      <w:r>
        <w:rPr>
          <w:rFonts w:ascii="宋体" w:hAnsi="宋体"/>
          <w:sz w:val="24"/>
        </w:rPr>
        <w:lastRenderedPageBreak/>
        <w:t>理清算交收、相关信息披露和监督基金投资运作等行为。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（7）除依据法律法规和《基金合同》的规定外，基金托管人不得委托第三人托管基金财产。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（1）基金募集期间募集认购款项应存于基金管理人在具有托管资格的商业银行开立的“基金募集专户”。该账户由基金管理人开立并管理。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具有从事证券、期货相关业务资格的会计师事务所进行验资，出具验资报告。出具的验资报告由参加验资的2名或2名以上中国注册会计师签字方为有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（5）管理人应于托管产品清盘后及时完成收益兑付、费用结清及其他应收应付款项资金划转，在确保后续不再发生款项进出后的10个工作日内向托管人发出销户申请。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（1）基金托管人在中国证券登记结算有限责任公司为基金开立基金托管人与本基金联名的证券账户。</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w:t>
      </w:r>
      <w:r>
        <w:rPr>
          <w:rFonts w:ascii="宋体" w:hAnsi="宋体"/>
          <w:sz w:val="24"/>
        </w:rPr>
        <w:lastRenderedPageBreak/>
        <w:t>托管人和基金管理人不得出借或未经对方同意擅自转让基金的任何证券账户，亦不得使用基金的任何账户进行本基金业务以外的活动。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（2）法律法规等有关规定对相关账户的开立和管理另有规定的，从其规定办理。</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w:t>
      </w:r>
      <w:r>
        <w:rPr>
          <w:rFonts w:ascii="宋体" w:hAnsi="宋体"/>
          <w:sz w:val="24"/>
        </w:rPr>
        <w:lastRenderedPageBreak/>
        <w:t>人依据基金合同和相关法律法规的规定对外公布。月末、年中和年末估值复核与基金会计账目的核对同时进行。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律师费由败诉方承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（3）基金管理人解散、依法被撤销、破产或由其他基金管理人接管基金管理权；</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（4）发生法律法规、中国证监会规定或《基金合同》约定的终止事项。</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（8）基金财产清算的公告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（9）基金财产清算账册及文件的保存</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6" w:name="_Toc240890877"/>
      <w:r>
        <w:rPr>
          <w:rFonts w:ascii="Times New Roman" w:hAnsi="Times New Roman"/>
          <w:sz w:val="30"/>
        </w:rPr>
        <w:lastRenderedPageBreak/>
        <w:t>二十二、对基金份额持有人的服务</w:t>
      </w:r>
      <w:bookmarkEnd w:id="26"/>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转换、定期定额投资及本基金C类基金份额的申购、赎回、定期定额投资等业务。通过网上直销交易平台办理本基金A类基金份额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7" w:name="_Toc240890878"/>
      <w:r>
        <w:rPr>
          <w:rFonts w:ascii="Times New Roman" w:hAnsi="Times New Roman"/>
          <w:sz w:val="30"/>
        </w:rPr>
        <w:lastRenderedPageBreak/>
        <w:t>二十三、其他应披露事项</w:t>
      </w:r>
      <w:bookmarkEnd w:id="27"/>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2024-12-06</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交银施罗德基金管理有限公司关于旗下部分基金投资非公开发行股票的公告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交银施罗德基金管理有限公司关于交银施罗德启明混合型证券投资基金基金经理变更公告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2025-09-15</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交银施罗德基金管理有限公司关于交银施罗德启明混合型证券投资基金基金经理变更公告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2025-09-20</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27</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BB3A6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B3A60" w:rsidRDefault="00407DB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8" w:name="_Toc240890879"/>
      <w:r>
        <w:rPr>
          <w:rFonts w:ascii="Times New Roman" w:hAnsi="Times New Roman"/>
          <w:sz w:val="30"/>
        </w:rPr>
        <w:lastRenderedPageBreak/>
        <w:t>二十四、招募说明书的存放及查阅方式</w:t>
      </w:r>
      <w:bookmarkEnd w:id="28"/>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07DB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B3A60" w:rsidRDefault="00407DBA">
      <w:pPr>
        <w:pStyle w:val="1"/>
        <w:snapToGrid w:val="0"/>
        <w:spacing w:beforeLines="0" w:before="240" w:after="240"/>
        <w:rPr>
          <w:rFonts w:ascii="宋体" w:hAnsi="宋体"/>
          <w:szCs w:val="30"/>
        </w:rPr>
      </w:pPr>
      <w:bookmarkStart w:id="29" w:name="_Toc240890880"/>
      <w:r>
        <w:rPr>
          <w:rFonts w:ascii="Times New Roman" w:hAnsi="Times New Roman"/>
          <w:sz w:val="30"/>
        </w:rPr>
        <w:lastRenderedPageBreak/>
        <w:t>二十五、备案文件</w:t>
      </w:r>
      <w:bookmarkEnd w:id="29"/>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（一）中国证监会准予交银施罗德启明混合型证券投资基金募集注册的文件</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（二）《交银施罗德启明混合型证券投资基金基金合同》</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（三）《交银施罗德启明混合型证券投资基金托管协议》</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B3A60" w:rsidRDefault="00407DB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（六）关于申请募集注册交银施罗德启明混合型证券投资基金的法律意见书</w:t>
      </w:r>
    </w:p>
    <w:sectPr w:rsidR="00BB3A60">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FB2" w:rsidRDefault="00407DBA">
      <w:r>
        <w:separator/>
      </w:r>
    </w:p>
  </w:endnote>
  <w:endnote w:type="continuationSeparator" w:id="0">
    <w:p w:rsidR="00EB4FB2" w:rsidRDefault="00407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BB3A6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AE06A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B3A60" w:rsidRDefault="00407DB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E06A7">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BB3A6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AE06A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B3A60" w:rsidRDefault="00407DB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AE06A7">
                  <w:rPr>
                    <w:rFonts w:ascii="Times New Roman" w:hAnsi="Times New Roman"/>
                    <w:noProof/>
                    <w:kern w:val="0"/>
                    <w:sz w:val="18"/>
                    <w:szCs w:val="18"/>
                  </w:rPr>
                  <w:t>165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FB2" w:rsidRDefault="00407DBA">
      <w:r>
        <w:separator/>
      </w:r>
    </w:p>
  </w:footnote>
  <w:footnote w:type="continuationSeparator" w:id="0">
    <w:p w:rsidR="00EB4FB2" w:rsidRDefault="00407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BB3A6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407DBA">
    <w:pPr>
      <w:pStyle w:val="a3"/>
      <w:jc w:val="right"/>
      <w:rPr>
        <w:rFonts w:ascii="宋体" w:hAnsi="宋体"/>
      </w:rPr>
    </w:pPr>
    <w:r>
      <w:rPr>
        <w:rFonts w:ascii="宋体" w:hAnsi="宋体" w:hint="eastAsia"/>
      </w:rPr>
      <w:t>交银施罗德启明混合型证券投资基金招募说明书更新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BB3A60">
    <w:pPr>
      <w:pStyle w:val="10"/>
      <w:jc w:val="right"/>
    </w:pPr>
  </w:p>
  <w:p w:rsidR="00BB3A60" w:rsidRDefault="00BB3A60">
    <w:pPr>
      <w:pStyle w:val="10"/>
      <w:jc w:val="right"/>
    </w:pPr>
  </w:p>
  <w:p w:rsidR="00BB3A60" w:rsidRDefault="00BB3A60">
    <w:pPr>
      <w:pStyle w:val="a3"/>
      <w:jc w:val="right"/>
    </w:pPr>
  </w:p>
  <w:p w:rsidR="00BB3A60" w:rsidRDefault="00407DBA">
    <w:pPr>
      <w:pStyle w:val="a3"/>
      <w:jc w:val="right"/>
      <w:rPr>
        <w:rFonts w:ascii="宋体" w:hAnsi="宋体"/>
      </w:rPr>
    </w:pPr>
    <w:r>
      <w:rPr>
        <w:rFonts w:ascii="宋体" w:hAnsi="宋体" w:hint="eastAsia"/>
      </w:rPr>
      <w:t>交银施罗德启明混合型证券投资基金招募说明书更新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A60" w:rsidRDefault="00BB3A60">
    <w:pPr>
      <w:pStyle w:val="a3"/>
      <w:jc w:val="right"/>
    </w:pPr>
  </w:p>
  <w:p w:rsidR="00BB3A60" w:rsidRDefault="00BB3A60">
    <w:pPr>
      <w:pStyle w:val="a3"/>
      <w:jc w:val="right"/>
    </w:pPr>
  </w:p>
  <w:p w:rsidR="00BB3A60" w:rsidRDefault="00BB3A60">
    <w:pPr>
      <w:pStyle w:val="a3"/>
      <w:jc w:val="right"/>
    </w:pPr>
  </w:p>
  <w:p w:rsidR="00BB3A60" w:rsidRDefault="00407DBA">
    <w:pPr>
      <w:pStyle w:val="a3"/>
      <w:jc w:val="right"/>
      <w:rPr>
        <w:rFonts w:ascii="宋体" w:hAnsi="宋体"/>
      </w:rPr>
    </w:pPr>
    <w:r>
      <w:rPr>
        <w:rFonts w:ascii="宋体" w:hAnsi="宋体" w:hint="eastAsia"/>
      </w:rPr>
      <w:t>交银施罗德启明混合型证券投资基金招募说明书更新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07DBA"/>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6A7"/>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3A60"/>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4FB2"/>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CBDBE2A-BE5F-4A68-BA34-F890302F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17135</Words>
  <Characters>97671</Characters>
  <Application>Microsoft Office Word</Application>
  <DocSecurity>0</DocSecurity>
  <Lines>813</Lines>
  <Paragraphs>229</Paragraphs>
  <ScaleCrop>false</ScaleCrop>
  <Company>Microsoft</Company>
  <LinksUpToDate>false</LinksUpToDate>
  <CharactersWithSpaces>114577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2026-09-21T05:47:00Z</dcterms:created>
  <dcterms:modified xsi:type="dcterms:W3CDTF">2026-09-21T05:47:00Z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