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A1462">
      <w:pPr>
        <w:rPr>
          <w:sz w:val="32"/>
        </w:rPr>
      </w:pPr>
    </w:p>
    <w:p w14:paraId="1DBDB6F0">
      <w:pPr>
        <w:rPr>
          <w:sz w:val="32"/>
        </w:rPr>
      </w:pPr>
    </w:p>
    <w:p w14:paraId="7BCC4834">
      <w:pPr>
        <w:rPr>
          <w:sz w:val="32"/>
        </w:rPr>
      </w:pPr>
    </w:p>
    <w:p w14:paraId="21D3DB21">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299DD07A">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0A8A6843">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557AA7D2">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交银施罗德180天持有期债券型证券投资基金</w:t>
      </w:r>
    </w:p>
    <w:p w14:paraId="4F538C7C">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5D16B55F">
      <w:pPr>
        <w:snapToGrid w:val="0"/>
        <w:spacing w:line="360" w:lineRule="auto"/>
        <w:jc w:val="center"/>
        <w:rPr>
          <w:rFonts w:ascii="宋体" w:hAnsi="宋体"/>
          <w:b/>
          <w:sz w:val="30"/>
          <w:szCs w:val="30"/>
        </w:rPr>
      </w:pPr>
      <w:r>
        <w:rPr>
          <w:rFonts w:hint="eastAsia" w:ascii="宋体" w:hAnsi="宋体"/>
          <w:b/>
          <w:sz w:val="30"/>
          <w:szCs w:val="30"/>
        </w:rPr>
        <w:t>【本基金不向金融机构自营账户销售】</w:t>
      </w:r>
    </w:p>
    <w:p w14:paraId="5EEA0879">
      <w:pPr>
        <w:snapToGrid w:val="0"/>
        <w:spacing w:line="360" w:lineRule="auto"/>
        <w:jc w:val="center"/>
        <w:rPr>
          <w:rFonts w:ascii="宋体" w:hAnsi="宋体"/>
          <w:b/>
          <w:sz w:val="30"/>
          <w:szCs w:val="30"/>
        </w:rPr>
      </w:pPr>
    </w:p>
    <w:p w14:paraId="3F845853">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21E1D952">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1794243">
      <w:pPr>
        <w:autoSpaceDE w:val="0"/>
        <w:autoSpaceDN w:val="0"/>
        <w:adjustRightInd w:val="0"/>
        <w:snapToGrid w:val="0"/>
        <w:spacing w:line="360" w:lineRule="auto"/>
        <w:ind w:right="13" w:rightChars="6"/>
        <w:jc w:val="center"/>
        <w:rPr>
          <w:rFonts w:ascii="宋体" w:hAnsi="宋体"/>
          <w:spacing w:val="2"/>
          <w:w w:val="99"/>
          <w:kern w:val="0"/>
          <w:sz w:val="32"/>
          <w:szCs w:val="32"/>
        </w:rPr>
      </w:pPr>
      <w:bookmarkStart w:id="28" w:name="_GoBack"/>
      <w:bookmarkEnd w:id="28"/>
    </w:p>
    <w:p w14:paraId="12BBD0F8">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E225940">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8A5F31C">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7EB84319">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14:paraId="429E1BA8">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7D789524">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6134E0B">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二〇二六年九月</w:t>
      </w:r>
    </w:p>
    <w:p w14:paraId="2E334B7C">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15135246">
      <w:pPr>
        <w:pStyle w:val="2"/>
        <w:snapToGrid w:val="0"/>
        <w:spacing w:before="240" w:beforeLines="0" w:after="240"/>
        <w:rPr>
          <w:rFonts w:ascii="宋体" w:hAnsi="宋体"/>
          <w:kern w:val="0"/>
        </w:rPr>
      </w:pPr>
      <w:bookmarkStart w:id="0" w:name="_Toc240548881"/>
      <w:bookmarkStart w:id="1" w:name="_Toc496884613"/>
      <w:bookmarkStart w:id="2" w:name="_Toc324920538"/>
      <w:r>
        <w:rPr>
          <w:rFonts w:ascii="Times New Roman" w:hAnsi="Times New Roman"/>
          <w:kern w:val="0"/>
        </w:rPr>
        <w:t>重要提示</w:t>
      </w:r>
      <w:bookmarkEnd w:id="0"/>
      <w:bookmarkEnd w:id="1"/>
      <w:bookmarkEnd w:id="2"/>
    </w:p>
    <w:p w14:paraId="5614240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180天持有期债券型证券投资基金（以下简称“本基金”）经2025年2月8日中国证券监督管理委员会（以下简称“中国证监会”）证监许可【2025】242号文准予募集注册。本基金基金合同于2025年7月18日正式生效。</w:t>
      </w:r>
    </w:p>
    <w:p w14:paraId="04CCCD5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14:paraId="77255A5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14:paraId="632112E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风险；本基金的特有风险；投资国债期货的特定风险；投资资产支持证券的特定风险；信用衍生品投资风险；本基金法律文件风险收益特征表述与销售机构基金风险评价可能不一致的风险；投资本基金的其他风险等等。</w:t>
      </w:r>
    </w:p>
    <w:p w14:paraId="324DCDE4">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14:paraId="5F7CAB2E">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本基金可投资国债期货，国债期货的投资可能面临市场风险、基差风险、流动性风险。</w:t>
      </w:r>
    </w:p>
    <w:p w14:paraId="028C5AE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1062AF91">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为对冲信用风险，本基金可能投资信用衍生品，信用衍生品的投资可能面临流动性风险、偿付风险和价格波动风险。</w:t>
      </w:r>
    </w:p>
    <w:p w14:paraId="0A23F0A1">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14:paraId="05E147E0">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14:paraId="0A592F8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14:paraId="28F8D7D1">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14:paraId="04C6784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14:paraId="1C3D13B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次更新招募说明书主要对本基金调整业绩比较基准的相关信息进行更新，更新截止日为2026年09月21日，除非另有说明，本招募说明书其他所载内容截止日为2026年05月14日，有关财务数据和净值表现截止日为2026年03月31日。本招募说明书所载的财务数据未经审计。</w:t>
      </w:r>
    </w:p>
    <w:p w14:paraId="54242792">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14:paraId="6A192A63">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08317AC5">
      <w:pPr>
        <w:pStyle w:val="10"/>
        <w:tabs>
          <w:tab w:val="right" w:leader="dot" w:pos="8550"/>
        </w:tabs>
        <w:spacing w:line="360" w:lineRule="auto"/>
        <w:rPr>
          <w:rFonts w:ascii="宋体" w:hAnsi="宋体" w:cstheme="minorBidi"/>
          <w:sz w:val="24"/>
        </w:rPr>
      </w:pPr>
      <w:r>
        <w:fldChar w:fldCharType="begin"/>
      </w:r>
      <w:r>
        <w:instrText xml:space="preserve"> HYPERLINK \l "_Toc240548881"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_Toc240548881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A123EA4">
      <w:pPr>
        <w:pStyle w:val="10"/>
        <w:tabs>
          <w:tab w:val="right" w:leader="dot" w:pos="8550"/>
        </w:tabs>
        <w:spacing w:line="360" w:lineRule="auto"/>
        <w:rPr>
          <w:rFonts w:ascii="宋体" w:hAnsi="宋体" w:cstheme="minorBidi"/>
          <w:sz w:val="24"/>
        </w:rPr>
      </w:pPr>
      <w:r>
        <w:fldChar w:fldCharType="begin"/>
      </w:r>
      <w:r>
        <w:instrText xml:space="preserve"> HYPERLINK \l "_Toc240548882"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_Toc240548882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75D5EECB">
      <w:pPr>
        <w:pStyle w:val="10"/>
        <w:tabs>
          <w:tab w:val="right" w:leader="dot" w:pos="8550"/>
        </w:tabs>
        <w:spacing w:line="360" w:lineRule="auto"/>
        <w:rPr>
          <w:rFonts w:ascii="宋体" w:hAnsi="宋体" w:cstheme="minorBidi"/>
          <w:sz w:val="24"/>
        </w:rPr>
      </w:pPr>
      <w:r>
        <w:fldChar w:fldCharType="begin"/>
      </w:r>
      <w:r>
        <w:instrText xml:space="preserve"> HYPERLINK \l "_Toc240548883"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_Toc240548883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03F6241A">
      <w:pPr>
        <w:pStyle w:val="10"/>
        <w:tabs>
          <w:tab w:val="right" w:leader="dot" w:pos="8550"/>
        </w:tabs>
        <w:spacing w:line="360" w:lineRule="auto"/>
        <w:rPr>
          <w:rFonts w:ascii="宋体" w:hAnsi="宋体" w:cstheme="minorBidi"/>
          <w:sz w:val="24"/>
        </w:rPr>
      </w:pPr>
      <w:r>
        <w:fldChar w:fldCharType="begin"/>
      </w:r>
      <w:r>
        <w:instrText xml:space="preserve"> HYPERLINK \l "_Toc240548884"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_Toc240548884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14:paraId="047ED84B">
      <w:pPr>
        <w:pStyle w:val="10"/>
        <w:tabs>
          <w:tab w:val="right" w:leader="dot" w:pos="8550"/>
        </w:tabs>
        <w:spacing w:line="360" w:lineRule="auto"/>
        <w:rPr>
          <w:rFonts w:ascii="宋体" w:hAnsi="宋体" w:cstheme="minorBidi"/>
          <w:sz w:val="24"/>
        </w:rPr>
      </w:pPr>
      <w:r>
        <w:fldChar w:fldCharType="begin"/>
      </w:r>
      <w:r>
        <w:instrText xml:space="preserve"> HYPERLINK \l "_Toc240548885"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_Toc240548885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14:paraId="705F2F7D">
      <w:pPr>
        <w:pStyle w:val="10"/>
        <w:tabs>
          <w:tab w:val="right" w:leader="dot" w:pos="8550"/>
        </w:tabs>
        <w:spacing w:line="360" w:lineRule="auto"/>
        <w:rPr>
          <w:rFonts w:ascii="宋体" w:hAnsi="宋体" w:cstheme="minorBidi"/>
          <w:sz w:val="24"/>
        </w:rPr>
      </w:pPr>
      <w:r>
        <w:fldChar w:fldCharType="begin"/>
      </w:r>
      <w:r>
        <w:instrText xml:space="preserve"> HYPERLINK \l "_Toc240548886"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_Toc240548886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14:paraId="4AACF3FC">
      <w:pPr>
        <w:pStyle w:val="10"/>
        <w:tabs>
          <w:tab w:val="right" w:leader="dot" w:pos="8550"/>
        </w:tabs>
        <w:spacing w:line="360" w:lineRule="auto"/>
        <w:rPr>
          <w:rFonts w:ascii="宋体" w:hAnsi="宋体" w:cstheme="minorBidi"/>
          <w:sz w:val="24"/>
        </w:rPr>
      </w:pPr>
      <w:r>
        <w:fldChar w:fldCharType="begin"/>
      </w:r>
      <w:r>
        <w:instrText xml:space="preserve"> HYPERLINK \l "_Toc240548887"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_Toc240548887 \h </w:instrText>
      </w:r>
      <w:r>
        <w:rPr>
          <w:rFonts w:ascii="宋体" w:hAnsi="宋体"/>
          <w:sz w:val="24"/>
        </w:rPr>
        <w:fldChar w:fldCharType="separate"/>
      </w:r>
      <w:r>
        <w:rPr>
          <w:rFonts w:ascii="宋体" w:hAnsi="宋体"/>
          <w:sz w:val="24"/>
        </w:rPr>
        <w:t>33</w:t>
      </w:r>
      <w:r>
        <w:rPr>
          <w:rFonts w:ascii="宋体" w:hAnsi="宋体"/>
          <w:sz w:val="24"/>
        </w:rPr>
        <w:fldChar w:fldCharType="end"/>
      </w:r>
      <w:r>
        <w:rPr>
          <w:rFonts w:ascii="宋体" w:hAnsi="宋体"/>
          <w:sz w:val="24"/>
        </w:rPr>
        <w:fldChar w:fldCharType="end"/>
      </w:r>
    </w:p>
    <w:p w14:paraId="1466DF41">
      <w:pPr>
        <w:pStyle w:val="10"/>
        <w:tabs>
          <w:tab w:val="right" w:leader="dot" w:pos="8550"/>
        </w:tabs>
        <w:spacing w:line="360" w:lineRule="auto"/>
        <w:rPr>
          <w:rFonts w:ascii="宋体" w:hAnsi="宋体" w:cstheme="minorBidi"/>
          <w:sz w:val="24"/>
        </w:rPr>
      </w:pPr>
      <w:r>
        <w:fldChar w:fldCharType="begin"/>
      </w:r>
      <w:r>
        <w:instrText xml:space="preserve"> HYPERLINK \l "_Toc240548888"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_Toc240548888 \h </w:instrText>
      </w:r>
      <w:r>
        <w:rPr>
          <w:rFonts w:ascii="宋体" w:hAnsi="宋体"/>
          <w:sz w:val="24"/>
        </w:rPr>
        <w:fldChar w:fldCharType="separate"/>
      </w:r>
      <w:r>
        <w:rPr>
          <w:rFonts w:ascii="宋体" w:hAnsi="宋体"/>
          <w:sz w:val="24"/>
        </w:rPr>
        <w:t>34</w:t>
      </w:r>
      <w:r>
        <w:rPr>
          <w:rFonts w:ascii="宋体" w:hAnsi="宋体"/>
          <w:sz w:val="24"/>
        </w:rPr>
        <w:fldChar w:fldCharType="end"/>
      </w:r>
      <w:r>
        <w:rPr>
          <w:rFonts w:ascii="宋体" w:hAnsi="宋体"/>
          <w:sz w:val="24"/>
        </w:rPr>
        <w:fldChar w:fldCharType="end"/>
      </w:r>
    </w:p>
    <w:p w14:paraId="3C6E5C74">
      <w:pPr>
        <w:pStyle w:val="10"/>
        <w:tabs>
          <w:tab w:val="right" w:leader="dot" w:pos="8550"/>
        </w:tabs>
        <w:spacing w:line="360" w:lineRule="auto"/>
        <w:rPr>
          <w:rFonts w:ascii="宋体" w:hAnsi="宋体" w:cstheme="minorBidi"/>
          <w:sz w:val="24"/>
        </w:rPr>
      </w:pPr>
      <w:r>
        <w:fldChar w:fldCharType="begin"/>
      </w:r>
      <w:r>
        <w:instrText xml:space="preserve"> HYPERLINK \l "_Toc240548889"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_Toc240548889 \h </w:instrText>
      </w:r>
      <w:r>
        <w:rPr>
          <w:rFonts w:ascii="宋体" w:hAnsi="宋体"/>
          <w:sz w:val="24"/>
        </w:rPr>
        <w:fldChar w:fldCharType="separate"/>
      </w:r>
      <w:r>
        <w:rPr>
          <w:rFonts w:ascii="宋体" w:hAnsi="宋体"/>
          <w:sz w:val="24"/>
        </w:rPr>
        <w:t>35</w:t>
      </w:r>
      <w:r>
        <w:rPr>
          <w:rFonts w:ascii="宋体" w:hAnsi="宋体"/>
          <w:sz w:val="24"/>
        </w:rPr>
        <w:fldChar w:fldCharType="end"/>
      </w:r>
      <w:r>
        <w:rPr>
          <w:rFonts w:ascii="宋体" w:hAnsi="宋体"/>
          <w:sz w:val="24"/>
        </w:rPr>
        <w:fldChar w:fldCharType="end"/>
      </w:r>
    </w:p>
    <w:p w14:paraId="53C6DDF6">
      <w:pPr>
        <w:pStyle w:val="10"/>
        <w:tabs>
          <w:tab w:val="right" w:leader="dot" w:pos="8550"/>
        </w:tabs>
        <w:spacing w:line="360" w:lineRule="auto"/>
        <w:rPr>
          <w:rFonts w:ascii="宋体" w:hAnsi="宋体" w:cstheme="minorBidi"/>
          <w:sz w:val="24"/>
        </w:rPr>
      </w:pPr>
      <w:r>
        <w:fldChar w:fldCharType="begin"/>
      </w:r>
      <w:r>
        <w:instrText xml:space="preserve"> HYPERLINK \l "_Toc240548890"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_Toc240548890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14:paraId="623C37E5">
      <w:pPr>
        <w:pStyle w:val="10"/>
        <w:tabs>
          <w:tab w:val="right" w:leader="dot" w:pos="8550"/>
        </w:tabs>
        <w:spacing w:line="360" w:lineRule="auto"/>
        <w:rPr>
          <w:rFonts w:ascii="宋体" w:hAnsi="宋体" w:cstheme="minorBidi"/>
          <w:sz w:val="24"/>
        </w:rPr>
      </w:pPr>
      <w:r>
        <w:fldChar w:fldCharType="begin"/>
      </w:r>
      <w:r>
        <w:instrText xml:space="preserve"> HYPERLINK \l "_Toc240548891"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_Toc240548891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14:paraId="03C4704F">
      <w:pPr>
        <w:pStyle w:val="10"/>
        <w:tabs>
          <w:tab w:val="right" w:leader="dot" w:pos="8550"/>
        </w:tabs>
        <w:spacing w:line="360" w:lineRule="auto"/>
        <w:rPr>
          <w:rFonts w:ascii="宋体" w:hAnsi="宋体" w:cstheme="minorBidi"/>
          <w:sz w:val="24"/>
        </w:rPr>
      </w:pPr>
      <w:r>
        <w:fldChar w:fldCharType="begin"/>
      </w:r>
      <w:r>
        <w:instrText xml:space="preserve"> HYPERLINK \l "_Toc240548892" </w:instrText>
      </w:r>
      <w:r>
        <w:fldChar w:fldCharType="separate"/>
      </w:r>
      <w:r>
        <w:rPr>
          <w:rStyle w:val="18"/>
          <w:rFonts w:hint="eastAsia" w:ascii="宋体" w:hAnsi="宋体"/>
          <w:sz w:val="24"/>
        </w:rPr>
        <w:t>十一、基金的财产</w:t>
      </w:r>
      <w:r>
        <w:rPr>
          <w:rFonts w:ascii="宋体" w:hAnsi="宋体"/>
          <w:sz w:val="24"/>
        </w:rPr>
        <w:tab/>
      </w:r>
      <w:r>
        <w:rPr>
          <w:rFonts w:ascii="宋体" w:hAnsi="宋体"/>
          <w:sz w:val="24"/>
        </w:rPr>
        <w:fldChar w:fldCharType="begin"/>
      </w:r>
      <w:r>
        <w:rPr>
          <w:rFonts w:ascii="宋体" w:hAnsi="宋体"/>
          <w:sz w:val="24"/>
        </w:rPr>
        <w:instrText xml:space="preserve"> PAGEREF _Toc240548892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14:paraId="77ED2DAE">
      <w:pPr>
        <w:pStyle w:val="10"/>
        <w:tabs>
          <w:tab w:val="right" w:leader="dot" w:pos="8550"/>
        </w:tabs>
        <w:spacing w:line="360" w:lineRule="auto"/>
        <w:rPr>
          <w:rFonts w:ascii="宋体" w:hAnsi="宋体" w:cstheme="minorBidi"/>
          <w:sz w:val="24"/>
        </w:rPr>
      </w:pPr>
      <w:r>
        <w:fldChar w:fldCharType="begin"/>
      </w:r>
      <w:r>
        <w:instrText xml:space="preserve"> HYPERLINK \l "_Toc240548893" </w:instrText>
      </w:r>
      <w:r>
        <w:fldChar w:fldCharType="separate"/>
      </w:r>
      <w:r>
        <w:rPr>
          <w:rStyle w:val="18"/>
          <w:rFonts w:hint="eastAsia" w:ascii="宋体" w:hAnsi="宋体"/>
          <w:sz w:val="24"/>
        </w:rPr>
        <w:t>十二、基金资产的估值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_Toc240548893 \h </w:instrText>
      </w:r>
      <w:r>
        <w:rPr>
          <w:rFonts w:ascii="宋体" w:hAnsi="宋体"/>
          <w:sz w:val="24"/>
        </w:rPr>
        <w:fldChar w:fldCharType="separate"/>
      </w:r>
      <w:r>
        <w:rPr>
          <w:rFonts w:ascii="宋体" w:hAnsi="宋体"/>
          <w:sz w:val="24"/>
        </w:rPr>
        <w:t>65</w:t>
      </w:r>
      <w:r>
        <w:rPr>
          <w:rFonts w:ascii="宋体" w:hAnsi="宋体"/>
          <w:sz w:val="24"/>
        </w:rPr>
        <w:fldChar w:fldCharType="end"/>
      </w:r>
      <w:r>
        <w:rPr>
          <w:rFonts w:ascii="宋体" w:hAnsi="宋体"/>
          <w:sz w:val="24"/>
        </w:rPr>
        <w:fldChar w:fldCharType="end"/>
      </w:r>
    </w:p>
    <w:p w14:paraId="44F0A5D9">
      <w:pPr>
        <w:pStyle w:val="10"/>
        <w:tabs>
          <w:tab w:val="right" w:leader="dot" w:pos="8550"/>
        </w:tabs>
        <w:spacing w:line="360" w:lineRule="auto"/>
        <w:rPr>
          <w:rFonts w:ascii="宋体" w:hAnsi="宋体" w:cstheme="minorBidi"/>
          <w:sz w:val="24"/>
        </w:rPr>
      </w:pPr>
      <w:r>
        <w:fldChar w:fldCharType="begin"/>
      </w:r>
      <w:r>
        <w:instrText xml:space="preserve"> HYPERLINK \l "_Toc240548894" </w:instrText>
      </w:r>
      <w:r>
        <w:fldChar w:fldCharType="separate"/>
      </w:r>
      <w:r>
        <w:rPr>
          <w:rStyle w:val="18"/>
          <w:rFonts w:hint="eastAsia" w:ascii="宋体" w:hAnsi="宋体"/>
          <w:sz w:val="24"/>
        </w:rPr>
        <w:t>十三、基金收益与分配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_Toc240548894 \h </w:instrText>
      </w:r>
      <w:r>
        <w:rPr>
          <w:rFonts w:ascii="宋体" w:hAnsi="宋体"/>
          <w:sz w:val="24"/>
        </w:rPr>
        <w:fldChar w:fldCharType="separate"/>
      </w:r>
      <w:r>
        <w:rPr>
          <w:rFonts w:ascii="宋体" w:hAnsi="宋体"/>
          <w:sz w:val="24"/>
        </w:rPr>
        <w:t>71</w:t>
      </w:r>
      <w:r>
        <w:rPr>
          <w:rFonts w:ascii="宋体" w:hAnsi="宋体"/>
          <w:sz w:val="24"/>
        </w:rPr>
        <w:fldChar w:fldCharType="end"/>
      </w:r>
      <w:r>
        <w:rPr>
          <w:rFonts w:ascii="宋体" w:hAnsi="宋体"/>
          <w:sz w:val="24"/>
        </w:rPr>
        <w:fldChar w:fldCharType="end"/>
      </w:r>
    </w:p>
    <w:p w14:paraId="65DE5D35">
      <w:pPr>
        <w:pStyle w:val="10"/>
        <w:tabs>
          <w:tab w:val="right" w:leader="dot" w:pos="8550"/>
        </w:tabs>
        <w:spacing w:line="360" w:lineRule="auto"/>
        <w:rPr>
          <w:rFonts w:ascii="宋体" w:hAnsi="宋体" w:cstheme="minorBidi"/>
          <w:sz w:val="24"/>
        </w:rPr>
      </w:pPr>
      <w:r>
        <w:fldChar w:fldCharType="begin"/>
      </w:r>
      <w:r>
        <w:instrText xml:space="preserve"> HYPERLINK \l "_Toc240548895" </w:instrText>
      </w:r>
      <w:r>
        <w:fldChar w:fldCharType="separate"/>
      </w:r>
      <w:r>
        <w:rPr>
          <w:rStyle w:val="18"/>
          <w:rFonts w:hint="eastAsia" w:ascii="宋体" w:hAnsi="宋体"/>
          <w:sz w:val="24"/>
        </w:rPr>
        <w:t>十四、基金的费用与税收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_Toc240548895 \h </w:instrText>
      </w:r>
      <w:r>
        <w:rPr>
          <w:rFonts w:ascii="宋体" w:hAnsi="宋体"/>
          <w:sz w:val="24"/>
        </w:rPr>
        <w:fldChar w:fldCharType="separate"/>
      </w:r>
      <w:r>
        <w:rPr>
          <w:rFonts w:ascii="宋体" w:hAnsi="宋体"/>
          <w:sz w:val="24"/>
        </w:rPr>
        <w:t>73</w:t>
      </w:r>
      <w:r>
        <w:rPr>
          <w:rFonts w:ascii="宋体" w:hAnsi="宋体"/>
          <w:sz w:val="24"/>
        </w:rPr>
        <w:fldChar w:fldCharType="end"/>
      </w:r>
      <w:r>
        <w:rPr>
          <w:rFonts w:ascii="宋体" w:hAnsi="宋体"/>
          <w:sz w:val="24"/>
        </w:rPr>
        <w:fldChar w:fldCharType="end"/>
      </w:r>
    </w:p>
    <w:p w14:paraId="6C2BBCA5">
      <w:pPr>
        <w:pStyle w:val="10"/>
        <w:tabs>
          <w:tab w:val="right" w:leader="dot" w:pos="8550"/>
        </w:tabs>
        <w:spacing w:line="360" w:lineRule="auto"/>
        <w:rPr>
          <w:rFonts w:ascii="宋体" w:hAnsi="宋体" w:cstheme="minorBidi"/>
          <w:sz w:val="24"/>
        </w:rPr>
      </w:pPr>
      <w:r>
        <w:fldChar w:fldCharType="begin"/>
      </w:r>
      <w:r>
        <w:instrText xml:space="preserve"> HYPERLINK \l "_Toc240548896"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_Toc240548896 \h </w:instrText>
      </w:r>
      <w:r>
        <w:rPr>
          <w:rFonts w:ascii="宋体" w:hAnsi="宋体"/>
          <w:sz w:val="24"/>
        </w:rPr>
        <w:fldChar w:fldCharType="separate"/>
      </w:r>
      <w:r>
        <w:rPr>
          <w:rFonts w:ascii="宋体" w:hAnsi="宋体"/>
          <w:sz w:val="24"/>
        </w:rPr>
        <w:t>76</w:t>
      </w:r>
      <w:r>
        <w:rPr>
          <w:rFonts w:ascii="宋体" w:hAnsi="宋体"/>
          <w:sz w:val="24"/>
        </w:rPr>
        <w:fldChar w:fldCharType="end"/>
      </w:r>
      <w:r>
        <w:rPr>
          <w:rFonts w:ascii="宋体" w:hAnsi="宋体"/>
          <w:sz w:val="24"/>
        </w:rPr>
        <w:fldChar w:fldCharType="end"/>
      </w:r>
    </w:p>
    <w:p w14:paraId="3D0F64B3">
      <w:pPr>
        <w:pStyle w:val="10"/>
        <w:tabs>
          <w:tab w:val="right" w:leader="dot" w:pos="8550"/>
        </w:tabs>
        <w:spacing w:line="360" w:lineRule="auto"/>
        <w:rPr>
          <w:rFonts w:ascii="宋体" w:hAnsi="宋体" w:cstheme="minorBidi"/>
          <w:sz w:val="24"/>
        </w:rPr>
      </w:pPr>
      <w:r>
        <w:fldChar w:fldCharType="begin"/>
      </w:r>
      <w:r>
        <w:instrText xml:space="preserve"> HYPERLINK \l "_Toc240548897"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_Toc240548897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14:paraId="753FD506">
      <w:pPr>
        <w:pStyle w:val="10"/>
        <w:tabs>
          <w:tab w:val="right" w:leader="dot" w:pos="8550"/>
        </w:tabs>
        <w:spacing w:line="360" w:lineRule="auto"/>
        <w:rPr>
          <w:rFonts w:ascii="宋体" w:hAnsi="宋体" w:cstheme="minorBidi"/>
          <w:sz w:val="24"/>
        </w:rPr>
      </w:pPr>
      <w:r>
        <w:fldChar w:fldCharType="begin"/>
      </w:r>
      <w:r>
        <w:instrText xml:space="preserve"> HYPERLINK \l "_Toc240548898"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_Toc240548898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14:paraId="1B5E5D1E">
      <w:pPr>
        <w:pStyle w:val="10"/>
        <w:tabs>
          <w:tab w:val="right" w:leader="dot" w:pos="8550"/>
        </w:tabs>
        <w:spacing w:line="360" w:lineRule="auto"/>
        <w:rPr>
          <w:rFonts w:ascii="宋体" w:hAnsi="宋体" w:cstheme="minorBidi"/>
          <w:sz w:val="24"/>
        </w:rPr>
      </w:pPr>
      <w:r>
        <w:fldChar w:fldCharType="begin"/>
      </w:r>
      <w:r>
        <w:instrText xml:space="preserve"> HYPERLINK \l "_Toc240548899"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_Toc240548899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14:paraId="427899D5">
      <w:pPr>
        <w:pStyle w:val="10"/>
        <w:tabs>
          <w:tab w:val="right" w:leader="dot" w:pos="8550"/>
        </w:tabs>
        <w:spacing w:line="360" w:lineRule="auto"/>
        <w:rPr>
          <w:rFonts w:ascii="宋体" w:hAnsi="宋体" w:cstheme="minorBidi"/>
          <w:sz w:val="24"/>
        </w:rPr>
      </w:pPr>
      <w:r>
        <w:fldChar w:fldCharType="begin"/>
      </w:r>
      <w:r>
        <w:instrText xml:space="preserve"> HYPERLINK \l "_Toc240548900"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_Toc240548900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14:paraId="6DF870EA">
      <w:pPr>
        <w:pStyle w:val="10"/>
        <w:tabs>
          <w:tab w:val="right" w:leader="dot" w:pos="8550"/>
        </w:tabs>
        <w:spacing w:line="360" w:lineRule="auto"/>
        <w:rPr>
          <w:rFonts w:ascii="宋体" w:hAnsi="宋体" w:cstheme="minorBidi"/>
          <w:sz w:val="24"/>
        </w:rPr>
      </w:pPr>
      <w:r>
        <w:fldChar w:fldCharType="begin"/>
      </w:r>
      <w:r>
        <w:instrText xml:space="preserve"> HYPERLINK \l "_Toc240548901"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_Toc240548901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14:paraId="034B7A29">
      <w:pPr>
        <w:pStyle w:val="10"/>
        <w:tabs>
          <w:tab w:val="right" w:leader="dot" w:pos="8550"/>
        </w:tabs>
        <w:spacing w:line="360" w:lineRule="auto"/>
        <w:rPr>
          <w:rFonts w:ascii="宋体" w:hAnsi="宋体" w:cstheme="minorBidi"/>
          <w:sz w:val="24"/>
        </w:rPr>
      </w:pPr>
      <w:r>
        <w:fldChar w:fldCharType="begin"/>
      </w:r>
      <w:r>
        <w:instrText xml:space="preserve"> HYPERLINK \l "_Toc240548902"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_Toc240548902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14:paraId="33E51578">
      <w:pPr>
        <w:pStyle w:val="10"/>
        <w:tabs>
          <w:tab w:val="right" w:leader="dot" w:pos="8550"/>
        </w:tabs>
        <w:spacing w:line="360" w:lineRule="auto"/>
        <w:rPr>
          <w:rFonts w:ascii="宋体" w:hAnsi="宋体" w:cstheme="minorBidi"/>
          <w:sz w:val="24"/>
        </w:rPr>
      </w:pPr>
      <w:r>
        <w:fldChar w:fldCharType="begin"/>
      </w:r>
      <w:r>
        <w:instrText xml:space="preserve"> HYPERLINK \l "_Toc240548903"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_Toc240548903 \h </w:instrText>
      </w:r>
      <w:r>
        <w:rPr>
          <w:rFonts w:ascii="宋体" w:hAnsi="宋体"/>
          <w:sz w:val="24"/>
        </w:rPr>
        <w:fldChar w:fldCharType="separate"/>
      </w:r>
      <w:r>
        <w:rPr>
          <w:rFonts w:ascii="宋体" w:hAnsi="宋体"/>
          <w:sz w:val="24"/>
        </w:rPr>
        <w:t>126</w:t>
      </w:r>
      <w:r>
        <w:rPr>
          <w:rFonts w:ascii="宋体" w:hAnsi="宋体"/>
          <w:sz w:val="24"/>
        </w:rPr>
        <w:fldChar w:fldCharType="end"/>
      </w:r>
      <w:r>
        <w:rPr>
          <w:rFonts w:ascii="宋体" w:hAnsi="宋体"/>
          <w:sz w:val="24"/>
        </w:rPr>
        <w:fldChar w:fldCharType="end"/>
      </w:r>
    </w:p>
    <w:p w14:paraId="46466093">
      <w:pPr>
        <w:pStyle w:val="10"/>
        <w:tabs>
          <w:tab w:val="right" w:leader="dot" w:pos="8550"/>
        </w:tabs>
        <w:spacing w:line="360" w:lineRule="auto"/>
        <w:rPr>
          <w:rFonts w:ascii="宋体" w:hAnsi="宋体" w:cstheme="minorBidi"/>
          <w:sz w:val="24"/>
        </w:rPr>
      </w:pPr>
      <w:r>
        <w:fldChar w:fldCharType="begin"/>
      </w:r>
      <w:r>
        <w:instrText xml:space="preserve"> HYPERLINK \l "_Toc240548904"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_Toc240548904 \h </w:instrText>
      </w:r>
      <w:r>
        <w:rPr>
          <w:rFonts w:ascii="宋体" w:hAnsi="宋体"/>
          <w:sz w:val="24"/>
        </w:rPr>
        <w:fldChar w:fldCharType="separate"/>
      </w:r>
      <w:r>
        <w:rPr>
          <w:rFonts w:ascii="宋体" w:hAnsi="宋体"/>
          <w:sz w:val="24"/>
        </w:rPr>
        <w:t>128</w:t>
      </w:r>
      <w:r>
        <w:rPr>
          <w:rFonts w:ascii="宋体" w:hAnsi="宋体"/>
          <w:sz w:val="24"/>
        </w:rPr>
        <w:fldChar w:fldCharType="end"/>
      </w:r>
      <w:r>
        <w:rPr>
          <w:rFonts w:ascii="宋体" w:hAnsi="宋体"/>
          <w:sz w:val="24"/>
        </w:rPr>
        <w:fldChar w:fldCharType="end"/>
      </w:r>
    </w:p>
    <w:p w14:paraId="63191B8E">
      <w:pPr>
        <w:pStyle w:val="10"/>
        <w:tabs>
          <w:tab w:val="right" w:leader="dot" w:pos="8550"/>
        </w:tabs>
        <w:spacing w:line="360" w:lineRule="auto"/>
        <w:rPr>
          <w:rFonts w:ascii="宋体" w:hAnsi="宋体" w:cstheme="minorBidi"/>
          <w:sz w:val="24"/>
        </w:rPr>
      </w:pPr>
      <w:r>
        <w:fldChar w:fldCharType="begin"/>
      </w:r>
      <w:r>
        <w:instrText xml:space="preserve"> HYPERLINK \l "_Toc240548905"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_Toc240548905 \h </w:instrText>
      </w:r>
      <w:r>
        <w:rPr>
          <w:rFonts w:ascii="宋体" w:hAnsi="宋体"/>
          <w:sz w:val="24"/>
        </w:rPr>
        <w:fldChar w:fldCharType="separate"/>
      </w:r>
      <w:r>
        <w:rPr>
          <w:rFonts w:ascii="宋体" w:hAnsi="宋体"/>
          <w:sz w:val="24"/>
        </w:rPr>
        <w:t>130</w:t>
      </w:r>
      <w:r>
        <w:rPr>
          <w:rFonts w:ascii="宋体" w:hAnsi="宋体"/>
          <w:sz w:val="24"/>
        </w:rPr>
        <w:fldChar w:fldCharType="end"/>
      </w:r>
      <w:r>
        <w:rPr>
          <w:rFonts w:ascii="宋体" w:hAnsi="宋体"/>
          <w:sz w:val="24"/>
        </w:rPr>
        <w:fldChar w:fldCharType="end"/>
      </w:r>
    </w:p>
    <w:p w14:paraId="5EDAC5F2">
      <w:pPr>
        <w:pStyle w:val="10"/>
        <w:tabs>
          <w:tab w:val="right" w:leader="dot" w:pos="8550"/>
        </w:tabs>
        <w:spacing w:line="360" w:lineRule="auto"/>
        <w:rPr>
          <w:rFonts w:ascii="宋体" w:hAnsi="宋体" w:cstheme="minorBidi"/>
          <w:sz w:val="24"/>
        </w:rPr>
      </w:pPr>
      <w:r>
        <w:fldChar w:fldCharType="begin"/>
      </w:r>
      <w:r>
        <w:instrText xml:space="preserve"> HYPERLINK \l "_Toc240548906"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_Toc240548906 \h </w:instrText>
      </w:r>
      <w:r>
        <w:rPr>
          <w:rFonts w:ascii="宋体" w:hAnsi="宋体"/>
          <w:sz w:val="24"/>
        </w:rPr>
        <w:fldChar w:fldCharType="separate"/>
      </w:r>
      <w:r>
        <w:rPr>
          <w:rFonts w:ascii="宋体" w:hAnsi="宋体"/>
          <w:sz w:val="24"/>
        </w:rPr>
        <w:t>131</w:t>
      </w:r>
      <w:r>
        <w:rPr>
          <w:rFonts w:ascii="宋体" w:hAnsi="宋体"/>
          <w:sz w:val="24"/>
        </w:rPr>
        <w:fldChar w:fldCharType="end"/>
      </w:r>
      <w:r>
        <w:rPr>
          <w:rFonts w:ascii="宋体" w:hAnsi="宋体"/>
          <w:sz w:val="24"/>
        </w:rPr>
        <w:fldChar w:fldCharType="end"/>
      </w:r>
    </w:p>
    <w:p w14:paraId="29E9D2A3">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14:paraId="3A96541E">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076725AA">
      <w:pPr>
        <w:pStyle w:val="2"/>
        <w:snapToGrid w:val="0"/>
        <w:spacing w:before="240" w:beforeLines="0" w:after="240"/>
        <w:rPr>
          <w:rFonts w:ascii="宋体" w:hAnsi="宋体"/>
          <w:szCs w:val="30"/>
        </w:rPr>
      </w:pPr>
      <w:bookmarkStart w:id="3" w:name="_Toc240548882"/>
      <w:r>
        <w:rPr>
          <w:rFonts w:ascii="Times New Roman" w:hAnsi="Times New Roman"/>
          <w:sz w:val="30"/>
        </w:rPr>
        <w:t>一、绪言</w:t>
      </w:r>
      <w:bookmarkEnd w:id="3"/>
    </w:p>
    <w:p w14:paraId="7F35D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180天持有期债券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180天持有期债券型证券投资基金基金合同》（以下简称“基金合同”或“《基金合同》”）编写。</w:t>
      </w:r>
    </w:p>
    <w:p w14:paraId="0C4C7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22ECBE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760F317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C6DD72C">
      <w:pPr>
        <w:pStyle w:val="2"/>
        <w:snapToGrid w:val="0"/>
        <w:spacing w:before="240" w:beforeLines="0" w:after="240"/>
        <w:rPr>
          <w:rFonts w:ascii="宋体" w:hAnsi="宋体"/>
          <w:szCs w:val="30"/>
        </w:rPr>
      </w:pPr>
      <w:bookmarkStart w:id="4" w:name="_Toc240548883"/>
      <w:r>
        <w:rPr>
          <w:rFonts w:ascii="Times New Roman" w:hAnsi="Times New Roman"/>
          <w:sz w:val="30"/>
        </w:rPr>
        <w:t>二、释义</w:t>
      </w:r>
      <w:bookmarkEnd w:id="4"/>
    </w:p>
    <w:p w14:paraId="23E72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0FA6AE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1、基金或本基金：指交银施罗德180天持有期债券型证券投资基金</w:t>
      </w:r>
    </w:p>
    <w:p w14:paraId="395AB8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14:paraId="34692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3、基金托管人或本基金托管人：指中国农业银行股份有限公司</w:t>
      </w:r>
    </w:p>
    <w:p w14:paraId="761F8C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4、基金合同、《基金合同》：指《交银施罗德180天持有期债券型证券投资基金基金合同》及对基金合同的任何有效修订和补充</w:t>
      </w:r>
    </w:p>
    <w:p w14:paraId="0911A2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5、托管协议：指基金管理人与基金托管人就本基金签订之《交银施罗德180天持有期债券型证券投资基金托管协议》及对该托管协议的任何有效修订和补充</w:t>
      </w:r>
    </w:p>
    <w:p w14:paraId="13C07F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6、招募说明书、《招募说明书》或本招募说明书：指《交银施罗德180天持有期债券型证券投资基金招募说明书》及其更新</w:t>
      </w:r>
    </w:p>
    <w:p w14:paraId="6A3914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7、基金产品资料概要：指《交银施罗德180天持有期债券型证券投资基金基金产品资料概要》及其更新</w:t>
      </w:r>
    </w:p>
    <w:p w14:paraId="6B11C9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8、基金份额发售公告：指《交银施罗德180天持有期债券型证券投资基金基金份额发售公告》</w:t>
      </w:r>
    </w:p>
    <w:p w14:paraId="24D17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742D08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14:paraId="77517E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14:paraId="73AFF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14:paraId="2307E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14:paraId="44A169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14:paraId="06AA7F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14:paraId="1324D8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16、银行业监督管理机构：指中国人民银行和/或国家金融监督管理总局</w:t>
      </w:r>
    </w:p>
    <w:p w14:paraId="62849D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5CB4C9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14:paraId="782AA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46C00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14:paraId="7847D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14:paraId="78BF11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14:paraId="7BCB59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14:paraId="647ACA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14:paraId="79C9F2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0E0E9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14:paraId="2BD0AE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14:paraId="312F0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14:paraId="216F9A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14:paraId="701301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14:paraId="2DF539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14:paraId="2F6F2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14:paraId="199026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最短持有期限：本基金每份基金份额的最短持有期限为180天，在最短持有期限内该份基金份额不可赎回，自最短持有期限届满日起（含该日）可赎回。即：自基金合同生效日（对认购份额而言）、基金份额申购确认日（对申购份额而言）起的第180天起（含该日，如为非工作日则顺延至下一工作日），投资者方可提出赎回申请。</w:t>
      </w:r>
    </w:p>
    <w:p w14:paraId="7B3B95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14:paraId="631030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14:paraId="4FA57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14:paraId="5DFB4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w:t>
      </w:r>
    </w:p>
    <w:p w14:paraId="78127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14:paraId="18D995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14:paraId="50545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14:paraId="2C3350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14:paraId="005244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14:paraId="71F51F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14:paraId="5C5F11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14:paraId="682227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7F94A9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452FD4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14:paraId="12A108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14:paraId="0F0B3B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49、基金资产总值：指基金拥有的各类有价证券、国债期货合约、银行存款本息、基金应收款项及其他资产的价值总和</w:t>
      </w:r>
    </w:p>
    <w:p w14:paraId="2AF80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14:paraId="77A2DA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14:paraId="2EB402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14:paraId="1952E6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14:paraId="20BB88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54、销售服务费：指从基金财产中计提的，用于本基金市场推广、销售以及基金份额持有人服务的费用</w:t>
      </w:r>
    </w:p>
    <w:p w14:paraId="5A266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55、A类基金份额：指在投资人认购/申购时收取认购/申购费用且不从本类别基金资产中计提销售服务费的基金份额</w:t>
      </w:r>
    </w:p>
    <w:p w14:paraId="2E3E5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56、C类基金份额：指在投资人认购/申购时不收取认购/申购费用并从本类别基金资产中计提销售服务费的基金份额</w:t>
      </w:r>
    </w:p>
    <w:p w14:paraId="0ADF3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57、信用衍生品：指符合证券交易所或银行间市场相关业务规则，专门用于管理信用风险的信用衍生工具</w:t>
      </w:r>
    </w:p>
    <w:p w14:paraId="0365F3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58、信用保护买方：亦称信用保护购买方，指接受信用风险保护的一方</w:t>
      </w:r>
    </w:p>
    <w:p w14:paraId="088956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59、信用保护卖方：亦称信用保护提供方，指提供信用风险保护的一方</w:t>
      </w:r>
    </w:p>
    <w:p w14:paraId="7E1443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60、名义本金：亦称交易名义本金，指为信用衍生品交易提供信用风险保护的金额，各项支付和结算以此金额为计算基准</w:t>
      </w:r>
    </w:p>
    <w:p w14:paraId="1063F4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19B7B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2D3DAA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07825C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1F60DA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65、不可抗力：指基金合同当事人不能预见、不能避免且不能克服的客观事件</w:t>
      </w:r>
    </w:p>
    <w:p w14:paraId="54BEADE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A43F5D0">
      <w:pPr>
        <w:pStyle w:val="2"/>
        <w:snapToGrid w:val="0"/>
        <w:spacing w:before="240" w:beforeLines="0" w:after="240"/>
        <w:rPr>
          <w:rFonts w:ascii="宋体" w:hAnsi="宋体"/>
          <w:szCs w:val="30"/>
        </w:rPr>
      </w:pPr>
      <w:bookmarkStart w:id="5" w:name="_Toc240548884"/>
      <w:r>
        <w:rPr>
          <w:rFonts w:ascii="Times New Roman" w:hAnsi="Times New Roman"/>
          <w:sz w:val="30"/>
        </w:rPr>
        <w:t>三、基金管理人</w:t>
      </w:r>
      <w:bookmarkEnd w:id="5"/>
    </w:p>
    <w:p w14:paraId="220778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2D057F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459501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1FCCC1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0C450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2A2BB9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14:paraId="156855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5F5175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00707E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6D20EA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0B5BE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0530D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45EBF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6AF57079">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3796F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14:paraId="282406F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5FA0ED5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FCB6D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14:paraId="5E706DA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558F260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2F169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7AA5D04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7FDBAF3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247D5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06EE6C3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570602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472FDA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14:paraId="08A0B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14:paraId="5DEB9D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7E5A4F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443B08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2DB123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14:paraId="55A360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14:paraId="7BFBFB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14:paraId="1CD9E7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14:paraId="1D6707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14:paraId="4AC7B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14:paraId="6534DF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134E69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14:paraId="35B36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3617C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7A6D1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14:paraId="7A55D7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5DAF3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14:paraId="3D981C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14:paraId="23E45D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1F96F9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640E3E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14:paraId="5A8AB5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14:paraId="449F6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14:paraId="296A07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159FCC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481DE3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770638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4F3FFF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30331B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1C8CE5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2CA56E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6029D2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712395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14:paraId="239D2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1A65CB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65E1EC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0CF96F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510CC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14:paraId="57223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2ABA27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1D169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02178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686BE8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07CBCA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14:paraId="1CC037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14:paraId="7036C4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4FA500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4D1B39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3972CB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6C752A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1C4BE6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71C27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14:paraId="2470AF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0AA4B4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010AC7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14:paraId="70251E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14:paraId="78540F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14:paraId="278C53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14:paraId="2BFCC5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14:paraId="6CB75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14:paraId="1EF19F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14:paraId="4C83CD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14:paraId="059E01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14:paraId="76C2F7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14:paraId="610B2F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14:paraId="75F75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14:paraId="1505A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7CA95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14:paraId="4A8FE2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14:paraId="7E130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14:paraId="40BFC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37CCF2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14:paraId="1C977A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554760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14:paraId="715EC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14:paraId="6AFD5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14:paraId="50A89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4D844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14:paraId="4FD625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60B453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14:paraId="736C5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64519E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14:paraId="0DBCDB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0AEBA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14:paraId="19A76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14:paraId="03550B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6694C2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14:paraId="2681E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14:paraId="718367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14:paraId="76B3A7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14:paraId="1D946C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14:paraId="5872DD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621A81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14:paraId="5DB15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14:paraId="5D517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14:paraId="4DF60A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14:paraId="7945A4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14:paraId="3E2CC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14:paraId="3C52EE6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60B2679">
      <w:pPr>
        <w:pStyle w:val="2"/>
        <w:snapToGrid w:val="0"/>
        <w:spacing w:before="240" w:beforeLines="0" w:after="240"/>
        <w:rPr>
          <w:rFonts w:ascii="宋体" w:hAnsi="宋体"/>
          <w:szCs w:val="30"/>
        </w:rPr>
      </w:pPr>
      <w:bookmarkStart w:id="6" w:name="_Toc240548885"/>
      <w:r>
        <w:rPr>
          <w:rFonts w:ascii="Times New Roman" w:hAnsi="Times New Roman"/>
          <w:sz w:val="30"/>
        </w:rPr>
        <w:t>四、基金托管人</w:t>
      </w:r>
      <w:bookmarkEnd w:id="6"/>
    </w:p>
    <w:p w14:paraId="1D6932C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14:paraId="39638D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716DCD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14:paraId="75786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5B41A1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7D25F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14:paraId="060233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14:paraId="79550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14:paraId="4522D6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14:paraId="53DE5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14:paraId="4FE3A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EB4D0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235891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7C7D3F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14:paraId="2B6985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14:paraId="6A2C57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14:paraId="0FB26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14:paraId="506C4F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14:paraId="2D69FC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14:paraId="0551B3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14:paraId="359DB8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14:paraId="08D0203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14:paraId="33222F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3F2228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14:paraId="46845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596C3B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14:paraId="6FC8F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14:paraId="75F59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6BF7E2D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14:paraId="3608F7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14:paraId="4768E6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14:paraId="71FC1E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14:paraId="5B4FEA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14:paraId="29FA01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14:paraId="456E2F0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7BA3E57">
      <w:pPr>
        <w:pStyle w:val="2"/>
        <w:snapToGrid w:val="0"/>
        <w:spacing w:before="240" w:beforeLines="0" w:after="240"/>
        <w:rPr>
          <w:rFonts w:ascii="宋体" w:hAnsi="宋体"/>
          <w:szCs w:val="30"/>
        </w:rPr>
      </w:pPr>
      <w:bookmarkStart w:id="7" w:name="_Toc240548886"/>
      <w:r>
        <w:rPr>
          <w:rFonts w:ascii="Times New Roman" w:hAnsi="Times New Roman"/>
          <w:sz w:val="30"/>
        </w:rPr>
        <w:t>五、相关服务机构</w:t>
      </w:r>
      <w:bookmarkEnd w:id="7"/>
    </w:p>
    <w:p w14:paraId="21B1D4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767639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7F3EC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14:paraId="79FDC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32C68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DF7E9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029D1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14:paraId="3BB94A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3144D6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47FA3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7A123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6190D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3B18F8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3C5CD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14:paraId="2BDB11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14:paraId="2DB20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14:paraId="3F512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14:paraId="4BEAA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4F67C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7A35B4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4F55CB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0F2B37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4BC4E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22ED1E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237321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7D61E4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（2）名称：中国农业银行股份有限公司</w:t>
      </w:r>
    </w:p>
    <w:p w14:paraId="4E956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3F9CB7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02D0E6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1D8D7E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011DC7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2D2A75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14:paraId="1E13CA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14:paraId="164A78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14:paraId="66ADCF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（3）名称：宁波银行股份有限公司</w:t>
      </w:r>
    </w:p>
    <w:p w14:paraId="3EEE4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35C6A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4D42A1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698C0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001A2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502A82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45C7EF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5C9452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（4）名称：华西证券股份有限公司</w:t>
      </w:r>
    </w:p>
    <w:p w14:paraId="2C4128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57D885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5DB02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29282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69EE9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4B39BB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5D45B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3477F0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142E01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（5）名称：浙江同花顺基金销售有限公司</w:t>
      </w:r>
    </w:p>
    <w:p w14:paraId="37A4C2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74764B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76F86D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2F375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189B2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063D0C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7A03B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7F91A2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1462B8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（6）名称：泛华普益基金销售有限公司</w:t>
      </w:r>
    </w:p>
    <w:p w14:paraId="36969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51F3C8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065B6F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243A5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1A8405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01D19E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348B94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53CD29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555D4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（7）名称：上海联泰基金销售有限公司</w:t>
      </w:r>
    </w:p>
    <w:p w14:paraId="7E9FD2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39315E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3A5F4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67D17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40DA44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2F58A3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0121D4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4292DE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7879B1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（8）名称：上海基煜基金销售有限公司</w:t>
      </w:r>
    </w:p>
    <w:p w14:paraId="1579B8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33C02F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6F29B7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0BDB1F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6767B6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10E4D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65BCA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4F54D5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6BDBB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（9）名称：蚂蚁（杭州）基金销售有限公司</w:t>
      </w:r>
    </w:p>
    <w:p w14:paraId="3A78E3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41F6D7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4E8653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0F7BB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6FFBB3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279172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3DBFB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0BA388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32D86C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（10）名称：深圳众禄基金销售股份有限公司</w:t>
      </w:r>
    </w:p>
    <w:p w14:paraId="48DA9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27A748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338DA6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0287E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55E284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10EE71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36A363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65FDDC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4619A5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（11）名称：上海长量基金销售有限公司</w:t>
      </w:r>
    </w:p>
    <w:p w14:paraId="7C92E9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1D5A63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5B6D6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4CD570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33920C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37CC6F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28A8C2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66CFE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2D332F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（12）名称：上海好买基金销售有限公司</w:t>
      </w:r>
    </w:p>
    <w:p w14:paraId="66247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1787E2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7C1D6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1E4FCB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5BBB2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038E58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35D578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646A0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（13）名称：诺亚正行基金销售有限公司</w:t>
      </w:r>
    </w:p>
    <w:p w14:paraId="2C9425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0705BE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79428E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56D22D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5868C0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4704A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0D50FD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620D6D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0002B4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（14）名称：上海天天基金销售有限公司</w:t>
      </w:r>
    </w:p>
    <w:p w14:paraId="33C2B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3152A1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4B922E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1342A6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6CEE7E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447274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2A1ECD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7B6868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78EB17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（15）名称：奕丰基金销售有限公司</w:t>
      </w:r>
    </w:p>
    <w:p w14:paraId="3418D1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2F7532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190501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052698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6F961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554EE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715A65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590AFB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3CECD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（16）名称：北京创金启富基金销售有限公司</w:t>
      </w:r>
    </w:p>
    <w:p w14:paraId="264F6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14:paraId="3AD30F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14:paraId="509681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14:paraId="66D96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751DEC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602BF8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14:paraId="0A385D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1D5C76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14:paraId="5BDFFB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（17）名称：上海证达通基金销售有限公司</w:t>
      </w:r>
    </w:p>
    <w:p w14:paraId="03F4C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14:paraId="76659D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14:paraId="101CD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14:paraId="1AAAE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2D73D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3EE12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14:paraId="0D68E4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14:paraId="781CFF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14:paraId="64801F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（18）名称：北京雪球基金销售有限公司</w:t>
      </w:r>
    </w:p>
    <w:p w14:paraId="0A7F62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14:paraId="57328D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14:paraId="108956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5C5578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3E4ABA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132BD5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34DD91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6A580D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7578E7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（19）名称：上海万得基金销售有限公司</w:t>
      </w:r>
    </w:p>
    <w:p w14:paraId="27472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30274B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1A15A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14:paraId="461A6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312E5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26B94B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14:paraId="1A9E45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7DCBC5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14:paraId="0CD030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（20）名称：上海利得基金销售有限公司</w:t>
      </w:r>
    </w:p>
    <w:p w14:paraId="15FA0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14:paraId="1414B6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5E617A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33412B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32C386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3EFDE5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14:paraId="087F7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77D808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0F028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（21）名称：北京汇成基金销售有限公司</w:t>
      </w:r>
    </w:p>
    <w:p w14:paraId="0F2EC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19F604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4E9EC6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5E301D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5F760E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42325F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5D12B1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14:paraId="255021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0D0476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（22）名称：嘉实财富管理有限公司</w:t>
      </w:r>
    </w:p>
    <w:p w14:paraId="37978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29288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438F1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14:paraId="021ACB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14:paraId="0B89EA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5C2746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0762AB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06A1C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（23）名称：南京苏宁基金销售有限公司</w:t>
      </w:r>
    </w:p>
    <w:p w14:paraId="43AC5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34847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3C2DA0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3F16C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76AB4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4CF36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0F719D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659AD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406095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（24）名称：上海华夏财富投资管理有限公司</w:t>
      </w:r>
    </w:p>
    <w:p w14:paraId="64FEE0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14:paraId="7E3C9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14:paraId="6052F8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14:paraId="521C7B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14:paraId="1AA74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14:paraId="1913DB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14:paraId="429D07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14:paraId="5FF0F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14:paraId="040C5E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（25）名称：珠海盈米基金销售有限公司</w:t>
      </w:r>
    </w:p>
    <w:p w14:paraId="660D18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5ECFA4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4AB816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53B78A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4C75D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7C98C4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527A1B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2AF85E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0A6F3A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（26）名称：腾安基金销售（深圳）有限公司</w:t>
      </w:r>
    </w:p>
    <w:p w14:paraId="36351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18BADD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27F0E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2C7A6C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4B9F18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5C23C9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0DE85D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7671A4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（27）名称：和耕传承基金销售有限公司</w:t>
      </w:r>
    </w:p>
    <w:p w14:paraId="5F219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0FA32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6EC654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2E80DC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210B1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2D85AB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43B3A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6AF194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32075D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（28）名称：上海大智慧基金销售有限公司</w:t>
      </w:r>
    </w:p>
    <w:p w14:paraId="6E06D6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14:paraId="78C00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14:paraId="0C0308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14:paraId="5295D4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14:paraId="35D35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14:paraId="7B2AC9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14:paraId="35758A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14:paraId="015564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14:paraId="4EACB8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（29）名称：京东肯特瑞基金销售有限公司</w:t>
      </w:r>
    </w:p>
    <w:p w14:paraId="3A7B3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14:paraId="59ED94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4E9EA2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42DD96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171774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0B439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27B1AF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55DECC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5CB40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（30）名称：玄元保险代理有限公司</w:t>
      </w:r>
    </w:p>
    <w:p w14:paraId="27766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14:paraId="69AEF1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14:paraId="7D2CDE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14:paraId="2236FB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14:paraId="5EF57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14:paraId="5E2DF6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14:paraId="37CCF3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14:paraId="44C013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（31）名称：博时财富基金销售有限公司</w:t>
      </w:r>
    </w:p>
    <w:p w14:paraId="5BDF9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4775AD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04FC31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76A452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3ADFDF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4812C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1F4953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3C2D77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648A2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（32）名称：上海攀赢基金销售有限公司</w:t>
      </w:r>
    </w:p>
    <w:p w14:paraId="7FA262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客户服务电话：021-68889082</w:t>
      </w:r>
    </w:p>
    <w:p w14:paraId="0F8C0A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网址：www.weonefunds.com</w:t>
      </w:r>
    </w:p>
    <w:p w14:paraId="03A8F4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（33）名称：济安财富（北京）基金销售有限公司</w:t>
      </w:r>
    </w:p>
    <w:p w14:paraId="101168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60684E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5D2101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5E4EB4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61C57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42EAF3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410E9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7774D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72E83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4E086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2EA1B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F6BB6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14:paraId="4A19F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14996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14:paraId="50AE3B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14:paraId="3CF68F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14:paraId="0131B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2DE9A9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0AFB0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542F00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办公地址：上海市银城中路68号时代金融中心18-20楼</w:t>
      </w:r>
    </w:p>
    <w:p w14:paraId="55B7F6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426AE7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6A9321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3B20F9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14:paraId="736E12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经办律师：丁媛、李晓露</w:t>
      </w:r>
    </w:p>
    <w:p w14:paraId="342938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3D92AC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14:paraId="3A14C3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14:paraId="09AD84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14:paraId="5192E1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14:paraId="535A3A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14:paraId="501F39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14:paraId="7A3500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14:paraId="3A524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14:paraId="0E9FA55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029FDAB">
      <w:pPr>
        <w:pStyle w:val="2"/>
        <w:snapToGrid w:val="0"/>
        <w:spacing w:before="240" w:beforeLines="0" w:after="240"/>
        <w:rPr>
          <w:rFonts w:ascii="宋体" w:hAnsi="宋体"/>
          <w:szCs w:val="30"/>
        </w:rPr>
      </w:pPr>
      <w:bookmarkStart w:id="8" w:name="_Toc240548887"/>
      <w:r>
        <w:rPr>
          <w:rFonts w:ascii="Times New Roman" w:hAnsi="Times New Roman"/>
          <w:sz w:val="30"/>
        </w:rPr>
        <w:t>六、基金的募集</w:t>
      </w:r>
      <w:bookmarkEnd w:id="8"/>
    </w:p>
    <w:p w14:paraId="309E00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本基金由基金管理人依照《基金法》、《运作办法》、《销售办法》、基金合同及其他有关规定，并经中国证监会2025年2月8日证监许可【2025】242号文准予募集注册。</w:t>
      </w:r>
    </w:p>
    <w:p w14:paraId="58677B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14:paraId="6A377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58929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本基金2025年7月1日至2025年7月16日进行发售，本基金设立募集期共募集1,306,526,578.34份基金份额，有效认购户数为4,166户。</w:t>
      </w:r>
    </w:p>
    <w:p w14:paraId="42C7A5D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6F34100">
      <w:pPr>
        <w:pStyle w:val="2"/>
        <w:snapToGrid w:val="0"/>
        <w:spacing w:before="240" w:beforeLines="0" w:after="240"/>
        <w:rPr>
          <w:rFonts w:ascii="宋体" w:hAnsi="宋体"/>
          <w:szCs w:val="30"/>
        </w:rPr>
      </w:pPr>
      <w:bookmarkStart w:id="9" w:name="_Toc240548888"/>
      <w:r>
        <w:rPr>
          <w:rFonts w:ascii="Times New Roman" w:hAnsi="Times New Roman"/>
          <w:sz w:val="30"/>
        </w:rPr>
        <w:t>七、基金合同的生效</w:t>
      </w:r>
      <w:bookmarkEnd w:id="9"/>
    </w:p>
    <w:p w14:paraId="0EB20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根据有关规定，本基金满足基金合同生效条件，基金合同已于2025年7月18日正式生效。自基金合同生效之日起，本基金管理人正式开始管理本基金。</w:t>
      </w:r>
    </w:p>
    <w:p w14:paraId="3DD2A9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14:paraId="4D587B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14:paraId="6AEAAF5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6711C6F">
      <w:pPr>
        <w:pStyle w:val="2"/>
        <w:snapToGrid w:val="0"/>
        <w:spacing w:before="240" w:beforeLines="0" w:after="240"/>
        <w:rPr>
          <w:rFonts w:ascii="宋体" w:hAnsi="宋体"/>
          <w:szCs w:val="30"/>
        </w:rPr>
      </w:pPr>
      <w:bookmarkStart w:id="10" w:name="_Toc240548889"/>
      <w:r>
        <w:rPr>
          <w:rFonts w:ascii="Times New Roman" w:hAnsi="Times New Roman"/>
          <w:sz w:val="30"/>
        </w:rPr>
        <w:t>八、基金份额的申购与赎回</w:t>
      </w:r>
      <w:bookmarkEnd w:id="10"/>
    </w:p>
    <w:p w14:paraId="7D0A4E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14:paraId="312B2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553ABB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14:paraId="5180DB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14:paraId="69463D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71AB21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43EC15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74256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06658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225065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7B22F1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57B35E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16EE66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个人投资者可以通过基金管理人网上直销交易平台办理开户、本基金的申购、赎回、定期定额投资等业务，具体交易细则请参阅基金管理人网站。网上直销交易平台网址：www.fund001.com</w:t>
      </w:r>
    </w:p>
    <w:p w14:paraId="2B48A3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14:paraId="501D6B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14:paraId="3340D5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14:paraId="02582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14:paraId="6000B5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14:paraId="60554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6905B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份额持有人仅可在该基金份额最短持有期限届满日起（含该日）申请赎回，具体办理时间为上海证券交易所、深圳证券交易所的正常交易日的交易时间，但基金管理人根据法律法规、中国证监会的要求或基金合同的规定公告暂停申购、赎回时除外。</w:t>
      </w:r>
    </w:p>
    <w:p w14:paraId="114C7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183FF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14:paraId="7CF05D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本基金已于2025年10月17日起开放申购业务。</w:t>
      </w:r>
    </w:p>
    <w:p w14:paraId="3EAA77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本基金已于2026年1月14日起开放赎回业务。</w:t>
      </w:r>
    </w:p>
    <w:p w14:paraId="7557CA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14:paraId="2102E6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14:paraId="1333F7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14:paraId="33629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4F21B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14:paraId="5C2BED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14:paraId="7D8988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14:paraId="188AF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14:paraId="416529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14:paraId="064979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6AACDF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14:paraId="7EF783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本基金暂不向金融机构自营账户销售（基金管理人自有资金除外），如未来本基金开放向金融机构自营账户公开销售或对销售对象的范围予以进一步限定，基金管理人将另行公告。</w:t>
      </w:r>
    </w:p>
    <w:p w14:paraId="0FC27F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一投资者单日申购金额不超过1000万元（个人投资者、公募资产管理产品、职业年金计划、企业年金计划、养老金产品和基金管理人自有资金除外）。基金管理人可以调整单一投资者单日申购金额上限，具体规定请参见更新的招募说明书或相关公告。</w:t>
      </w:r>
    </w:p>
    <w:p w14:paraId="1743F3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10C6ED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14:paraId="24363A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14:paraId="0CAD5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14:paraId="2137FC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14:paraId="349841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14:paraId="713AC0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14:paraId="1A32A2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14:paraId="64588A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6DA83D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3271D8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14:paraId="075E2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14:paraId="412537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14:paraId="504D4C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14:paraId="46AE97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14:paraId="4B0301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14:paraId="57FC9F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2B1E13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14:paraId="6E61AD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41DB05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14:paraId="7A9C29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14:paraId="6B3BF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投资人可以多次申购本基金，A类基金份额的申购费用按A类基金份额每笔申购申请单独计算。</w:t>
      </w:r>
    </w:p>
    <w:p w14:paraId="5E6BD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393B6B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17BB30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3FAD3211">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14:paraId="529DA65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9BB87D">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42AF5C2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14:paraId="6D876E4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0219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7F95B7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14:paraId="2E26EEC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DC80A8">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2DA3F1E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6D8981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14:paraId="1813D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14:paraId="548724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14:paraId="7FCFDC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14:paraId="6C3208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14:paraId="626E52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14:paraId="2AA865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14:paraId="5BAB46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14:paraId="597E6A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14:paraId="31438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14:paraId="48273158">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67F17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16710026">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14:paraId="4A762F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830254">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7DB7C5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14:paraId="41C083B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36F4BB">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39B91DC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14:paraId="2F2CA7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4E4776">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25A028B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6C83B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0C1604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0EF930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基金份额持有人持有的每份基金份额最短持有期限为180天，最短持有期限届满后，本基金不收取赎回费。</w:t>
      </w:r>
    </w:p>
    <w:p w14:paraId="07EDE7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14:paraId="25D5E3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14:paraId="13A9E7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14:paraId="62F1A5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14:paraId="5BC3B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72E916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14:paraId="40B38C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14:paraId="579490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52605E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本基金采用金额申购的方式。</w:t>
      </w:r>
    </w:p>
    <w:p w14:paraId="15823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14:paraId="0D9ADA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04A896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35DE4B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14:paraId="503C80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5F1791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14:paraId="32D426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申购份额=净申购金额/T日A类基金份额净值</w:t>
      </w:r>
    </w:p>
    <w:p w14:paraId="2233C9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例四：某投资者（非养老金客户）投资100,000.00元申购本基金的A类基金份额，假设申购当日A类基金份额净值为1.0400元，申购费率为0.3%，则其可得到的申购份额为：</w:t>
      </w:r>
    </w:p>
    <w:p w14:paraId="67E668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14:paraId="6A2F06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净申购金额=100,000.00/（1+0.3%）=99,700.90元</w:t>
      </w:r>
    </w:p>
    <w:p w14:paraId="2E572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申购费用=100,000.00-99,700.90=299.10元</w:t>
      </w:r>
    </w:p>
    <w:p w14:paraId="2422FC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申购份额=99,700.90/1.0400=95,866.25份</w:t>
      </w:r>
    </w:p>
    <w:p w14:paraId="38BD7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即：某投资者（非养老金客户）投资100,000.00元申购本基金的A类基金份额，假设申购当日A类基金份额净值为1.0400元，则其可得到95,866.25份A类基金份额。</w:t>
      </w:r>
    </w:p>
    <w:p w14:paraId="7FD097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例五：某养老金客户投资1,000,000.00元通过基金管理人的直销柜台申购本基金的A类基金份额，假设申购当日A类基金份额净值为1.0400元，申购费率为0.02%，则其可得到的申购份额为：</w:t>
      </w:r>
    </w:p>
    <w:p w14:paraId="7250D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申购总金额＝1,000,000.00元</w:t>
      </w:r>
    </w:p>
    <w:p w14:paraId="4E5A51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净申购金额=1,000,000.00/（1+0.02%）=999,800.04元</w:t>
      </w:r>
    </w:p>
    <w:p w14:paraId="700283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申购费用=1,000,000.00-999,800.04=199.96元</w:t>
      </w:r>
    </w:p>
    <w:p w14:paraId="258937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申购份额=（1,000,000.00-199.96）/1.0400=961,346.19份</w:t>
      </w:r>
    </w:p>
    <w:p w14:paraId="0F46B6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即：该养老金客户投资1,000,000.00元通过基金管理人的直销柜台申购本基金的A类基金份额，假设申购当日A类基金份额净值为1.0400元，则其可得到961,346.19份A类基金份额。</w:t>
      </w:r>
    </w:p>
    <w:p w14:paraId="16AF9E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14:paraId="0A72C8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14:paraId="47951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0C43FD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14:paraId="7D9C1C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14:paraId="12DF9A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申购总金额=100,000.00元</w:t>
      </w:r>
    </w:p>
    <w:p w14:paraId="6C2129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申购份额＝100,000.00/1.0400＝96,153.85份</w:t>
      </w:r>
    </w:p>
    <w:p w14:paraId="413BDB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14:paraId="1D5891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7EAB66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本基金采用份额赎回的方式。</w:t>
      </w:r>
    </w:p>
    <w:p w14:paraId="386F7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14:paraId="7A0B52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14:paraId="28C27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例七：某投资者赎回持有200天的10,000.00份本基金A类基金份额，对应的赎回费率为0，假设赎回当日A类基金份额净值是1.0025元，则其可得到的赎回金额为：</w:t>
      </w:r>
    </w:p>
    <w:p w14:paraId="7C4B30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赎回费用=0元</w:t>
      </w:r>
    </w:p>
    <w:p w14:paraId="5764C8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赎回金额=10,000.00×1.0025-0＝10,025.00元</w:t>
      </w:r>
    </w:p>
    <w:p w14:paraId="0A681B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即：投资者赎回持有200天的本基金10,000.00份A类基金份额，对应的赎回费率为0，假设赎回当日A类基金份额净值是1.0025元，则其可得到的赎回金额为10,025.00元。</w:t>
      </w:r>
    </w:p>
    <w:p w14:paraId="376882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6883B1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14:paraId="380DA2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14:paraId="21CFC2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C类基金份额的基金份额净值的计算，均保留到小数点后4位，小数点后第5位四舍五入，由此产生的收益或损失由基金财产承担。T日的基金份额净值在当天收市后计算，并在T+1日（包括该日）内公告。遇特殊情况，经履行适当程序，可以适当延迟计算或公告。</w:t>
      </w:r>
    </w:p>
    <w:p w14:paraId="3C6C8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14:paraId="754519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517A4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69FF9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14:paraId="44A590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14:paraId="72F1CB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14:paraId="099534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14:paraId="168768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14:paraId="4EC0D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2AE23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14:paraId="51F4F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14:paraId="09FF8D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14:paraId="45BD4F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14:paraId="78456B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6C5BC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65553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56FC6A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3、证券/期货交易所交易时间非正常停市，导致基金管理人无法计算当日基金资产净值。</w:t>
      </w:r>
    </w:p>
    <w:p w14:paraId="7C90C3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14:paraId="57385A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14:paraId="472BB1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14:paraId="7E135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756A69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8、法律法规规定、中国证监会认定或基金合同约定的其他情形。</w:t>
      </w:r>
    </w:p>
    <w:p w14:paraId="08E173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1576B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14:paraId="0A7198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46464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615965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330594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576851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26596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14:paraId="350B7B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0C6F6C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14:paraId="735DB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14:paraId="2A5927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740A7A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7558FA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14:paraId="4D28F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14:paraId="414EF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14:paraId="379A5D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14:paraId="5DCEF1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73AC9B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（十二）基金转换</w:t>
      </w:r>
    </w:p>
    <w:p w14:paraId="2B0F11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14:paraId="58B1F4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（十三）基金的非交易过户</w:t>
      </w:r>
    </w:p>
    <w:p w14:paraId="26F128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4C8280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BC250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（十四）基金的转托管</w:t>
      </w:r>
    </w:p>
    <w:p w14:paraId="77542F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278C8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（十五）定期定额投资计划</w:t>
      </w:r>
    </w:p>
    <w:p w14:paraId="43FA6E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14:paraId="15955D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本基金2025年10月15日刊登公告自2025年10月17日起开通定期定额投资计划业务，具体开通销售机构名单和业务规则参见相关公告。</w:t>
      </w:r>
    </w:p>
    <w:p w14:paraId="7210E5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14:paraId="2D4E1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14:paraId="3A2253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（十七）基金份额的转让</w:t>
      </w:r>
    </w:p>
    <w:p w14:paraId="0FE25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DFFC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（十八）实施侧袋机制期间本基金的申购与赎回</w:t>
      </w:r>
    </w:p>
    <w:p w14:paraId="14A2B4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29E06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（十九）其他业务</w:t>
      </w:r>
    </w:p>
    <w:p w14:paraId="46DD2E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66EDE25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3F46D25">
      <w:pPr>
        <w:pStyle w:val="2"/>
        <w:snapToGrid w:val="0"/>
        <w:spacing w:before="240" w:beforeLines="0" w:after="240"/>
        <w:rPr>
          <w:rFonts w:ascii="宋体" w:hAnsi="宋体"/>
          <w:szCs w:val="30"/>
        </w:rPr>
      </w:pPr>
      <w:bookmarkStart w:id="11" w:name="_Toc240548890"/>
      <w:r>
        <w:rPr>
          <w:rFonts w:ascii="Times New Roman" w:hAnsi="Times New Roman"/>
          <w:sz w:val="30"/>
        </w:rPr>
        <w:t>九、基金的投资</w:t>
      </w:r>
      <w:bookmarkEnd w:id="11"/>
    </w:p>
    <w:p w14:paraId="2390C5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14:paraId="766612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在严格控制风险和保持较高流动性的前提下，力求获得高于业绩比较基准的投资收益。</w:t>
      </w:r>
    </w:p>
    <w:p w14:paraId="3CDDF4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14:paraId="3E89D8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14:paraId="321FE8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14:paraId="0CA601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57BBD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14:paraId="6C104A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5BC43B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14:paraId="64FDB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w:t>
      </w:r>
    </w:p>
    <w:p w14:paraId="508D5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1、债券投资策略</w:t>
      </w:r>
    </w:p>
    <w:p w14:paraId="2405A3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14:paraId="618F88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的风险。</w:t>
      </w:r>
    </w:p>
    <w:p w14:paraId="0B2535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14:paraId="1B0DE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14:paraId="3C8000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14:paraId="401109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14:paraId="66E38C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14:paraId="0F320F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14:paraId="53F8D3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（5）信用债券（含资产支持证券，下同）投资策略</w:t>
      </w:r>
    </w:p>
    <w:p w14:paraId="7028F7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14:paraId="4047E8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14:paraId="132CF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基金管理人的信用债券信用评级指标体系，对信用债券进行信用评级，并在信用评级的基础上，建立本基金的信用债券池。</w:t>
      </w:r>
    </w:p>
    <w:p w14:paraId="61D464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14:paraId="34C6E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w:t>
      </w:r>
    </w:p>
    <w:p w14:paraId="110EB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含资产支持证券，下同）为信用评级在AA+级（含）以上的信用债，对信用评级的认定参照基金管理人选定的评级机构出具的信用评级，其中，信用债的信用评级依照评级机构出具的债项信用评级，若无债项信用评级的，依照其主体信用评级，其中本基金投资的短期融资券、超短期融资券、短期公司债券等短期信用债的信用评级依照评级机构出具的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规定。上述信用债不包括可转换债券（含可分离交易可转换债券）、可交换公司债券。</w:t>
      </w:r>
    </w:p>
    <w:p w14:paraId="751274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本基金构建和管理信用债券投资组合时主要考虑以下因素：</w:t>
      </w:r>
    </w:p>
    <w:p w14:paraId="3DF6B3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14:paraId="3C990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14:paraId="3303C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（6）可转换债券（含可分离交易可转换债券）与可交换公司债券投资策略</w:t>
      </w:r>
    </w:p>
    <w:p w14:paraId="2ADE3D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可转换债券（含可分离交易可转换债券）、可交换公司债券的比例合计不超过基金资产的20%。本基金对于可转换债券（含可分离交易可转换债券）与可交换公司债券股性的研究将完全依托于基金管理人投研团队对标的股票的研究，在此基础上利用可转换债券（含可分离交易可转换债券）与可交换公司债券定价模型，充分考虑转债发行后目标转债标的股票股价波动率可能出现的变化，对目标转债的股性进行合理定价。通过对目标转债股性与债性的合理定价，力求寻找出被市场低估的品种，构建本基金可转换债券（含可分离交易可转换债券）与可交换公司债券的投资组合。</w:t>
      </w:r>
    </w:p>
    <w:p w14:paraId="65E09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1）行业配置策略</w:t>
      </w:r>
    </w:p>
    <w:p w14:paraId="57D79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含可分离交易可转换债券）与可交换公司债券进行投资。</w:t>
      </w:r>
    </w:p>
    <w:p w14:paraId="1FED2D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2）个券精选策略</w:t>
      </w:r>
    </w:p>
    <w:p w14:paraId="3CA9D4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换债券（含可分离交易可转换债券）与可交换公司债券自身的信用评估和其正股的价值分析来进行个券的筛选。</w:t>
      </w:r>
    </w:p>
    <w:p w14:paraId="04EBE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2、国债期货投资策略</w:t>
      </w:r>
    </w:p>
    <w:p w14:paraId="27E365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进行国债期货投资时，将根据风险管理的原则，以套期保值为目的，并积极采用流动性好、交易活跃的期货合约，通过对国债市场和期货市场运行趋势的研究，结合国债期货的定价模型寻求其合理的估值水平，通过多头或空头套期保值等策略进行套期保值操作。基金管理人将充分考虑国债期货的收益性、流动性及风险性特征，利用金融衍生品的杠杆作用，以达到降低投资组合的整体风险的目的。</w:t>
      </w:r>
    </w:p>
    <w:p w14:paraId="42EF1E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3、信用衍生品投资策略</w:t>
      </w:r>
    </w:p>
    <w:p w14:paraId="3C8FDF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风险管理原则，以风险对冲为目的参与信用衍生品交易。本基金将根据所持标的债券等固定收益品种的投资策略，审慎开展信用衍生品投资，合理确定信用衍生品的投资金额、期限等。同时，本基金将加强基金投资信用衍生品的交易对手方、创设机构的风险管理，合理分散交易对手方、创设机构的集中度，对交易对手方、创设机构的财务状况、偿付能力及杠杆水平等进行必要的尽职调查与严格的准入管理。</w:t>
      </w:r>
    </w:p>
    <w:p w14:paraId="63C3B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未来，随着投资工具的发展和丰富，基金管理人可以在不改变投资目标的前提下，在履行适当程序之后，相应调整和更新相关投资策略，并在招募说明书中更新，而无需召开基金份额持有人大会。</w:t>
      </w:r>
    </w:p>
    <w:p w14:paraId="37722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14:paraId="08E3D6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14:paraId="0AC7D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50589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（1）本基金投资于债券资产的比例不低于基金资产的80%，投资于可转换债券（含可分离交易可转换债券）、可交换公司债券的比例合计不超过基金资产的20%；</w:t>
      </w:r>
    </w:p>
    <w:p w14:paraId="00CC8A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14:paraId="2859B5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14:paraId="0E3096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14:paraId="30480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14:paraId="34DED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14:paraId="29DD0B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14:paraId="45B5B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14:paraId="3F51BA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14:paraId="64E4D0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14:paraId="31ED0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14:paraId="483393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14:paraId="747ACA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14:paraId="0C309C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67FA06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18020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14:paraId="705D8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4DC07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（14）本基金资产总值不超过基金资产净值的140%；</w:t>
      </w:r>
    </w:p>
    <w:p w14:paraId="0D6111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14:paraId="3F0322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14:paraId="450826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480E8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14:paraId="5F7257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14:paraId="4631D2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5051D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6578A8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399A6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3B4496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14:paraId="123DB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14:paraId="00AF5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14:paraId="285CF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14:paraId="751AEB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B440B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14:paraId="1D225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14:paraId="6344C8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本基金业绩比较基准：中债-综合全价（1-3年）指数收益率×95%+活期存款基准利率×5%</w:t>
      </w:r>
    </w:p>
    <w:p w14:paraId="40854C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1、业绩比较基准设定的原因</w:t>
      </w:r>
    </w:p>
    <w:p w14:paraId="0172D1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于基金投资范围以及预期投资的主要资产类别，本基金主要投资于债券等资产，相应选取与之匹配的债券指数作为基准要素。同时基于基金投资于债券资产的比例不低于基金资产的80%等投资比例限制，以及预期的资产配置比例，本基金将债券资产和现金类资产所对应的基准要素权重设置为95%、5%。</w:t>
      </w:r>
    </w:p>
    <w:p w14:paraId="1FBEDB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于基金投资目标、投资范围和投资策略，本基金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债券部分的业绩比较基准要素。</w:t>
      </w:r>
    </w:p>
    <w:p w14:paraId="01AFFE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中债-综合全价（1-3年）指数成份券包含除资产支持证券、美元债券、可转债以外的在境内公开发行且上市流通的债券，成份券待偿期限在1-3年（含1年），适合作为本基金债券部分的业绩比较基准要素。</w:t>
      </w:r>
    </w:p>
    <w:p w14:paraId="7FE11E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于基金投资目标、投资范围和投资策略，本基金可持有一定比例现金类资产，以匹配流动性管理需求。活期存款基准利率具有较强的权威性和市场影响力，适合作为本基金现金类资产部分的业绩比较基准。</w:t>
      </w:r>
    </w:p>
    <w:p w14:paraId="40984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综上，本基金选取的业绩比较基准与基金投资目标、投资范围、投资策略、投资比例限制相匹配。</w:t>
      </w:r>
    </w:p>
    <w:p w14:paraId="64EC06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2、业绩比较基准要素的基本信息</w:t>
      </w:r>
    </w:p>
    <w:p w14:paraId="52936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14:paraId="7CC2A0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活期存款基准利率由中国人民银行发布，具体信息详见中国人民银行网站，网址：www.pbc.gov.cn。</w:t>
      </w:r>
    </w:p>
    <w:p w14:paraId="149C4A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3、业绩比较基准的计算方法</w:t>
      </w:r>
    </w:p>
    <w:p w14:paraId="50B382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综合全价（1-3年）指数、活期存款基准利率的每日收益率，再按照预设权重比例计算当日组合要素基准的日收益率，并连乘每日收益率。</w:t>
      </w:r>
    </w:p>
    <w:p w14:paraId="5235B9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4、管理投资偏离业绩比较基准的定性或定量方法</w:t>
      </w:r>
    </w:p>
    <w:p w14:paraId="3D4071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14:paraId="5C67A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43F0E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5、未来可能变更业绩比较基准的情况和程序</w:t>
      </w:r>
    </w:p>
    <w:p w14:paraId="33005A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DF3BC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04811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14:paraId="12EA76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（3）中国证监会认可的其他情形。</w:t>
      </w:r>
    </w:p>
    <w:p w14:paraId="7BC8A1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14:paraId="293F17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（1）基金投资目标、投资范围、投资策略、投资比例等拟进行重大调整，并变更业绩比较基准的；</w:t>
      </w:r>
    </w:p>
    <w:p w14:paraId="37B23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（2）其他对基金份额持有人利益产生重大实质性影响的情形。</w:t>
      </w:r>
    </w:p>
    <w:p w14:paraId="0FBEE7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14:paraId="72DA6F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14:paraId="5F873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（七）基金管理人代表基金行使股东或债权人权利的处理原则及方法</w:t>
      </w:r>
    </w:p>
    <w:p w14:paraId="3F1E3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14:paraId="7739E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14:paraId="45A345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343BFC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30F4D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14:paraId="46CAA6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D8DCA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35701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5A2E5F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14:paraId="57F45A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4482A3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14:paraId="6AF05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14:paraId="48208E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54C29B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01BC7C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38468E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3CD908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6A50F72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383F729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7D11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5C1ABB43">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2377205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AEAB9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72C0132">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A82862">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6A9C062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722D1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0D79E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3F8FD5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0A7C6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45D93E1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1A2FBA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D52AE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F12926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231E0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3C0413C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48B9AA8F">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14:paraId="1A8A604D">
            <w:pPr>
              <w:widowControl/>
              <w:snapToGrid w:val="0"/>
              <w:jc w:val="right"/>
              <w:rPr>
                <w:rFonts w:ascii="宋体" w:hAnsi="宋体"/>
                <w:color w:val="000000"/>
                <w:kern w:val="0"/>
                <w:sz w:val="25"/>
                <w:szCs w:val="24"/>
              </w:rPr>
            </w:pPr>
            <w:r>
              <w:rPr>
                <w:rFonts w:ascii="Times New Roman" w:hAnsi="Times New Roman"/>
                <w:color w:val="000000"/>
                <w:kern w:val="0"/>
                <w:sz w:val="25"/>
                <w:szCs w:val="24"/>
              </w:rPr>
              <w:t>86.59</w:t>
            </w:r>
          </w:p>
        </w:tc>
      </w:tr>
      <w:tr w14:paraId="73EEA1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FA79E3">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7B946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3D4BBC88">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14:paraId="2BD94FE2">
            <w:pPr>
              <w:widowControl/>
              <w:snapToGrid w:val="0"/>
              <w:jc w:val="right"/>
              <w:rPr>
                <w:rFonts w:ascii="宋体" w:hAnsi="宋体"/>
                <w:color w:val="000000"/>
                <w:kern w:val="0"/>
                <w:sz w:val="25"/>
                <w:szCs w:val="24"/>
              </w:rPr>
            </w:pPr>
            <w:r>
              <w:rPr>
                <w:rFonts w:ascii="Times New Roman" w:hAnsi="Times New Roman"/>
                <w:color w:val="000000"/>
                <w:kern w:val="0"/>
                <w:sz w:val="25"/>
                <w:szCs w:val="24"/>
              </w:rPr>
              <w:t>86.59</w:t>
            </w:r>
          </w:p>
        </w:tc>
      </w:tr>
      <w:tr w14:paraId="01B9A4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8D2714E">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B8CDC53">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7C0748C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07EC2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418984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258C87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3F5C075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594389B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70164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725DB4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696DF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FDB19E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10DB92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1D52C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070918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CC34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156D5DF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171F7DA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12A40D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8DF15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D7BFE5">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7A9A775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65FB76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454560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C91604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554D4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16ABDA5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378B3A4C">
            <w:pPr>
              <w:widowControl/>
              <w:snapToGrid w:val="0"/>
              <w:jc w:val="right"/>
              <w:rPr>
                <w:rFonts w:ascii="宋体" w:hAnsi="宋体"/>
                <w:color w:val="000000"/>
                <w:kern w:val="0"/>
                <w:sz w:val="25"/>
                <w:szCs w:val="24"/>
              </w:rPr>
            </w:pPr>
            <w:r>
              <w:rPr>
                <w:rFonts w:ascii="Times New Roman" w:hAnsi="Times New Roman"/>
                <w:color w:val="000000"/>
                <w:kern w:val="0"/>
                <w:sz w:val="25"/>
                <w:szCs w:val="24"/>
              </w:rPr>
              <w:t>20,980,914.21</w:t>
            </w:r>
          </w:p>
        </w:tc>
        <w:tc>
          <w:tcPr>
            <w:tcW w:w="400" w:type="pct"/>
            <w:tcBorders>
              <w:top w:val="single" w:color="auto" w:sz="4" w:space="0"/>
              <w:left w:val="single" w:color="auto" w:sz="4" w:space="0"/>
              <w:bottom w:val="single" w:color="auto" w:sz="4" w:space="0"/>
              <w:right w:val="single" w:color="auto" w:sz="4" w:space="0"/>
            </w:tcBorders>
            <w:vAlign w:val="center"/>
          </w:tcPr>
          <w:p w14:paraId="6093213A">
            <w:pPr>
              <w:widowControl/>
              <w:snapToGrid w:val="0"/>
              <w:jc w:val="right"/>
              <w:rPr>
                <w:rFonts w:ascii="宋体" w:hAnsi="宋体"/>
                <w:color w:val="000000"/>
                <w:kern w:val="0"/>
                <w:sz w:val="25"/>
                <w:szCs w:val="24"/>
              </w:rPr>
            </w:pPr>
            <w:r>
              <w:rPr>
                <w:rFonts w:ascii="Times New Roman" w:hAnsi="Times New Roman"/>
                <w:color w:val="000000"/>
                <w:kern w:val="0"/>
                <w:sz w:val="25"/>
                <w:szCs w:val="24"/>
              </w:rPr>
              <w:t>8.87</w:t>
            </w:r>
          </w:p>
        </w:tc>
      </w:tr>
      <w:tr w14:paraId="799614C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CA930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4D433D8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23EA4B97">
            <w:pPr>
              <w:widowControl/>
              <w:snapToGrid w:val="0"/>
              <w:jc w:val="right"/>
              <w:rPr>
                <w:rFonts w:ascii="宋体" w:hAnsi="宋体"/>
                <w:color w:val="000000"/>
                <w:kern w:val="0"/>
                <w:sz w:val="25"/>
                <w:szCs w:val="24"/>
              </w:rPr>
            </w:pPr>
            <w:r>
              <w:rPr>
                <w:rFonts w:ascii="Times New Roman" w:hAnsi="Times New Roman"/>
                <w:color w:val="000000"/>
                <w:kern w:val="0"/>
                <w:sz w:val="25"/>
                <w:szCs w:val="24"/>
              </w:rPr>
              <w:t>10,723,947.98</w:t>
            </w:r>
          </w:p>
        </w:tc>
        <w:tc>
          <w:tcPr>
            <w:tcW w:w="400" w:type="pct"/>
            <w:tcBorders>
              <w:top w:val="single" w:color="auto" w:sz="4" w:space="0"/>
              <w:left w:val="single" w:color="auto" w:sz="4" w:space="0"/>
              <w:bottom w:val="single" w:color="auto" w:sz="4" w:space="0"/>
              <w:right w:val="single" w:color="auto" w:sz="4" w:space="0"/>
            </w:tcBorders>
            <w:vAlign w:val="center"/>
          </w:tcPr>
          <w:p w14:paraId="31B63CF9">
            <w:pPr>
              <w:widowControl/>
              <w:snapToGrid w:val="0"/>
              <w:jc w:val="right"/>
              <w:rPr>
                <w:rFonts w:ascii="宋体" w:hAnsi="宋体"/>
                <w:color w:val="000000"/>
                <w:kern w:val="0"/>
                <w:sz w:val="25"/>
                <w:szCs w:val="24"/>
              </w:rPr>
            </w:pPr>
            <w:r>
              <w:rPr>
                <w:rFonts w:ascii="Times New Roman" w:hAnsi="Times New Roman"/>
                <w:color w:val="000000"/>
                <w:kern w:val="0"/>
                <w:sz w:val="25"/>
                <w:szCs w:val="24"/>
              </w:rPr>
              <w:t>4.53</w:t>
            </w:r>
          </w:p>
        </w:tc>
      </w:tr>
      <w:tr w14:paraId="52FBBD4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383F6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3FB578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2E6CE2B5">
            <w:pPr>
              <w:widowControl/>
              <w:snapToGrid w:val="0"/>
              <w:jc w:val="right"/>
              <w:rPr>
                <w:rFonts w:ascii="宋体" w:hAnsi="宋体"/>
                <w:color w:val="000000"/>
                <w:kern w:val="0"/>
                <w:sz w:val="25"/>
                <w:szCs w:val="24"/>
              </w:rPr>
            </w:pPr>
            <w:r>
              <w:rPr>
                <w:rFonts w:ascii="Times New Roman" w:hAnsi="Times New Roman"/>
                <w:color w:val="000000"/>
                <w:kern w:val="0"/>
                <w:sz w:val="25"/>
                <w:szCs w:val="24"/>
              </w:rPr>
              <w:t>236,501,384.15</w:t>
            </w:r>
          </w:p>
        </w:tc>
        <w:tc>
          <w:tcPr>
            <w:tcW w:w="400" w:type="pct"/>
            <w:tcBorders>
              <w:top w:val="single" w:color="auto" w:sz="4" w:space="0"/>
              <w:left w:val="single" w:color="auto" w:sz="4" w:space="0"/>
              <w:bottom w:val="single" w:color="auto" w:sz="4" w:space="0"/>
              <w:right w:val="single" w:color="auto" w:sz="4" w:space="0"/>
            </w:tcBorders>
            <w:vAlign w:val="center"/>
          </w:tcPr>
          <w:p w14:paraId="60A38EC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3860BA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0D9D1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14:paraId="731FAF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777C9C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14:paraId="0FD328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C9B80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74CB4D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14:paraId="4B3636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7EC6D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5C162B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6D97A72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CFE5B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FC5C0F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3C2D4EF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2DE3730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76172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16710C3">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57217A5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9C1127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30D860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1880A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407210A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051C53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BD331F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C13C0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BF66B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C288F0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3AE9F761">
            <w:pPr>
              <w:widowControl/>
              <w:snapToGrid w:val="0"/>
              <w:jc w:val="right"/>
              <w:rPr>
                <w:rFonts w:ascii="宋体" w:hAnsi="宋体"/>
                <w:color w:val="000000"/>
                <w:kern w:val="0"/>
                <w:sz w:val="25"/>
                <w:szCs w:val="24"/>
              </w:rPr>
            </w:pPr>
            <w:r>
              <w:rPr>
                <w:rFonts w:ascii="Times New Roman" w:hAnsi="Times New Roman"/>
                <w:color w:val="000000"/>
                <w:kern w:val="0"/>
                <w:sz w:val="25"/>
                <w:szCs w:val="24"/>
              </w:rPr>
              <w:t>102,530,094.25</w:t>
            </w:r>
          </w:p>
        </w:tc>
        <w:tc>
          <w:tcPr>
            <w:tcW w:w="400" w:type="pct"/>
            <w:tcBorders>
              <w:top w:val="single" w:color="auto" w:sz="4" w:space="0"/>
              <w:left w:val="single" w:color="auto" w:sz="4" w:space="0"/>
              <w:bottom w:val="single" w:color="auto" w:sz="4" w:space="0"/>
              <w:right w:val="single" w:color="auto" w:sz="4" w:space="0"/>
            </w:tcBorders>
            <w:vAlign w:val="center"/>
          </w:tcPr>
          <w:p w14:paraId="2C0A6A31">
            <w:pPr>
              <w:widowControl/>
              <w:snapToGrid w:val="0"/>
              <w:jc w:val="right"/>
              <w:rPr>
                <w:rFonts w:ascii="宋体" w:hAnsi="宋体"/>
                <w:color w:val="000000"/>
                <w:kern w:val="0"/>
                <w:sz w:val="25"/>
                <w:szCs w:val="24"/>
              </w:rPr>
            </w:pPr>
            <w:r>
              <w:rPr>
                <w:rFonts w:ascii="Times New Roman" w:hAnsi="Times New Roman"/>
                <w:color w:val="000000"/>
                <w:kern w:val="0"/>
                <w:sz w:val="25"/>
                <w:szCs w:val="24"/>
              </w:rPr>
              <w:t>49.34</w:t>
            </w:r>
          </w:p>
        </w:tc>
      </w:tr>
      <w:tr w14:paraId="3A27B4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E4DAF8">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EE1D2D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12C3DA5A">
            <w:pPr>
              <w:widowControl/>
              <w:snapToGrid w:val="0"/>
              <w:jc w:val="right"/>
              <w:rPr>
                <w:rFonts w:ascii="宋体" w:hAnsi="宋体"/>
                <w:color w:val="000000"/>
                <w:kern w:val="0"/>
                <w:sz w:val="25"/>
                <w:szCs w:val="24"/>
              </w:rPr>
            </w:pPr>
            <w:r>
              <w:rPr>
                <w:rFonts w:ascii="Times New Roman" w:hAnsi="Times New Roman"/>
                <w:color w:val="000000"/>
                <w:kern w:val="0"/>
                <w:sz w:val="25"/>
                <w:szCs w:val="24"/>
              </w:rPr>
              <w:t>71,582,471.23</w:t>
            </w:r>
          </w:p>
        </w:tc>
        <w:tc>
          <w:tcPr>
            <w:tcW w:w="400" w:type="pct"/>
            <w:tcBorders>
              <w:top w:val="single" w:color="auto" w:sz="4" w:space="0"/>
              <w:left w:val="single" w:color="auto" w:sz="4" w:space="0"/>
              <w:bottom w:val="single" w:color="auto" w:sz="4" w:space="0"/>
              <w:right w:val="single" w:color="auto" w:sz="4" w:space="0"/>
            </w:tcBorders>
            <w:vAlign w:val="center"/>
          </w:tcPr>
          <w:p w14:paraId="768B58B7">
            <w:pPr>
              <w:widowControl/>
              <w:snapToGrid w:val="0"/>
              <w:jc w:val="right"/>
              <w:rPr>
                <w:rFonts w:ascii="宋体" w:hAnsi="宋体"/>
                <w:color w:val="000000"/>
                <w:kern w:val="0"/>
                <w:sz w:val="25"/>
                <w:szCs w:val="24"/>
              </w:rPr>
            </w:pPr>
            <w:r>
              <w:rPr>
                <w:rFonts w:ascii="Times New Roman" w:hAnsi="Times New Roman"/>
                <w:color w:val="000000"/>
                <w:kern w:val="0"/>
                <w:sz w:val="25"/>
                <w:szCs w:val="24"/>
              </w:rPr>
              <w:t>34.44</w:t>
            </w:r>
          </w:p>
        </w:tc>
      </w:tr>
      <w:tr w14:paraId="6CCEC0E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B14D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A4A3B1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0B0AE69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A8223D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AE6C10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D3A50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964215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6253071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680CD3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32C19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7D71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C773F43">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3B132257">
            <w:pPr>
              <w:widowControl/>
              <w:snapToGrid w:val="0"/>
              <w:jc w:val="right"/>
              <w:rPr>
                <w:rFonts w:ascii="宋体" w:hAnsi="宋体"/>
                <w:color w:val="000000"/>
                <w:kern w:val="0"/>
                <w:sz w:val="25"/>
                <w:szCs w:val="24"/>
              </w:rPr>
            </w:pPr>
            <w:r>
              <w:rPr>
                <w:rFonts w:ascii="Times New Roman" w:hAnsi="Times New Roman"/>
                <w:color w:val="000000"/>
                <w:kern w:val="0"/>
                <w:sz w:val="25"/>
                <w:szCs w:val="24"/>
              </w:rPr>
              <w:t>71,196,838.91</w:t>
            </w:r>
          </w:p>
        </w:tc>
        <w:tc>
          <w:tcPr>
            <w:tcW w:w="400" w:type="pct"/>
            <w:tcBorders>
              <w:top w:val="single" w:color="auto" w:sz="4" w:space="0"/>
              <w:left w:val="single" w:color="auto" w:sz="4" w:space="0"/>
              <w:bottom w:val="single" w:color="auto" w:sz="4" w:space="0"/>
              <w:right w:val="single" w:color="auto" w:sz="4" w:space="0"/>
            </w:tcBorders>
            <w:vAlign w:val="center"/>
          </w:tcPr>
          <w:p w14:paraId="218F3BF3">
            <w:pPr>
              <w:widowControl/>
              <w:snapToGrid w:val="0"/>
              <w:jc w:val="right"/>
              <w:rPr>
                <w:rFonts w:ascii="宋体" w:hAnsi="宋体"/>
                <w:color w:val="000000"/>
                <w:kern w:val="0"/>
                <w:sz w:val="25"/>
                <w:szCs w:val="24"/>
              </w:rPr>
            </w:pPr>
            <w:r>
              <w:rPr>
                <w:rFonts w:ascii="Times New Roman" w:hAnsi="Times New Roman"/>
                <w:color w:val="000000"/>
                <w:kern w:val="0"/>
                <w:sz w:val="25"/>
                <w:szCs w:val="24"/>
              </w:rPr>
              <w:t>34.26</w:t>
            </w:r>
          </w:p>
        </w:tc>
      </w:tr>
      <w:tr w14:paraId="4F35FA2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72334F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25E1618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6A93176E">
            <w:pPr>
              <w:widowControl/>
              <w:snapToGrid w:val="0"/>
              <w:jc w:val="right"/>
              <w:rPr>
                <w:rFonts w:ascii="宋体" w:hAnsi="宋体"/>
                <w:color w:val="000000"/>
                <w:kern w:val="0"/>
                <w:sz w:val="25"/>
                <w:szCs w:val="24"/>
              </w:rPr>
            </w:pPr>
            <w:r>
              <w:rPr>
                <w:rFonts w:ascii="Times New Roman" w:hAnsi="Times New Roman"/>
                <w:color w:val="000000"/>
                <w:kern w:val="0"/>
                <w:sz w:val="25"/>
                <w:szCs w:val="24"/>
              </w:rPr>
              <w:t>31,069,588.80</w:t>
            </w:r>
          </w:p>
        </w:tc>
        <w:tc>
          <w:tcPr>
            <w:tcW w:w="400" w:type="pct"/>
            <w:tcBorders>
              <w:top w:val="single" w:color="auto" w:sz="4" w:space="0"/>
              <w:left w:val="single" w:color="auto" w:sz="4" w:space="0"/>
              <w:bottom w:val="single" w:color="auto" w:sz="4" w:space="0"/>
              <w:right w:val="single" w:color="auto" w:sz="4" w:space="0"/>
            </w:tcBorders>
            <w:vAlign w:val="center"/>
          </w:tcPr>
          <w:p w14:paraId="041E6042">
            <w:pPr>
              <w:widowControl/>
              <w:snapToGrid w:val="0"/>
              <w:jc w:val="right"/>
              <w:rPr>
                <w:rFonts w:ascii="宋体" w:hAnsi="宋体"/>
                <w:color w:val="000000"/>
                <w:kern w:val="0"/>
                <w:sz w:val="25"/>
                <w:szCs w:val="24"/>
              </w:rPr>
            </w:pPr>
            <w:r>
              <w:rPr>
                <w:rFonts w:ascii="Times New Roman" w:hAnsi="Times New Roman"/>
                <w:color w:val="000000"/>
                <w:kern w:val="0"/>
                <w:sz w:val="25"/>
                <w:szCs w:val="24"/>
              </w:rPr>
              <w:t>14.95</w:t>
            </w:r>
          </w:p>
        </w:tc>
      </w:tr>
      <w:tr w14:paraId="53DBF4E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C70F3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4099975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5698F69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A8DF04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132A76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F9DB8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571B21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54556D5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29007B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2F99C2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FD86A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67F3B85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13BCCBB5">
            <w:pPr>
              <w:widowControl/>
              <w:snapToGrid w:val="0"/>
              <w:jc w:val="right"/>
              <w:rPr>
                <w:rFonts w:ascii="宋体" w:hAnsi="宋体"/>
                <w:color w:val="000000"/>
                <w:kern w:val="0"/>
                <w:sz w:val="25"/>
                <w:szCs w:val="24"/>
              </w:rPr>
            </w:pPr>
            <w:r>
              <w:rPr>
                <w:rFonts w:ascii="Times New Roman" w:hAnsi="Times New Roman"/>
                <w:color w:val="000000"/>
                <w:kern w:val="0"/>
                <w:sz w:val="25"/>
                <w:szCs w:val="24"/>
              </w:rPr>
              <w:t>204,796,521.96</w:t>
            </w:r>
          </w:p>
        </w:tc>
        <w:tc>
          <w:tcPr>
            <w:tcW w:w="400" w:type="pct"/>
            <w:tcBorders>
              <w:top w:val="single" w:color="auto" w:sz="4" w:space="0"/>
              <w:left w:val="single" w:color="auto" w:sz="4" w:space="0"/>
              <w:bottom w:val="single" w:color="auto" w:sz="4" w:space="0"/>
              <w:right w:val="single" w:color="auto" w:sz="4" w:space="0"/>
            </w:tcBorders>
            <w:vAlign w:val="center"/>
          </w:tcPr>
          <w:p w14:paraId="7D16FF4C">
            <w:pPr>
              <w:widowControl/>
              <w:snapToGrid w:val="0"/>
              <w:jc w:val="right"/>
              <w:rPr>
                <w:rFonts w:ascii="宋体" w:hAnsi="宋体"/>
                <w:color w:val="000000"/>
                <w:kern w:val="0"/>
                <w:sz w:val="25"/>
                <w:szCs w:val="24"/>
              </w:rPr>
            </w:pPr>
            <w:r>
              <w:rPr>
                <w:rFonts w:ascii="Times New Roman" w:hAnsi="Times New Roman"/>
                <w:color w:val="000000"/>
                <w:kern w:val="0"/>
                <w:sz w:val="25"/>
                <w:szCs w:val="24"/>
              </w:rPr>
              <w:t>98.55</w:t>
            </w:r>
          </w:p>
        </w:tc>
      </w:tr>
    </w:tbl>
    <w:p w14:paraId="7B6F33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6B37F2B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74B20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F9E09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AE840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7A4242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9DF9B6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C55636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795050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76D93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8945FE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210208</w:t>
            </w:r>
          </w:p>
        </w:tc>
        <w:tc>
          <w:tcPr>
            <w:tcW w:w="750" w:type="pct"/>
            <w:tcBorders>
              <w:top w:val="single" w:color="auto" w:sz="4" w:space="0"/>
              <w:left w:val="single" w:color="auto" w:sz="4" w:space="0"/>
              <w:bottom w:val="single" w:color="auto" w:sz="4" w:space="0"/>
              <w:right w:val="single" w:color="auto" w:sz="4" w:space="0"/>
            </w:tcBorders>
            <w:vAlign w:val="center"/>
          </w:tcPr>
          <w:p w14:paraId="1B8B89D4">
            <w:pPr>
              <w:widowControl/>
              <w:snapToGrid w:val="0"/>
              <w:jc w:val="center"/>
              <w:rPr>
                <w:rFonts w:ascii="宋体" w:hAnsi="宋体"/>
                <w:color w:val="000000"/>
                <w:kern w:val="0"/>
                <w:sz w:val="25"/>
                <w:szCs w:val="24"/>
              </w:rPr>
            </w:pPr>
            <w:r>
              <w:rPr>
                <w:rFonts w:ascii="Times New Roman" w:hAnsi="Times New Roman"/>
                <w:color w:val="000000"/>
                <w:kern w:val="0"/>
                <w:sz w:val="25"/>
                <w:szCs w:val="24"/>
              </w:rPr>
              <w:t>21国开08</w:t>
            </w:r>
          </w:p>
        </w:tc>
        <w:tc>
          <w:tcPr>
            <w:tcW w:w="750" w:type="pct"/>
            <w:tcBorders>
              <w:top w:val="single" w:color="auto" w:sz="4" w:space="0"/>
              <w:left w:val="single" w:color="auto" w:sz="4" w:space="0"/>
              <w:bottom w:val="single" w:color="auto" w:sz="4" w:space="0"/>
              <w:right w:val="single" w:color="auto" w:sz="4" w:space="0"/>
            </w:tcBorders>
            <w:vAlign w:val="center"/>
          </w:tcPr>
          <w:p w14:paraId="4941185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color="auto" w:sz="4" w:space="0"/>
              <w:left w:val="single" w:color="auto" w:sz="4" w:space="0"/>
              <w:bottom w:val="single" w:color="auto" w:sz="4" w:space="0"/>
              <w:right w:val="single" w:color="auto" w:sz="4" w:space="0"/>
            </w:tcBorders>
            <w:vAlign w:val="center"/>
          </w:tcPr>
          <w:p w14:paraId="52796EE7">
            <w:pPr>
              <w:widowControl/>
              <w:snapToGrid w:val="0"/>
              <w:jc w:val="right"/>
              <w:rPr>
                <w:rFonts w:ascii="宋体" w:hAnsi="宋体"/>
                <w:color w:val="000000"/>
                <w:kern w:val="0"/>
                <w:sz w:val="25"/>
                <w:szCs w:val="24"/>
              </w:rPr>
            </w:pPr>
            <w:r>
              <w:rPr>
                <w:rFonts w:ascii="Times New Roman" w:hAnsi="Times New Roman"/>
                <w:color w:val="000000"/>
                <w:kern w:val="0"/>
                <w:sz w:val="25"/>
                <w:szCs w:val="24"/>
              </w:rPr>
              <w:t>30,661,183.56</w:t>
            </w:r>
          </w:p>
        </w:tc>
        <w:tc>
          <w:tcPr>
            <w:tcW w:w="750" w:type="pct"/>
            <w:tcBorders>
              <w:top w:val="single" w:color="auto" w:sz="4" w:space="0"/>
              <w:left w:val="single" w:color="auto" w:sz="4" w:space="0"/>
              <w:bottom w:val="single" w:color="auto" w:sz="4" w:space="0"/>
              <w:right w:val="single" w:color="auto" w:sz="4" w:space="0"/>
            </w:tcBorders>
            <w:vAlign w:val="center"/>
          </w:tcPr>
          <w:p w14:paraId="61B5B171">
            <w:pPr>
              <w:widowControl/>
              <w:snapToGrid w:val="0"/>
              <w:jc w:val="right"/>
              <w:rPr>
                <w:rFonts w:ascii="宋体" w:hAnsi="宋体"/>
                <w:color w:val="000000"/>
                <w:kern w:val="0"/>
                <w:sz w:val="25"/>
                <w:szCs w:val="24"/>
              </w:rPr>
            </w:pPr>
            <w:r>
              <w:rPr>
                <w:rFonts w:ascii="Times New Roman" w:hAnsi="Times New Roman"/>
                <w:color w:val="000000"/>
                <w:kern w:val="0"/>
                <w:sz w:val="25"/>
                <w:szCs w:val="24"/>
              </w:rPr>
              <w:t>14.75</w:t>
            </w:r>
          </w:p>
        </w:tc>
      </w:tr>
      <w:tr w14:paraId="68BD5ED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0BC49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20249A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210305</w:t>
            </w:r>
          </w:p>
        </w:tc>
        <w:tc>
          <w:tcPr>
            <w:tcW w:w="750" w:type="pct"/>
            <w:tcBorders>
              <w:top w:val="single" w:color="auto" w:sz="4" w:space="0"/>
              <w:left w:val="single" w:color="auto" w:sz="4" w:space="0"/>
              <w:bottom w:val="single" w:color="auto" w:sz="4" w:space="0"/>
              <w:right w:val="single" w:color="auto" w:sz="4" w:space="0"/>
            </w:tcBorders>
            <w:vAlign w:val="center"/>
          </w:tcPr>
          <w:p w14:paraId="00FFF204">
            <w:pPr>
              <w:widowControl/>
              <w:snapToGrid w:val="0"/>
              <w:jc w:val="center"/>
              <w:rPr>
                <w:rFonts w:ascii="宋体" w:hAnsi="宋体"/>
                <w:color w:val="000000"/>
                <w:kern w:val="0"/>
                <w:sz w:val="25"/>
                <w:szCs w:val="24"/>
              </w:rPr>
            </w:pPr>
            <w:r>
              <w:rPr>
                <w:rFonts w:ascii="Times New Roman" w:hAnsi="Times New Roman"/>
                <w:color w:val="000000"/>
                <w:kern w:val="0"/>
                <w:sz w:val="25"/>
                <w:szCs w:val="24"/>
              </w:rPr>
              <w:t>21进出05</w:t>
            </w:r>
          </w:p>
        </w:tc>
        <w:tc>
          <w:tcPr>
            <w:tcW w:w="750" w:type="pct"/>
            <w:tcBorders>
              <w:top w:val="single" w:color="auto" w:sz="4" w:space="0"/>
              <w:left w:val="single" w:color="auto" w:sz="4" w:space="0"/>
              <w:bottom w:val="single" w:color="auto" w:sz="4" w:space="0"/>
              <w:right w:val="single" w:color="auto" w:sz="4" w:space="0"/>
            </w:tcBorders>
            <w:vAlign w:val="center"/>
          </w:tcPr>
          <w:p w14:paraId="17BFA768">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color="auto" w:sz="4" w:space="0"/>
              <w:left w:val="single" w:color="auto" w:sz="4" w:space="0"/>
              <w:bottom w:val="single" w:color="auto" w:sz="4" w:space="0"/>
              <w:right w:val="single" w:color="auto" w:sz="4" w:space="0"/>
            </w:tcBorders>
            <w:vAlign w:val="center"/>
          </w:tcPr>
          <w:p w14:paraId="2DFC83A5">
            <w:pPr>
              <w:widowControl/>
              <w:snapToGrid w:val="0"/>
              <w:jc w:val="right"/>
              <w:rPr>
                <w:rFonts w:ascii="宋体" w:hAnsi="宋体"/>
                <w:color w:val="000000"/>
                <w:kern w:val="0"/>
                <w:sz w:val="25"/>
                <w:szCs w:val="24"/>
              </w:rPr>
            </w:pPr>
            <w:r>
              <w:rPr>
                <w:rFonts w:ascii="Times New Roman" w:hAnsi="Times New Roman"/>
                <w:color w:val="000000"/>
                <w:kern w:val="0"/>
                <w:sz w:val="25"/>
                <w:szCs w:val="24"/>
              </w:rPr>
              <w:t>20,614,131.51</w:t>
            </w:r>
          </w:p>
        </w:tc>
        <w:tc>
          <w:tcPr>
            <w:tcW w:w="750" w:type="pct"/>
            <w:tcBorders>
              <w:top w:val="single" w:color="auto" w:sz="4" w:space="0"/>
              <w:left w:val="single" w:color="auto" w:sz="4" w:space="0"/>
              <w:bottom w:val="single" w:color="auto" w:sz="4" w:space="0"/>
              <w:right w:val="single" w:color="auto" w:sz="4" w:space="0"/>
            </w:tcBorders>
            <w:vAlign w:val="center"/>
          </w:tcPr>
          <w:p w14:paraId="13F9C390">
            <w:pPr>
              <w:widowControl/>
              <w:snapToGrid w:val="0"/>
              <w:jc w:val="right"/>
              <w:rPr>
                <w:rFonts w:ascii="宋体" w:hAnsi="宋体"/>
                <w:color w:val="000000"/>
                <w:kern w:val="0"/>
                <w:sz w:val="25"/>
                <w:szCs w:val="24"/>
              </w:rPr>
            </w:pPr>
            <w:r>
              <w:rPr>
                <w:rFonts w:ascii="Times New Roman" w:hAnsi="Times New Roman"/>
                <w:color w:val="000000"/>
                <w:kern w:val="0"/>
                <w:sz w:val="25"/>
                <w:szCs w:val="24"/>
              </w:rPr>
              <w:t>9.92</w:t>
            </w:r>
          </w:p>
        </w:tc>
      </w:tr>
      <w:tr w14:paraId="4F546E5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ED05A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29BF49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color="auto" w:sz="4" w:space="0"/>
              <w:left w:val="single" w:color="auto" w:sz="4" w:space="0"/>
              <w:bottom w:val="single" w:color="auto" w:sz="4" w:space="0"/>
              <w:right w:val="single" w:color="auto" w:sz="4" w:space="0"/>
            </w:tcBorders>
            <w:vAlign w:val="center"/>
          </w:tcPr>
          <w:p w14:paraId="3266658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25国开06</w:t>
            </w:r>
          </w:p>
        </w:tc>
        <w:tc>
          <w:tcPr>
            <w:tcW w:w="750" w:type="pct"/>
            <w:tcBorders>
              <w:top w:val="single" w:color="auto" w:sz="4" w:space="0"/>
              <w:left w:val="single" w:color="auto" w:sz="4" w:space="0"/>
              <w:bottom w:val="single" w:color="auto" w:sz="4" w:space="0"/>
              <w:right w:val="single" w:color="auto" w:sz="4" w:space="0"/>
            </w:tcBorders>
            <w:vAlign w:val="center"/>
          </w:tcPr>
          <w:p w14:paraId="5A81644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color="auto" w:sz="4" w:space="0"/>
              <w:left w:val="single" w:color="auto" w:sz="4" w:space="0"/>
              <w:bottom w:val="single" w:color="auto" w:sz="4" w:space="0"/>
              <w:right w:val="single" w:color="auto" w:sz="4" w:space="0"/>
            </w:tcBorders>
            <w:vAlign w:val="center"/>
          </w:tcPr>
          <w:p w14:paraId="460DB358">
            <w:pPr>
              <w:widowControl/>
              <w:snapToGrid w:val="0"/>
              <w:jc w:val="right"/>
              <w:rPr>
                <w:rFonts w:ascii="宋体" w:hAnsi="宋体"/>
                <w:color w:val="000000"/>
                <w:kern w:val="0"/>
                <w:sz w:val="25"/>
                <w:szCs w:val="24"/>
              </w:rPr>
            </w:pPr>
            <w:r>
              <w:rPr>
                <w:rFonts w:ascii="Times New Roman" w:hAnsi="Times New Roman"/>
                <w:color w:val="000000"/>
                <w:kern w:val="0"/>
                <w:sz w:val="25"/>
                <w:szCs w:val="24"/>
              </w:rPr>
              <w:t>20,307,156.16</w:t>
            </w:r>
          </w:p>
        </w:tc>
        <w:tc>
          <w:tcPr>
            <w:tcW w:w="750" w:type="pct"/>
            <w:tcBorders>
              <w:top w:val="single" w:color="auto" w:sz="4" w:space="0"/>
              <w:left w:val="single" w:color="auto" w:sz="4" w:space="0"/>
              <w:bottom w:val="single" w:color="auto" w:sz="4" w:space="0"/>
              <w:right w:val="single" w:color="auto" w:sz="4" w:space="0"/>
            </w:tcBorders>
            <w:vAlign w:val="center"/>
          </w:tcPr>
          <w:p w14:paraId="0E5B1241">
            <w:pPr>
              <w:widowControl/>
              <w:snapToGrid w:val="0"/>
              <w:jc w:val="right"/>
              <w:rPr>
                <w:rFonts w:ascii="宋体" w:hAnsi="宋体"/>
                <w:color w:val="000000"/>
                <w:kern w:val="0"/>
                <w:sz w:val="25"/>
                <w:szCs w:val="24"/>
              </w:rPr>
            </w:pPr>
            <w:r>
              <w:rPr>
                <w:rFonts w:ascii="Times New Roman" w:hAnsi="Times New Roman"/>
                <w:color w:val="000000"/>
                <w:kern w:val="0"/>
                <w:sz w:val="25"/>
                <w:szCs w:val="24"/>
              </w:rPr>
              <w:t>9.77</w:t>
            </w:r>
          </w:p>
        </w:tc>
      </w:tr>
      <w:tr w14:paraId="1EF197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72D49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791FB3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color="auto" w:sz="4" w:space="0"/>
              <w:left w:val="single" w:color="auto" w:sz="4" w:space="0"/>
              <w:bottom w:val="single" w:color="auto" w:sz="4" w:space="0"/>
              <w:right w:val="single" w:color="auto" w:sz="4" w:space="0"/>
            </w:tcBorders>
            <w:vAlign w:val="center"/>
          </w:tcPr>
          <w:p w14:paraId="607A890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24渤海银行二级资本债01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60B40B2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14:paraId="221BF337">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10,472,850.41</w:t>
            </w:r>
          </w:p>
        </w:tc>
        <w:tc>
          <w:tcPr>
            <w:tcW w:w="750" w:type="pct"/>
            <w:tcBorders>
              <w:top w:val="single" w:color="auto" w:sz="4" w:space="0"/>
              <w:left w:val="single" w:color="auto" w:sz="4" w:space="0"/>
              <w:bottom w:val="single" w:color="auto" w:sz="4" w:space="0"/>
              <w:right w:val="single" w:color="auto" w:sz="4" w:space="0"/>
            </w:tcBorders>
            <w:vAlign w:val="center"/>
          </w:tcPr>
          <w:p w14:paraId="6555C9E0">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14:paraId="629D0D5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D6635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7D4E1CF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color="auto" w:sz="4" w:space="0"/>
              <w:left w:val="single" w:color="auto" w:sz="4" w:space="0"/>
              <w:bottom w:val="single" w:color="auto" w:sz="4" w:space="0"/>
              <w:right w:val="single" w:color="auto" w:sz="4" w:space="0"/>
            </w:tcBorders>
            <w:vAlign w:val="center"/>
          </w:tcPr>
          <w:p w14:paraId="1F609E1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25民生银行二级资本债01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6E1DA21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14:paraId="0C49CF80">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10,306,638.36</w:t>
            </w:r>
          </w:p>
        </w:tc>
        <w:tc>
          <w:tcPr>
            <w:tcW w:w="750" w:type="pct"/>
            <w:tcBorders>
              <w:top w:val="single" w:color="auto" w:sz="4" w:space="0"/>
              <w:left w:val="single" w:color="auto" w:sz="4" w:space="0"/>
              <w:bottom w:val="single" w:color="auto" w:sz="4" w:space="0"/>
              <w:right w:val="single" w:color="auto" w:sz="4" w:space="0"/>
            </w:tcBorders>
            <w:vAlign w:val="center"/>
          </w:tcPr>
          <w:p w14:paraId="61A34240">
            <w:pPr>
              <w:widowControl/>
              <w:snapToGrid w:val="0"/>
              <w:jc w:val="right"/>
              <w:rPr>
                <w:rFonts w:ascii="宋体" w:hAnsi="宋体"/>
                <w:color w:val="000000"/>
                <w:kern w:val="0"/>
                <w:sz w:val="25"/>
                <w:szCs w:val="24"/>
              </w:rPr>
            </w:pPr>
            <w:r>
              <w:rPr>
                <w:rFonts w:ascii="Times New Roman" w:hAnsi="Times New Roman"/>
                <w:color w:val="000000"/>
                <w:kern w:val="0"/>
                <w:sz w:val="25"/>
                <w:szCs w:val="24"/>
              </w:rPr>
              <w:t>4.96</w:t>
            </w:r>
          </w:p>
        </w:tc>
      </w:tr>
    </w:tbl>
    <w:p w14:paraId="5C509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02A5ED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B461E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1A81E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00290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0C4C64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77254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14:paraId="5F4743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14:paraId="006CE5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DDCA8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14:paraId="60346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07DE0E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14:paraId="435402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F2D1F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14:paraId="053F0B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09941A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789D97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2026年03月05日,国家外汇管理局北京市分局公示京汇罚[2026]14号行政处罚决定书,给予中国进出口银行罚没共计221.24万元人民币的行政处罚。</w:t>
      </w:r>
    </w:p>
    <w:p w14:paraId="579C8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2025年12月31日,国家金融监督管理总局宁波监管局公示行政处罚决定书,给予中国民生银行股份有限公司220万元人民币的行政处罚。</w:t>
      </w:r>
    </w:p>
    <w:p w14:paraId="2B65D7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2025年10月31日,国家金融监督管理总局公示行政处罚决定书,给予中国民生银行股份有限公司5865万元人民币的行政处罚。</w:t>
      </w:r>
    </w:p>
    <w:p w14:paraId="501015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2025年09月30日,央行公示银罚决字[2025]66号行政处罚决定书,给予国家开发银行123万元人民币的行政处罚。</w:t>
      </w:r>
    </w:p>
    <w:p w14:paraId="43513F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2025年09月12日,金融监管总局公示行政处罚决定书,给予中国民生银行股份有限公司590万元人民币的行政处罚。</w:t>
      </w:r>
    </w:p>
    <w:p w14:paraId="47148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2025年09月12日,国家金融监督管理总局公示行政处罚决定书,给予中国进出口银行130万元人民币的行政处罚。</w:t>
      </w:r>
    </w:p>
    <w:p w14:paraId="2AB351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2025年07月25日,国家外汇管理局北京市分局公示京汇罚[2025]30号行政处罚决定书,给予国家开发银行罚没共计1394.42万元人民币的行政处罚。</w:t>
      </w:r>
    </w:p>
    <w:p w14:paraId="3B3DBA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2025年06月27日,国家金融监督管理总局公示行政处罚决定书,给予中国进出口银行1810万元人民币的行政处罚。</w:t>
      </w:r>
    </w:p>
    <w:p w14:paraId="2161EC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14:paraId="30F98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14:paraId="53DAA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14:paraId="58CE3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03FAB5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348FC02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29B8B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DB3D32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4CD80E0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52B8FF9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96AF0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0AA3DE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74CB6B37">
            <w:pPr>
              <w:widowControl/>
              <w:snapToGrid w:val="0"/>
              <w:jc w:val="right"/>
              <w:rPr>
                <w:rFonts w:ascii="宋体" w:hAnsi="宋体"/>
                <w:color w:val="000000"/>
                <w:kern w:val="0"/>
                <w:sz w:val="25"/>
                <w:szCs w:val="24"/>
              </w:rPr>
            </w:pPr>
            <w:r>
              <w:rPr>
                <w:rFonts w:ascii="Times New Roman" w:hAnsi="Times New Roman"/>
                <w:color w:val="000000"/>
                <w:kern w:val="0"/>
                <w:sz w:val="25"/>
                <w:szCs w:val="24"/>
              </w:rPr>
              <w:t>61,710.96</w:t>
            </w:r>
          </w:p>
        </w:tc>
      </w:tr>
      <w:tr w14:paraId="415518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0331C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96AA8F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3D20A4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10,622,024.75</w:t>
            </w:r>
          </w:p>
        </w:tc>
      </w:tr>
      <w:tr w14:paraId="40D0F3C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FDE33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31CA9F6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7B2291A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4BD978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11B8F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AD1148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29569B4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34E6DD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5BA046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69FD137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687EAA6F">
            <w:pPr>
              <w:widowControl/>
              <w:snapToGrid w:val="0"/>
              <w:jc w:val="right"/>
              <w:rPr>
                <w:rFonts w:ascii="宋体" w:hAnsi="宋体"/>
                <w:color w:val="000000"/>
                <w:kern w:val="0"/>
                <w:sz w:val="25"/>
                <w:szCs w:val="24"/>
              </w:rPr>
            </w:pPr>
            <w:r>
              <w:rPr>
                <w:rFonts w:ascii="Times New Roman" w:hAnsi="Times New Roman"/>
                <w:color w:val="000000"/>
                <w:kern w:val="0"/>
                <w:sz w:val="25"/>
                <w:szCs w:val="24"/>
              </w:rPr>
              <w:t>40,212.27</w:t>
            </w:r>
          </w:p>
        </w:tc>
      </w:tr>
      <w:tr w14:paraId="0CB7113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8E3066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162BE17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6ECF5C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72B41A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041C4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35047A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3D2327F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C8FDCB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57F37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5A88809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2A09214A">
            <w:pPr>
              <w:widowControl/>
              <w:snapToGrid w:val="0"/>
              <w:jc w:val="right"/>
              <w:rPr>
                <w:rFonts w:ascii="宋体" w:hAnsi="宋体"/>
                <w:color w:val="000000"/>
                <w:kern w:val="0"/>
                <w:sz w:val="25"/>
                <w:szCs w:val="24"/>
              </w:rPr>
            </w:pPr>
            <w:r>
              <w:rPr>
                <w:rFonts w:ascii="Times New Roman" w:hAnsi="Times New Roman"/>
                <w:color w:val="000000"/>
                <w:kern w:val="0"/>
                <w:sz w:val="25"/>
                <w:szCs w:val="24"/>
              </w:rPr>
              <w:t>10,723,947.98</w:t>
            </w:r>
          </w:p>
        </w:tc>
      </w:tr>
    </w:tbl>
    <w:p w14:paraId="68FA3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14:paraId="0B7C8EC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73FEBEC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ABFBDC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F754E0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463149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8548F2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561FF87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7AD52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6763F21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14:paraId="09924CD7">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14:paraId="38D2C214">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2,015,353.89</w:t>
            </w:r>
          </w:p>
        </w:tc>
        <w:tc>
          <w:tcPr>
            <w:tcW w:w="750" w:type="pct"/>
            <w:tcBorders>
              <w:top w:val="single" w:color="auto" w:sz="4" w:space="0"/>
              <w:left w:val="single" w:color="auto" w:sz="4" w:space="0"/>
              <w:bottom w:val="single" w:color="auto" w:sz="4" w:space="0"/>
              <w:right w:val="single" w:color="auto" w:sz="4" w:space="0"/>
            </w:tcBorders>
            <w:vAlign w:val="center"/>
          </w:tcPr>
          <w:p w14:paraId="0AA9F449">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14:paraId="7F4D9F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39DC9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E60B91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color="auto" w:sz="4" w:space="0"/>
              <w:left w:val="single" w:color="auto" w:sz="4" w:space="0"/>
              <w:bottom w:val="single" w:color="auto" w:sz="4" w:space="0"/>
              <w:right w:val="single" w:color="auto" w:sz="4" w:space="0"/>
            </w:tcBorders>
            <w:vAlign w:val="center"/>
          </w:tcPr>
          <w:p w14:paraId="61D913D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color="auto" w:sz="4" w:space="0"/>
              <w:left w:val="single" w:color="auto" w:sz="4" w:space="0"/>
              <w:bottom w:val="single" w:color="auto" w:sz="4" w:space="0"/>
              <w:right w:val="single" w:color="auto" w:sz="4" w:space="0"/>
            </w:tcBorders>
            <w:vAlign w:val="center"/>
          </w:tcPr>
          <w:p w14:paraId="62864A78">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1,910,866.78</w:t>
            </w:r>
          </w:p>
        </w:tc>
        <w:tc>
          <w:tcPr>
            <w:tcW w:w="750" w:type="pct"/>
            <w:tcBorders>
              <w:top w:val="single" w:color="auto" w:sz="4" w:space="0"/>
              <w:left w:val="single" w:color="auto" w:sz="4" w:space="0"/>
              <w:bottom w:val="single" w:color="auto" w:sz="4" w:space="0"/>
              <w:right w:val="single" w:color="auto" w:sz="4" w:space="0"/>
            </w:tcBorders>
            <w:vAlign w:val="center"/>
          </w:tcPr>
          <w:p w14:paraId="5B29B969">
            <w:pPr>
              <w:widowControl/>
              <w:snapToGrid w:val="0"/>
              <w:jc w:val="right"/>
              <w:rPr>
                <w:rFonts w:ascii="宋体" w:hAnsi="宋体"/>
                <w:color w:val="000000"/>
                <w:kern w:val="0"/>
                <w:sz w:val="25"/>
                <w:szCs w:val="24"/>
              </w:rPr>
            </w:pPr>
            <w:r>
              <w:rPr>
                <w:rFonts w:ascii="Times New Roman" w:hAnsi="Times New Roman"/>
                <w:color w:val="000000"/>
                <w:kern w:val="0"/>
                <w:sz w:val="25"/>
                <w:szCs w:val="24"/>
              </w:rPr>
              <w:t>0.92</w:t>
            </w:r>
          </w:p>
        </w:tc>
      </w:tr>
      <w:tr w14:paraId="62C9E5C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3436E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06CA8C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14:paraId="3CAF700B">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14:paraId="76048665">
            <w:pPr>
              <w:widowControl/>
              <w:snapToGrid w:val="0"/>
              <w:jc w:val="right"/>
              <w:rPr>
                <w:rFonts w:ascii="宋体" w:hAnsi="宋体"/>
                <w:color w:val="000000"/>
                <w:kern w:val="0"/>
                <w:sz w:val="25"/>
                <w:szCs w:val="24"/>
              </w:rPr>
            </w:pPr>
            <w:r>
              <w:rPr>
                <w:rFonts w:ascii="Times New Roman" w:hAnsi="Times New Roman"/>
                <w:color w:val="000000"/>
                <w:kern w:val="0"/>
                <w:sz w:val="25"/>
                <w:szCs w:val="24"/>
              </w:rPr>
              <w:t>1,627,787.03</w:t>
            </w:r>
          </w:p>
        </w:tc>
        <w:tc>
          <w:tcPr>
            <w:tcW w:w="750" w:type="pct"/>
            <w:tcBorders>
              <w:top w:val="single" w:color="auto" w:sz="4" w:space="0"/>
              <w:left w:val="single" w:color="auto" w:sz="4" w:space="0"/>
              <w:bottom w:val="single" w:color="auto" w:sz="4" w:space="0"/>
              <w:right w:val="single" w:color="auto" w:sz="4" w:space="0"/>
            </w:tcBorders>
            <w:vAlign w:val="center"/>
          </w:tcPr>
          <w:p w14:paraId="42D9C1D1">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14:paraId="7DA6C45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8F5C65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D846CA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14:paraId="1C31EC98">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14:paraId="1B275A8C">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1,533,433.91</w:t>
            </w:r>
          </w:p>
        </w:tc>
        <w:tc>
          <w:tcPr>
            <w:tcW w:w="750" w:type="pct"/>
            <w:tcBorders>
              <w:top w:val="single" w:color="auto" w:sz="4" w:space="0"/>
              <w:left w:val="single" w:color="auto" w:sz="4" w:space="0"/>
              <w:bottom w:val="single" w:color="auto" w:sz="4" w:space="0"/>
              <w:right w:val="single" w:color="auto" w:sz="4" w:space="0"/>
            </w:tcBorders>
            <w:vAlign w:val="center"/>
          </w:tcPr>
          <w:p w14:paraId="0D3125C0">
            <w:pPr>
              <w:widowControl/>
              <w:snapToGrid w:val="0"/>
              <w:jc w:val="right"/>
              <w:rPr>
                <w:rFonts w:ascii="宋体" w:hAnsi="宋体"/>
                <w:color w:val="000000"/>
                <w:kern w:val="0"/>
                <w:sz w:val="25"/>
                <w:szCs w:val="24"/>
              </w:rPr>
            </w:pPr>
            <w:r>
              <w:rPr>
                <w:rFonts w:ascii="Times New Roman" w:hAnsi="Times New Roman"/>
                <w:color w:val="000000"/>
                <w:kern w:val="0"/>
                <w:sz w:val="25"/>
                <w:szCs w:val="24"/>
              </w:rPr>
              <w:t>0.74</w:t>
            </w:r>
          </w:p>
        </w:tc>
      </w:tr>
      <w:tr w14:paraId="57DA758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4B069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75387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color="auto" w:sz="4" w:space="0"/>
              <w:left w:val="single" w:color="auto" w:sz="4" w:space="0"/>
              <w:bottom w:val="single" w:color="auto" w:sz="4" w:space="0"/>
              <w:right w:val="single" w:color="auto" w:sz="4" w:space="0"/>
            </w:tcBorders>
            <w:vAlign w:val="center"/>
          </w:tcPr>
          <w:p w14:paraId="5EC57FC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color="auto" w:sz="4" w:space="0"/>
              <w:left w:val="single" w:color="auto" w:sz="4" w:space="0"/>
              <w:bottom w:val="single" w:color="auto" w:sz="4" w:space="0"/>
              <w:right w:val="single" w:color="auto" w:sz="4" w:space="0"/>
            </w:tcBorders>
            <w:vAlign w:val="center"/>
          </w:tcPr>
          <w:p w14:paraId="31C38CD5">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1,174,540.24</w:t>
            </w:r>
          </w:p>
        </w:tc>
        <w:tc>
          <w:tcPr>
            <w:tcW w:w="750" w:type="pct"/>
            <w:tcBorders>
              <w:top w:val="single" w:color="auto" w:sz="4" w:space="0"/>
              <w:left w:val="single" w:color="auto" w:sz="4" w:space="0"/>
              <w:bottom w:val="single" w:color="auto" w:sz="4" w:space="0"/>
              <w:right w:val="single" w:color="auto" w:sz="4" w:space="0"/>
            </w:tcBorders>
            <w:vAlign w:val="center"/>
          </w:tcPr>
          <w:p w14:paraId="401A134A">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14:paraId="71933E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7089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36DDE1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110076</w:t>
            </w:r>
          </w:p>
        </w:tc>
        <w:tc>
          <w:tcPr>
            <w:tcW w:w="750" w:type="pct"/>
            <w:tcBorders>
              <w:top w:val="single" w:color="auto" w:sz="4" w:space="0"/>
              <w:left w:val="single" w:color="auto" w:sz="4" w:space="0"/>
              <w:bottom w:val="single" w:color="auto" w:sz="4" w:space="0"/>
              <w:right w:val="single" w:color="auto" w:sz="4" w:space="0"/>
            </w:tcBorders>
            <w:vAlign w:val="center"/>
          </w:tcPr>
          <w:p w14:paraId="4CD346F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华海转债</w:t>
            </w:r>
          </w:p>
        </w:tc>
        <w:tc>
          <w:tcPr>
            <w:tcW w:w="750" w:type="pct"/>
            <w:tcBorders>
              <w:top w:val="single" w:color="auto" w:sz="4" w:space="0"/>
              <w:left w:val="single" w:color="auto" w:sz="4" w:space="0"/>
              <w:bottom w:val="single" w:color="auto" w:sz="4" w:space="0"/>
              <w:right w:val="single" w:color="auto" w:sz="4" w:space="0"/>
            </w:tcBorders>
            <w:vAlign w:val="center"/>
          </w:tcPr>
          <w:p w14:paraId="20495B31">
            <w:pPr>
              <w:widowControl/>
              <w:snapToGrid w:val="0"/>
              <w:jc w:val="right"/>
              <w:rPr>
                <w:rFonts w:ascii="宋体" w:hAnsi="宋体"/>
                <w:color w:val="000000"/>
                <w:kern w:val="0"/>
                <w:sz w:val="25"/>
                <w:szCs w:val="24"/>
              </w:rPr>
            </w:pPr>
            <w:r>
              <w:rPr>
                <w:rFonts w:ascii="Times New Roman" w:hAnsi="Times New Roman"/>
                <w:color w:val="000000"/>
                <w:kern w:val="0"/>
                <w:sz w:val="25"/>
                <w:szCs w:val="24"/>
              </w:rPr>
              <w:t>1,168,938.21</w:t>
            </w:r>
          </w:p>
        </w:tc>
        <w:tc>
          <w:tcPr>
            <w:tcW w:w="750" w:type="pct"/>
            <w:tcBorders>
              <w:top w:val="single" w:color="auto" w:sz="4" w:space="0"/>
              <w:left w:val="single" w:color="auto" w:sz="4" w:space="0"/>
              <w:bottom w:val="single" w:color="auto" w:sz="4" w:space="0"/>
              <w:right w:val="single" w:color="auto" w:sz="4" w:space="0"/>
            </w:tcBorders>
            <w:vAlign w:val="center"/>
          </w:tcPr>
          <w:p w14:paraId="1DF72F98">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14:paraId="676F4D2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901FF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296733E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14:paraId="10EE1C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14:paraId="38274E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1,067,416.89</w:t>
            </w:r>
          </w:p>
        </w:tc>
        <w:tc>
          <w:tcPr>
            <w:tcW w:w="750" w:type="pct"/>
            <w:tcBorders>
              <w:top w:val="single" w:color="auto" w:sz="4" w:space="0"/>
              <w:left w:val="single" w:color="auto" w:sz="4" w:space="0"/>
              <w:bottom w:val="single" w:color="auto" w:sz="4" w:space="0"/>
              <w:right w:val="single" w:color="auto" w:sz="4" w:space="0"/>
            </w:tcBorders>
            <w:vAlign w:val="center"/>
          </w:tcPr>
          <w:p w14:paraId="65FF3989">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14:paraId="47AD3DB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5ABDD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B391AC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color="auto" w:sz="4" w:space="0"/>
              <w:left w:val="single" w:color="auto" w:sz="4" w:space="0"/>
              <w:bottom w:val="single" w:color="auto" w:sz="4" w:space="0"/>
              <w:right w:val="single" w:color="auto" w:sz="4" w:space="0"/>
            </w:tcBorders>
            <w:vAlign w:val="center"/>
          </w:tcPr>
          <w:p w14:paraId="0C8090E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color="auto" w:sz="4" w:space="0"/>
              <w:left w:val="single" w:color="auto" w:sz="4" w:space="0"/>
              <w:bottom w:val="single" w:color="auto" w:sz="4" w:space="0"/>
              <w:right w:val="single" w:color="auto" w:sz="4" w:space="0"/>
            </w:tcBorders>
            <w:vAlign w:val="center"/>
          </w:tcPr>
          <w:p w14:paraId="448B4D40">
            <w:pPr>
              <w:widowControl/>
              <w:snapToGrid w:val="0"/>
              <w:jc w:val="right"/>
              <w:rPr>
                <w:rFonts w:ascii="宋体" w:hAnsi="宋体"/>
                <w:color w:val="000000"/>
                <w:kern w:val="0"/>
                <w:sz w:val="25"/>
                <w:szCs w:val="24"/>
              </w:rPr>
            </w:pPr>
            <w:r>
              <w:rPr>
                <w:rFonts w:ascii="Times New Roman" w:hAnsi="Times New Roman"/>
                <w:color w:val="000000"/>
                <w:kern w:val="0"/>
                <w:sz w:val="25"/>
                <w:szCs w:val="24"/>
              </w:rPr>
              <w:t>1,053,925.20</w:t>
            </w:r>
          </w:p>
        </w:tc>
        <w:tc>
          <w:tcPr>
            <w:tcW w:w="750" w:type="pct"/>
            <w:tcBorders>
              <w:top w:val="single" w:color="auto" w:sz="4" w:space="0"/>
              <w:left w:val="single" w:color="auto" w:sz="4" w:space="0"/>
              <w:bottom w:val="single" w:color="auto" w:sz="4" w:space="0"/>
              <w:right w:val="single" w:color="auto" w:sz="4" w:space="0"/>
            </w:tcBorders>
            <w:vAlign w:val="center"/>
          </w:tcPr>
          <w:p w14:paraId="74F6EBE4">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14:paraId="0B0CCAD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94EC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753D97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color="auto" w:sz="4" w:space="0"/>
              <w:left w:val="single" w:color="auto" w:sz="4" w:space="0"/>
              <w:bottom w:val="single" w:color="auto" w:sz="4" w:space="0"/>
              <w:right w:val="single" w:color="auto" w:sz="4" w:space="0"/>
            </w:tcBorders>
            <w:vAlign w:val="center"/>
          </w:tcPr>
          <w:p w14:paraId="694B668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color="auto" w:sz="4" w:space="0"/>
              <w:left w:val="single" w:color="auto" w:sz="4" w:space="0"/>
              <w:bottom w:val="single" w:color="auto" w:sz="4" w:space="0"/>
              <w:right w:val="single" w:color="auto" w:sz="4" w:space="0"/>
            </w:tcBorders>
            <w:vAlign w:val="center"/>
          </w:tcPr>
          <w:p w14:paraId="7BC21043">
            <w:pPr>
              <w:widowControl/>
              <w:snapToGrid w:val="0"/>
              <w:jc w:val="right"/>
              <w:rPr>
                <w:rFonts w:ascii="宋体" w:hAnsi="宋体"/>
                <w:color w:val="000000"/>
                <w:kern w:val="0"/>
                <w:sz w:val="25"/>
                <w:szCs w:val="24"/>
              </w:rPr>
            </w:pPr>
            <w:r>
              <w:rPr>
                <w:rFonts w:ascii="Times New Roman" w:hAnsi="Times New Roman"/>
                <w:color w:val="000000"/>
                <w:kern w:val="0"/>
                <w:sz w:val="25"/>
                <w:szCs w:val="24"/>
              </w:rPr>
              <w:t>1,026,200.80</w:t>
            </w:r>
          </w:p>
        </w:tc>
        <w:tc>
          <w:tcPr>
            <w:tcW w:w="750" w:type="pct"/>
            <w:tcBorders>
              <w:top w:val="single" w:color="auto" w:sz="4" w:space="0"/>
              <w:left w:val="single" w:color="auto" w:sz="4" w:space="0"/>
              <w:bottom w:val="single" w:color="auto" w:sz="4" w:space="0"/>
              <w:right w:val="single" w:color="auto" w:sz="4" w:space="0"/>
            </w:tcBorders>
            <w:vAlign w:val="center"/>
          </w:tcPr>
          <w:p w14:paraId="7839101D">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14:paraId="2A1F10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AA68C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4D6369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14:paraId="1EDECC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14:paraId="634AE075">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1,020,933.45</w:t>
            </w:r>
          </w:p>
        </w:tc>
        <w:tc>
          <w:tcPr>
            <w:tcW w:w="750" w:type="pct"/>
            <w:tcBorders>
              <w:top w:val="single" w:color="auto" w:sz="4" w:space="0"/>
              <w:left w:val="single" w:color="auto" w:sz="4" w:space="0"/>
              <w:bottom w:val="single" w:color="auto" w:sz="4" w:space="0"/>
              <w:right w:val="single" w:color="auto" w:sz="4" w:space="0"/>
            </w:tcBorders>
            <w:vAlign w:val="center"/>
          </w:tcPr>
          <w:p w14:paraId="1C824D1D">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14:paraId="7C4DC1B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D8CB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45C984B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14:paraId="795D4AB9">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14:paraId="70FF9579">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1,017,085.65</w:t>
            </w:r>
          </w:p>
        </w:tc>
        <w:tc>
          <w:tcPr>
            <w:tcW w:w="750" w:type="pct"/>
            <w:tcBorders>
              <w:top w:val="single" w:color="auto" w:sz="4" w:space="0"/>
              <w:left w:val="single" w:color="auto" w:sz="4" w:space="0"/>
              <w:bottom w:val="single" w:color="auto" w:sz="4" w:space="0"/>
              <w:right w:val="single" w:color="auto" w:sz="4" w:space="0"/>
            </w:tcBorders>
            <w:vAlign w:val="center"/>
          </w:tcPr>
          <w:p w14:paraId="6499C765">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14:paraId="502038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3EA909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36DAC57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color="auto" w:sz="4" w:space="0"/>
              <w:left w:val="single" w:color="auto" w:sz="4" w:space="0"/>
              <w:bottom w:val="single" w:color="auto" w:sz="4" w:space="0"/>
              <w:right w:val="single" w:color="auto" w:sz="4" w:space="0"/>
            </w:tcBorders>
            <w:vAlign w:val="center"/>
          </w:tcPr>
          <w:p w14:paraId="07FBD913">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color="auto" w:sz="4" w:space="0"/>
              <w:left w:val="single" w:color="auto" w:sz="4" w:space="0"/>
              <w:bottom w:val="single" w:color="auto" w:sz="4" w:space="0"/>
              <w:right w:val="single" w:color="auto" w:sz="4" w:space="0"/>
            </w:tcBorders>
            <w:vAlign w:val="center"/>
          </w:tcPr>
          <w:p w14:paraId="2272DEDD">
            <w:pPr>
              <w:widowControl/>
              <w:snapToGrid w:val="0"/>
              <w:jc w:val="right"/>
              <w:rPr>
                <w:rFonts w:ascii="宋体" w:hAnsi="宋体"/>
                <w:color w:val="000000"/>
                <w:kern w:val="0"/>
                <w:sz w:val="25"/>
                <w:szCs w:val="24"/>
              </w:rPr>
            </w:pPr>
            <w:r>
              <w:rPr>
                <w:rFonts w:ascii="Times New Roman" w:hAnsi="Times New Roman"/>
                <w:color w:val="000000"/>
                <w:kern w:val="0"/>
                <w:sz w:val="25"/>
                <w:szCs w:val="24"/>
              </w:rPr>
              <w:t>992,779.59</w:t>
            </w:r>
          </w:p>
        </w:tc>
        <w:tc>
          <w:tcPr>
            <w:tcW w:w="750" w:type="pct"/>
            <w:tcBorders>
              <w:top w:val="single" w:color="auto" w:sz="4" w:space="0"/>
              <w:left w:val="single" w:color="auto" w:sz="4" w:space="0"/>
              <w:bottom w:val="single" w:color="auto" w:sz="4" w:space="0"/>
              <w:right w:val="single" w:color="auto" w:sz="4" w:space="0"/>
            </w:tcBorders>
            <w:vAlign w:val="center"/>
          </w:tcPr>
          <w:p w14:paraId="7300024B">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14:paraId="450B31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E351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619BC9D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color="auto" w:sz="4" w:space="0"/>
              <w:left w:val="single" w:color="auto" w:sz="4" w:space="0"/>
              <w:bottom w:val="single" w:color="auto" w:sz="4" w:space="0"/>
              <w:right w:val="single" w:color="auto" w:sz="4" w:space="0"/>
            </w:tcBorders>
            <w:vAlign w:val="center"/>
          </w:tcPr>
          <w:p w14:paraId="62CA358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color="auto" w:sz="4" w:space="0"/>
              <w:left w:val="single" w:color="auto" w:sz="4" w:space="0"/>
              <w:bottom w:val="single" w:color="auto" w:sz="4" w:space="0"/>
              <w:right w:val="single" w:color="auto" w:sz="4" w:space="0"/>
            </w:tcBorders>
            <w:vAlign w:val="center"/>
          </w:tcPr>
          <w:p w14:paraId="43E1C691">
            <w:pPr>
              <w:widowControl/>
              <w:snapToGrid w:val="0"/>
              <w:jc w:val="right"/>
              <w:rPr>
                <w:rFonts w:ascii="宋体" w:hAnsi="宋体"/>
                <w:color w:val="000000"/>
                <w:kern w:val="0"/>
                <w:sz w:val="25"/>
                <w:szCs w:val="24"/>
              </w:rPr>
            </w:pPr>
            <w:r>
              <w:rPr>
                <w:rFonts w:ascii="Times New Roman" w:hAnsi="Times New Roman"/>
                <w:color w:val="000000"/>
                <w:kern w:val="0"/>
                <w:sz w:val="25"/>
                <w:szCs w:val="24"/>
              </w:rPr>
              <w:t>968,444.44</w:t>
            </w:r>
          </w:p>
        </w:tc>
        <w:tc>
          <w:tcPr>
            <w:tcW w:w="750" w:type="pct"/>
            <w:tcBorders>
              <w:top w:val="single" w:color="auto" w:sz="4" w:space="0"/>
              <w:left w:val="single" w:color="auto" w:sz="4" w:space="0"/>
              <w:bottom w:val="single" w:color="auto" w:sz="4" w:space="0"/>
              <w:right w:val="single" w:color="auto" w:sz="4" w:space="0"/>
            </w:tcBorders>
            <w:vAlign w:val="center"/>
          </w:tcPr>
          <w:p w14:paraId="764C03E2">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14:paraId="233C23B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0E972B0">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09A7AC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color="auto" w:sz="4" w:space="0"/>
              <w:left w:val="single" w:color="auto" w:sz="4" w:space="0"/>
              <w:bottom w:val="single" w:color="auto" w:sz="4" w:space="0"/>
              <w:right w:val="single" w:color="auto" w:sz="4" w:space="0"/>
            </w:tcBorders>
            <w:vAlign w:val="center"/>
          </w:tcPr>
          <w:p w14:paraId="299E2F02">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鹤21转债</w:t>
            </w:r>
          </w:p>
        </w:tc>
        <w:tc>
          <w:tcPr>
            <w:tcW w:w="750" w:type="pct"/>
            <w:tcBorders>
              <w:top w:val="single" w:color="auto" w:sz="4" w:space="0"/>
              <w:left w:val="single" w:color="auto" w:sz="4" w:space="0"/>
              <w:bottom w:val="single" w:color="auto" w:sz="4" w:space="0"/>
              <w:right w:val="single" w:color="auto" w:sz="4" w:space="0"/>
            </w:tcBorders>
            <w:vAlign w:val="center"/>
          </w:tcPr>
          <w:p w14:paraId="6876F944">
            <w:pPr>
              <w:widowControl/>
              <w:snapToGrid w:val="0"/>
              <w:jc w:val="right"/>
              <w:rPr>
                <w:rFonts w:ascii="宋体" w:hAnsi="宋体"/>
                <w:color w:val="000000"/>
                <w:kern w:val="0"/>
                <w:sz w:val="25"/>
                <w:szCs w:val="24"/>
              </w:rPr>
            </w:pPr>
            <w:r>
              <w:rPr>
                <w:rFonts w:ascii="Times New Roman" w:hAnsi="Times New Roman"/>
                <w:color w:val="000000"/>
                <w:kern w:val="0"/>
                <w:sz w:val="25"/>
                <w:szCs w:val="24"/>
              </w:rPr>
              <w:t>883,845.87</w:t>
            </w:r>
          </w:p>
        </w:tc>
        <w:tc>
          <w:tcPr>
            <w:tcW w:w="750" w:type="pct"/>
            <w:tcBorders>
              <w:top w:val="single" w:color="auto" w:sz="4" w:space="0"/>
              <w:left w:val="single" w:color="auto" w:sz="4" w:space="0"/>
              <w:bottom w:val="single" w:color="auto" w:sz="4" w:space="0"/>
              <w:right w:val="single" w:color="auto" w:sz="4" w:space="0"/>
            </w:tcBorders>
            <w:vAlign w:val="center"/>
          </w:tcPr>
          <w:p w14:paraId="6DD42B2D">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14:paraId="0536CB2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B4C4B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3081DD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color="auto" w:sz="4" w:space="0"/>
              <w:left w:val="single" w:color="auto" w:sz="4" w:space="0"/>
              <w:bottom w:val="single" w:color="auto" w:sz="4" w:space="0"/>
              <w:right w:val="single" w:color="auto" w:sz="4" w:space="0"/>
            </w:tcBorders>
            <w:vAlign w:val="center"/>
          </w:tcPr>
          <w:p w14:paraId="539EE3C8">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color="auto" w:sz="4" w:space="0"/>
              <w:left w:val="single" w:color="auto" w:sz="4" w:space="0"/>
              <w:bottom w:val="single" w:color="auto" w:sz="4" w:space="0"/>
              <w:right w:val="single" w:color="auto" w:sz="4" w:space="0"/>
            </w:tcBorders>
            <w:vAlign w:val="center"/>
          </w:tcPr>
          <w:p w14:paraId="1BEDE72A">
            <w:pPr>
              <w:widowControl/>
              <w:snapToGrid w:val="0"/>
              <w:jc w:val="right"/>
              <w:rPr>
                <w:rFonts w:ascii="宋体" w:hAnsi="宋体"/>
                <w:color w:val="000000"/>
                <w:kern w:val="0"/>
                <w:sz w:val="25"/>
                <w:szCs w:val="24"/>
              </w:rPr>
            </w:pPr>
            <w:r>
              <w:rPr>
                <w:rFonts w:ascii="Times New Roman" w:hAnsi="Times New Roman"/>
                <w:color w:val="000000"/>
                <w:kern w:val="0"/>
                <w:sz w:val="25"/>
                <w:szCs w:val="24"/>
              </w:rPr>
              <w:t>854,704.02</w:t>
            </w:r>
          </w:p>
        </w:tc>
        <w:tc>
          <w:tcPr>
            <w:tcW w:w="750" w:type="pct"/>
            <w:tcBorders>
              <w:top w:val="single" w:color="auto" w:sz="4" w:space="0"/>
              <w:left w:val="single" w:color="auto" w:sz="4" w:space="0"/>
              <w:bottom w:val="single" w:color="auto" w:sz="4" w:space="0"/>
              <w:right w:val="single" w:color="auto" w:sz="4" w:space="0"/>
            </w:tcBorders>
            <w:vAlign w:val="center"/>
          </w:tcPr>
          <w:p w14:paraId="2677C70E">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14:paraId="6142A4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AEF87C">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0419DDC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color="auto" w:sz="4" w:space="0"/>
              <w:left w:val="single" w:color="auto" w:sz="4" w:space="0"/>
              <w:bottom w:val="single" w:color="auto" w:sz="4" w:space="0"/>
              <w:right w:val="single" w:color="auto" w:sz="4" w:space="0"/>
            </w:tcBorders>
            <w:vAlign w:val="center"/>
          </w:tcPr>
          <w:p w14:paraId="0AE9519D">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color="auto" w:sz="4" w:space="0"/>
              <w:left w:val="single" w:color="auto" w:sz="4" w:space="0"/>
              <w:bottom w:val="single" w:color="auto" w:sz="4" w:space="0"/>
              <w:right w:val="single" w:color="auto" w:sz="4" w:space="0"/>
            </w:tcBorders>
            <w:vAlign w:val="center"/>
          </w:tcPr>
          <w:p w14:paraId="09CA8426">
            <w:pPr>
              <w:widowControl/>
              <w:snapToGrid w:val="0"/>
              <w:jc w:val="right"/>
              <w:rPr>
                <w:rFonts w:ascii="宋体" w:hAnsi="宋体"/>
                <w:color w:val="000000"/>
                <w:kern w:val="0"/>
                <w:sz w:val="25"/>
                <w:szCs w:val="24"/>
              </w:rPr>
            </w:pPr>
            <w:r>
              <w:rPr>
                <w:rFonts w:ascii="Times New Roman" w:hAnsi="Times New Roman"/>
                <w:color w:val="000000"/>
                <w:kern w:val="0"/>
                <w:sz w:val="25"/>
                <w:szCs w:val="24"/>
              </w:rPr>
              <w:t>847,751.28</w:t>
            </w:r>
          </w:p>
        </w:tc>
        <w:tc>
          <w:tcPr>
            <w:tcW w:w="750" w:type="pct"/>
            <w:tcBorders>
              <w:top w:val="single" w:color="auto" w:sz="4" w:space="0"/>
              <w:left w:val="single" w:color="auto" w:sz="4" w:space="0"/>
              <w:bottom w:val="single" w:color="auto" w:sz="4" w:space="0"/>
              <w:right w:val="single" w:color="auto" w:sz="4" w:space="0"/>
            </w:tcBorders>
            <w:vAlign w:val="center"/>
          </w:tcPr>
          <w:p w14:paraId="246E6BF1">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14:paraId="22A4E4C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3BB192">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4901EF8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color="auto" w:sz="4" w:space="0"/>
              <w:left w:val="single" w:color="auto" w:sz="4" w:space="0"/>
              <w:bottom w:val="single" w:color="auto" w:sz="4" w:space="0"/>
              <w:right w:val="single" w:color="auto" w:sz="4" w:space="0"/>
            </w:tcBorders>
            <w:vAlign w:val="center"/>
          </w:tcPr>
          <w:p w14:paraId="4C5DE8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color="auto" w:sz="4" w:space="0"/>
              <w:left w:val="single" w:color="auto" w:sz="4" w:space="0"/>
              <w:bottom w:val="single" w:color="auto" w:sz="4" w:space="0"/>
              <w:right w:val="single" w:color="auto" w:sz="4" w:space="0"/>
            </w:tcBorders>
            <w:vAlign w:val="center"/>
          </w:tcPr>
          <w:p w14:paraId="39E6C9FF">
            <w:pPr>
              <w:widowControl/>
              <w:snapToGrid w:val="0"/>
              <w:jc w:val="right"/>
              <w:rPr>
                <w:rFonts w:ascii="宋体" w:hAnsi="宋体"/>
                <w:color w:val="000000"/>
                <w:kern w:val="0"/>
                <w:sz w:val="25"/>
                <w:szCs w:val="24"/>
              </w:rPr>
            </w:pPr>
            <w:r>
              <w:rPr>
                <w:rFonts w:ascii="Times New Roman" w:hAnsi="Times New Roman"/>
                <w:color w:val="000000"/>
                <w:kern w:val="0"/>
                <w:sz w:val="25"/>
                <w:szCs w:val="24"/>
              </w:rPr>
              <w:t>796,170.84</w:t>
            </w:r>
          </w:p>
        </w:tc>
        <w:tc>
          <w:tcPr>
            <w:tcW w:w="750" w:type="pct"/>
            <w:tcBorders>
              <w:top w:val="single" w:color="auto" w:sz="4" w:space="0"/>
              <w:left w:val="single" w:color="auto" w:sz="4" w:space="0"/>
              <w:bottom w:val="single" w:color="auto" w:sz="4" w:space="0"/>
              <w:right w:val="single" w:color="auto" w:sz="4" w:space="0"/>
            </w:tcBorders>
            <w:vAlign w:val="center"/>
          </w:tcPr>
          <w:p w14:paraId="63D84EA1">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14:paraId="04ED7A2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357931">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1E7857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123183</w:t>
            </w:r>
          </w:p>
        </w:tc>
        <w:tc>
          <w:tcPr>
            <w:tcW w:w="750" w:type="pct"/>
            <w:tcBorders>
              <w:top w:val="single" w:color="auto" w:sz="4" w:space="0"/>
              <w:left w:val="single" w:color="auto" w:sz="4" w:space="0"/>
              <w:bottom w:val="single" w:color="auto" w:sz="4" w:space="0"/>
              <w:right w:val="single" w:color="auto" w:sz="4" w:space="0"/>
            </w:tcBorders>
            <w:vAlign w:val="center"/>
          </w:tcPr>
          <w:p w14:paraId="6B5401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海顺转债</w:t>
            </w:r>
          </w:p>
        </w:tc>
        <w:tc>
          <w:tcPr>
            <w:tcW w:w="750" w:type="pct"/>
            <w:tcBorders>
              <w:top w:val="single" w:color="auto" w:sz="4" w:space="0"/>
              <w:left w:val="single" w:color="auto" w:sz="4" w:space="0"/>
              <w:bottom w:val="single" w:color="auto" w:sz="4" w:space="0"/>
              <w:right w:val="single" w:color="auto" w:sz="4" w:space="0"/>
            </w:tcBorders>
            <w:vAlign w:val="center"/>
          </w:tcPr>
          <w:p w14:paraId="2C1AACF8">
            <w:pPr>
              <w:widowControl/>
              <w:snapToGrid w:val="0"/>
              <w:jc w:val="right"/>
              <w:rPr>
                <w:rFonts w:ascii="宋体" w:hAnsi="宋体"/>
                <w:color w:val="000000"/>
                <w:kern w:val="0"/>
                <w:sz w:val="25"/>
                <w:szCs w:val="24"/>
              </w:rPr>
            </w:pPr>
            <w:r>
              <w:rPr>
                <w:rFonts w:ascii="Times New Roman" w:hAnsi="Times New Roman"/>
                <w:color w:val="000000"/>
                <w:kern w:val="0"/>
                <w:sz w:val="25"/>
                <w:szCs w:val="24"/>
              </w:rPr>
              <w:t>702,141.82</w:t>
            </w:r>
          </w:p>
        </w:tc>
        <w:tc>
          <w:tcPr>
            <w:tcW w:w="750" w:type="pct"/>
            <w:tcBorders>
              <w:top w:val="single" w:color="auto" w:sz="4" w:space="0"/>
              <w:left w:val="single" w:color="auto" w:sz="4" w:space="0"/>
              <w:bottom w:val="single" w:color="auto" w:sz="4" w:space="0"/>
              <w:right w:val="single" w:color="auto" w:sz="4" w:space="0"/>
            </w:tcBorders>
            <w:vAlign w:val="center"/>
          </w:tcPr>
          <w:p w14:paraId="36B57A6A">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14:paraId="0925C73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DD3AF5">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0BA616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14:paraId="2263058C">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14:paraId="1C467805">
            <w:pPr>
              <w:widowControl/>
              <w:snapToGrid w:val="0"/>
              <w:jc w:val="right"/>
              <w:rPr>
                <w:rFonts w:ascii="宋体" w:hAnsi="宋体"/>
                <w:color w:val="000000"/>
                <w:kern w:val="0"/>
                <w:sz w:val="25"/>
                <w:szCs w:val="24"/>
              </w:rPr>
            </w:pPr>
            <w:r>
              <w:rPr>
                <w:rFonts w:ascii="Times New Roman" w:hAnsi="Times New Roman"/>
                <w:color w:val="000000"/>
                <w:kern w:val="0"/>
                <w:sz w:val="25"/>
                <w:szCs w:val="24"/>
              </w:rPr>
              <w:t>692,143.89</w:t>
            </w:r>
          </w:p>
        </w:tc>
        <w:tc>
          <w:tcPr>
            <w:tcW w:w="750" w:type="pct"/>
            <w:tcBorders>
              <w:top w:val="single" w:color="auto" w:sz="4" w:space="0"/>
              <w:left w:val="single" w:color="auto" w:sz="4" w:space="0"/>
              <w:bottom w:val="single" w:color="auto" w:sz="4" w:space="0"/>
              <w:right w:val="single" w:color="auto" w:sz="4" w:space="0"/>
            </w:tcBorders>
            <w:vAlign w:val="center"/>
          </w:tcPr>
          <w:p w14:paraId="2DA13E84">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031AC8F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BEAF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738A06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14:paraId="4E6387D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14:paraId="78D5769A">
            <w:pPr>
              <w:widowControl/>
              <w:snapToGrid w:val="0"/>
              <w:jc w:val="right"/>
              <w:rPr>
                <w:rFonts w:ascii="宋体" w:hAnsi="宋体"/>
                <w:color w:val="000000"/>
                <w:kern w:val="0"/>
                <w:sz w:val="25"/>
                <w:szCs w:val="24"/>
              </w:rPr>
            </w:pPr>
            <w:r>
              <w:rPr>
                <w:rFonts w:ascii="Times New Roman" w:hAnsi="Times New Roman"/>
                <w:color w:val="000000"/>
                <w:kern w:val="0"/>
                <w:sz w:val="25"/>
                <w:szCs w:val="24"/>
              </w:rPr>
              <w:t>689,355.08</w:t>
            </w:r>
          </w:p>
        </w:tc>
        <w:tc>
          <w:tcPr>
            <w:tcW w:w="750" w:type="pct"/>
            <w:tcBorders>
              <w:top w:val="single" w:color="auto" w:sz="4" w:space="0"/>
              <w:left w:val="single" w:color="auto" w:sz="4" w:space="0"/>
              <w:bottom w:val="single" w:color="auto" w:sz="4" w:space="0"/>
              <w:right w:val="single" w:color="auto" w:sz="4" w:space="0"/>
            </w:tcBorders>
            <w:vAlign w:val="center"/>
          </w:tcPr>
          <w:p w14:paraId="13173374">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268E4F3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50565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0EF736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color="auto" w:sz="4" w:space="0"/>
              <w:left w:val="single" w:color="auto" w:sz="4" w:space="0"/>
              <w:bottom w:val="single" w:color="auto" w:sz="4" w:space="0"/>
              <w:right w:val="single" w:color="auto" w:sz="4" w:space="0"/>
            </w:tcBorders>
            <w:vAlign w:val="center"/>
          </w:tcPr>
          <w:p w14:paraId="17EEDAC7">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color="auto" w:sz="4" w:space="0"/>
              <w:left w:val="single" w:color="auto" w:sz="4" w:space="0"/>
              <w:bottom w:val="single" w:color="auto" w:sz="4" w:space="0"/>
              <w:right w:val="single" w:color="auto" w:sz="4" w:space="0"/>
            </w:tcBorders>
            <w:vAlign w:val="center"/>
          </w:tcPr>
          <w:p w14:paraId="19E2DE82">
            <w:pPr>
              <w:widowControl/>
              <w:snapToGrid w:val="0"/>
              <w:jc w:val="right"/>
              <w:rPr>
                <w:rFonts w:ascii="宋体" w:hAnsi="宋体"/>
                <w:color w:val="000000"/>
                <w:kern w:val="0"/>
                <w:sz w:val="25"/>
                <w:szCs w:val="24"/>
              </w:rPr>
            </w:pPr>
            <w:r>
              <w:rPr>
                <w:rFonts w:ascii="Times New Roman" w:hAnsi="Times New Roman"/>
                <w:color w:val="000000"/>
                <w:kern w:val="0"/>
                <w:sz w:val="25"/>
                <w:szCs w:val="24"/>
              </w:rPr>
              <w:t>652,697.52</w:t>
            </w:r>
          </w:p>
        </w:tc>
        <w:tc>
          <w:tcPr>
            <w:tcW w:w="750" w:type="pct"/>
            <w:tcBorders>
              <w:top w:val="single" w:color="auto" w:sz="4" w:space="0"/>
              <w:left w:val="single" w:color="auto" w:sz="4" w:space="0"/>
              <w:bottom w:val="single" w:color="auto" w:sz="4" w:space="0"/>
              <w:right w:val="single" w:color="auto" w:sz="4" w:space="0"/>
            </w:tcBorders>
            <w:vAlign w:val="center"/>
          </w:tcPr>
          <w:p w14:paraId="7F79EC6E">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2250C2F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BE977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314249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color="auto" w:sz="4" w:space="0"/>
              <w:left w:val="single" w:color="auto" w:sz="4" w:space="0"/>
              <w:bottom w:val="single" w:color="auto" w:sz="4" w:space="0"/>
              <w:right w:val="single" w:color="auto" w:sz="4" w:space="0"/>
            </w:tcBorders>
            <w:vAlign w:val="center"/>
          </w:tcPr>
          <w:p w14:paraId="55FA88E4">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color="auto" w:sz="4" w:space="0"/>
              <w:left w:val="single" w:color="auto" w:sz="4" w:space="0"/>
              <w:bottom w:val="single" w:color="auto" w:sz="4" w:space="0"/>
              <w:right w:val="single" w:color="auto" w:sz="4" w:space="0"/>
            </w:tcBorders>
            <w:vAlign w:val="center"/>
          </w:tcPr>
          <w:p w14:paraId="4B747FA9">
            <w:pPr>
              <w:widowControl/>
              <w:snapToGrid w:val="0"/>
              <w:jc w:val="right"/>
              <w:rPr>
                <w:rFonts w:ascii="宋体" w:hAnsi="宋体"/>
                <w:color w:val="000000"/>
                <w:kern w:val="0"/>
                <w:sz w:val="25"/>
                <w:szCs w:val="24"/>
              </w:rPr>
            </w:pPr>
            <w:r>
              <w:rPr>
                <w:rFonts w:ascii="Times New Roman" w:hAnsi="Times New Roman"/>
                <w:color w:val="000000"/>
                <w:kern w:val="0"/>
                <w:sz w:val="25"/>
                <w:szCs w:val="24"/>
              </w:rPr>
              <w:t>646,529.14</w:t>
            </w:r>
          </w:p>
        </w:tc>
        <w:tc>
          <w:tcPr>
            <w:tcW w:w="750" w:type="pct"/>
            <w:tcBorders>
              <w:top w:val="single" w:color="auto" w:sz="4" w:space="0"/>
              <w:left w:val="single" w:color="auto" w:sz="4" w:space="0"/>
              <w:bottom w:val="single" w:color="auto" w:sz="4" w:space="0"/>
              <w:right w:val="single" w:color="auto" w:sz="4" w:space="0"/>
            </w:tcBorders>
            <w:vAlign w:val="center"/>
          </w:tcPr>
          <w:p w14:paraId="34E50A20">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30A381F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99C2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711657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color="auto" w:sz="4" w:space="0"/>
              <w:left w:val="single" w:color="auto" w:sz="4" w:space="0"/>
              <w:bottom w:val="single" w:color="auto" w:sz="4" w:space="0"/>
              <w:right w:val="single" w:color="auto" w:sz="4" w:space="0"/>
            </w:tcBorders>
            <w:vAlign w:val="center"/>
          </w:tcPr>
          <w:p w14:paraId="6FA678C9">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color="auto" w:sz="4" w:space="0"/>
              <w:left w:val="single" w:color="auto" w:sz="4" w:space="0"/>
              <w:bottom w:val="single" w:color="auto" w:sz="4" w:space="0"/>
              <w:right w:val="single" w:color="auto" w:sz="4" w:space="0"/>
            </w:tcBorders>
            <w:vAlign w:val="center"/>
          </w:tcPr>
          <w:p w14:paraId="6C4C85F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607,916.82</w:t>
            </w:r>
          </w:p>
        </w:tc>
        <w:tc>
          <w:tcPr>
            <w:tcW w:w="750" w:type="pct"/>
            <w:tcBorders>
              <w:top w:val="single" w:color="auto" w:sz="4" w:space="0"/>
              <w:left w:val="single" w:color="auto" w:sz="4" w:space="0"/>
              <w:bottom w:val="single" w:color="auto" w:sz="4" w:space="0"/>
              <w:right w:val="single" w:color="auto" w:sz="4" w:space="0"/>
            </w:tcBorders>
            <w:vAlign w:val="center"/>
          </w:tcPr>
          <w:p w14:paraId="610CABE1">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14:paraId="3BAA24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15BEA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6DE32C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color="auto" w:sz="4" w:space="0"/>
              <w:left w:val="single" w:color="auto" w:sz="4" w:space="0"/>
              <w:bottom w:val="single" w:color="auto" w:sz="4" w:space="0"/>
              <w:right w:val="single" w:color="auto" w:sz="4" w:space="0"/>
            </w:tcBorders>
            <w:vAlign w:val="center"/>
          </w:tcPr>
          <w:p w14:paraId="481512EB">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欧22转债</w:t>
            </w:r>
          </w:p>
        </w:tc>
        <w:tc>
          <w:tcPr>
            <w:tcW w:w="750" w:type="pct"/>
            <w:tcBorders>
              <w:top w:val="single" w:color="auto" w:sz="4" w:space="0"/>
              <w:left w:val="single" w:color="auto" w:sz="4" w:space="0"/>
              <w:bottom w:val="single" w:color="auto" w:sz="4" w:space="0"/>
              <w:right w:val="single" w:color="auto" w:sz="4" w:space="0"/>
            </w:tcBorders>
            <w:vAlign w:val="center"/>
          </w:tcPr>
          <w:p w14:paraId="6E927B6D">
            <w:pPr>
              <w:widowControl/>
              <w:snapToGrid w:val="0"/>
              <w:jc w:val="right"/>
              <w:rPr>
                <w:rFonts w:ascii="宋体" w:hAnsi="宋体"/>
                <w:color w:val="000000"/>
                <w:kern w:val="0"/>
                <w:sz w:val="25"/>
                <w:szCs w:val="24"/>
              </w:rPr>
            </w:pPr>
            <w:r>
              <w:rPr>
                <w:rFonts w:ascii="Times New Roman" w:hAnsi="Times New Roman"/>
                <w:color w:val="000000"/>
                <w:kern w:val="0"/>
                <w:sz w:val="25"/>
                <w:szCs w:val="24"/>
              </w:rPr>
              <w:t>600,160.46</w:t>
            </w:r>
          </w:p>
        </w:tc>
        <w:tc>
          <w:tcPr>
            <w:tcW w:w="750" w:type="pct"/>
            <w:tcBorders>
              <w:top w:val="single" w:color="auto" w:sz="4" w:space="0"/>
              <w:left w:val="single" w:color="auto" w:sz="4" w:space="0"/>
              <w:bottom w:val="single" w:color="auto" w:sz="4" w:space="0"/>
              <w:right w:val="single" w:color="auto" w:sz="4" w:space="0"/>
            </w:tcBorders>
            <w:vAlign w:val="center"/>
          </w:tcPr>
          <w:p w14:paraId="38273FEA">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14:paraId="0B7B0C7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E29E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0C31E81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color="auto" w:sz="4" w:space="0"/>
              <w:left w:val="single" w:color="auto" w:sz="4" w:space="0"/>
              <w:bottom w:val="single" w:color="auto" w:sz="4" w:space="0"/>
              <w:right w:val="single" w:color="auto" w:sz="4" w:space="0"/>
            </w:tcBorders>
            <w:vAlign w:val="center"/>
          </w:tcPr>
          <w:p w14:paraId="4AA60056">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color="auto" w:sz="4" w:space="0"/>
              <w:left w:val="single" w:color="auto" w:sz="4" w:space="0"/>
              <w:bottom w:val="single" w:color="auto" w:sz="4" w:space="0"/>
              <w:right w:val="single" w:color="auto" w:sz="4" w:space="0"/>
            </w:tcBorders>
            <w:vAlign w:val="center"/>
          </w:tcPr>
          <w:p w14:paraId="2C8A38D4">
            <w:pPr>
              <w:widowControl/>
              <w:snapToGrid w:val="0"/>
              <w:jc w:val="right"/>
              <w:rPr>
                <w:rFonts w:ascii="宋体" w:hAnsi="宋体"/>
                <w:color w:val="000000"/>
                <w:kern w:val="0"/>
                <w:sz w:val="25"/>
                <w:szCs w:val="24"/>
              </w:rPr>
            </w:pPr>
            <w:r>
              <w:rPr>
                <w:rFonts w:ascii="Times New Roman" w:hAnsi="Times New Roman"/>
                <w:color w:val="000000"/>
                <w:kern w:val="0"/>
                <w:sz w:val="25"/>
                <w:szCs w:val="24"/>
              </w:rPr>
              <w:t>572,780.18</w:t>
            </w:r>
          </w:p>
        </w:tc>
        <w:tc>
          <w:tcPr>
            <w:tcW w:w="750" w:type="pct"/>
            <w:tcBorders>
              <w:top w:val="single" w:color="auto" w:sz="4" w:space="0"/>
              <w:left w:val="single" w:color="auto" w:sz="4" w:space="0"/>
              <w:bottom w:val="single" w:color="auto" w:sz="4" w:space="0"/>
              <w:right w:val="single" w:color="auto" w:sz="4" w:space="0"/>
            </w:tcBorders>
            <w:vAlign w:val="center"/>
          </w:tcPr>
          <w:p w14:paraId="0AA2AFC8">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14:paraId="4BC4C1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16C1B0">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050A5D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110097</w:t>
            </w:r>
          </w:p>
        </w:tc>
        <w:tc>
          <w:tcPr>
            <w:tcW w:w="750" w:type="pct"/>
            <w:tcBorders>
              <w:top w:val="single" w:color="auto" w:sz="4" w:space="0"/>
              <w:left w:val="single" w:color="auto" w:sz="4" w:space="0"/>
              <w:bottom w:val="single" w:color="auto" w:sz="4" w:space="0"/>
              <w:right w:val="single" w:color="auto" w:sz="4" w:space="0"/>
            </w:tcBorders>
            <w:vAlign w:val="center"/>
          </w:tcPr>
          <w:p w14:paraId="1ABEA7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天润转债</w:t>
            </w:r>
          </w:p>
        </w:tc>
        <w:tc>
          <w:tcPr>
            <w:tcW w:w="750" w:type="pct"/>
            <w:tcBorders>
              <w:top w:val="single" w:color="auto" w:sz="4" w:space="0"/>
              <w:left w:val="single" w:color="auto" w:sz="4" w:space="0"/>
              <w:bottom w:val="single" w:color="auto" w:sz="4" w:space="0"/>
              <w:right w:val="single" w:color="auto" w:sz="4" w:space="0"/>
            </w:tcBorders>
            <w:vAlign w:val="center"/>
          </w:tcPr>
          <w:p w14:paraId="5DE06287">
            <w:pPr>
              <w:widowControl/>
              <w:snapToGrid w:val="0"/>
              <w:jc w:val="right"/>
              <w:rPr>
                <w:rFonts w:ascii="宋体" w:hAnsi="宋体"/>
                <w:color w:val="000000"/>
                <w:kern w:val="0"/>
                <w:sz w:val="25"/>
                <w:szCs w:val="24"/>
              </w:rPr>
            </w:pPr>
            <w:r>
              <w:rPr>
                <w:rFonts w:ascii="Times New Roman" w:hAnsi="Times New Roman"/>
                <w:color w:val="000000"/>
                <w:kern w:val="0"/>
                <w:sz w:val="25"/>
                <w:szCs w:val="24"/>
              </w:rPr>
              <w:t>567,279.27</w:t>
            </w:r>
          </w:p>
        </w:tc>
        <w:tc>
          <w:tcPr>
            <w:tcW w:w="750" w:type="pct"/>
            <w:tcBorders>
              <w:top w:val="single" w:color="auto" w:sz="4" w:space="0"/>
              <w:left w:val="single" w:color="auto" w:sz="4" w:space="0"/>
              <w:bottom w:val="single" w:color="auto" w:sz="4" w:space="0"/>
              <w:right w:val="single" w:color="auto" w:sz="4" w:space="0"/>
            </w:tcBorders>
            <w:vAlign w:val="center"/>
          </w:tcPr>
          <w:p w14:paraId="06673622">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14:paraId="2850E6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675A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61C0141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color="auto" w:sz="4" w:space="0"/>
              <w:left w:val="single" w:color="auto" w:sz="4" w:space="0"/>
              <w:bottom w:val="single" w:color="auto" w:sz="4" w:space="0"/>
              <w:right w:val="single" w:color="auto" w:sz="4" w:space="0"/>
            </w:tcBorders>
            <w:vAlign w:val="center"/>
          </w:tcPr>
          <w:p w14:paraId="345B67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color="auto" w:sz="4" w:space="0"/>
              <w:left w:val="single" w:color="auto" w:sz="4" w:space="0"/>
              <w:bottom w:val="single" w:color="auto" w:sz="4" w:space="0"/>
              <w:right w:val="single" w:color="auto" w:sz="4" w:space="0"/>
            </w:tcBorders>
            <w:vAlign w:val="center"/>
          </w:tcPr>
          <w:p w14:paraId="377A0615">
            <w:pPr>
              <w:widowControl/>
              <w:snapToGrid w:val="0"/>
              <w:jc w:val="right"/>
              <w:rPr>
                <w:rFonts w:ascii="宋体" w:hAnsi="宋体"/>
                <w:color w:val="000000"/>
                <w:kern w:val="0"/>
                <w:sz w:val="25"/>
                <w:szCs w:val="24"/>
              </w:rPr>
            </w:pPr>
            <w:r>
              <w:rPr>
                <w:rFonts w:ascii="Times New Roman" w:hAnsi="Times New Roman"/>
                <w:color w:val="000000"/>
                <w:kern w:val="0"/>
                <w:sz w:val="25"/>
                <w:szCs w:val="24"/>
              </w:rPr>
              <w:t>563,046.73</w:t>
            </w:r>
          </w:p>
        </w:tc>
        <w:tc>
          <w:tcPr>
            <w:tcW w:w="750" w:type="pct"/>
            <w:tcBorders>
              <w:top w:val="single" w:color="auto" w:sz="4" w:space="0"/>
              <w:left w:val="single" w:color="auto" w:sz="4" w:space="0"/>
              <w:bottom w:val="single" w:color="auto" w:sz="4" w:space="0"/>
              <w:right w:val="single" w:color="auto" w:sz="4" w:space="0"/>
            </w:tcBorders>
            <w:vAlign w:val="center"/>
          </w:tcPr>
          <w:p w14:paraId="315A06DF">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14:paraId="02DCC32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531C94">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71C820A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14:paraId="2AFAD3F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14:paraId="297ECE68">
            <w:pPr>
              <w:widowControl/>
              <w:snapToGrid w:val="0"/>
              <w:jc w:val="right"/>
              <w:rPr>
                <w:rFonts w:ascii="宋体" w:hAnsi="宋体"/>
                <w:color w:val="000000"/>
                <w:kern w:val="0"/>
                <w:sz w:val="25"/>
                <w:szCs w:val="24"/>
              </w:rPr>
            </w:pPr>
            <w:r>
              <w:rPr>
                <w:rFonts w:ascii="Times New Roman" w:hAnsi="Times New Roman"/>
                <w:color w:val="000000"/>
                <w:kern w:val="0"/>
                <w:sz w:val="25"/>
                <w:szCs w:val="24"/>
              </w:rPr>
              <w:t>552,667.84</w:t>
            </w:r>
          </w:p>
        </w:tc>
        <w:tc>
          <w:tcPr>
            <w:tcW w:w="750" w:type="pct"/>
            <w:tcBorders>
              <w:top w:val="single" w:color="auto" w:sz="4" w:space="0"/>
              <w:left w:val="single" w:color="auto" w:sz="4" w:space="0"/>
              <w:bottom w:val="single" w:color="auto" w:sz="4" w:space="0"/>
              <w:right w:val="single" w:color="auto" w:sz="4" w:space="0"/>
            </w:tcBorders>
            <w:vAlign w:val="center"/>
          </w:tcPr>
          <w:p w14:paraId="1ABD5BEE">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14:paraId="2F1C90E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72EE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5A4C406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color="auto" w:sz="4" w:space="0"/>
              <w:left w:val="single" w:color="auto" w:sz="4" w:space="0"/>
              <w:bottom w:val="single" w:color="auto" w:sz="4" w:space="0"/>
              <w:right w:val="single" w:color="auto" w:sz="4" w:space="0"/>
            </w:tcBorders>
            <w:vAlign w:val="center"/>
          </w:tcPr>
          <w:p w14:paraId="5907413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color="auto" w:sz="4" w:space="0"/>
              <w:left w:val="single" w:color="auto" w:sz="4" w:space="0"/>
              <w:bottom w:val="single" w:color="auto" w:sz="4" w:space="0"/>
              <w:right w:val="single" w:color="auto" w:sz="4" w:space="0"/>
            </w:tcBorders>
            <w:vAlign w:val="center"/>
          </w:tcPr>
          <w:p w14:paraId="610075BB">
            <w:pPr>
              <w:widowControl/>
              <w:snapToGrid w:val="0"/>
              <w:jc w:val="right"/>
              <w:rPr>
                <w:rFonts w:ascii="宋体" w:hAnsi="宋体"/>
                <w:color w:val="000000"/>
                <w:kern w:val="0"/>
                <w:sz w:val="25"/>
                <w:szCs w:val="24"/>
              </w:rPr>
            </w:pPr>
            <w:r>
              <w:rPr>
                <w:rFonts w:ascii="Times New Roman" w:hAnsi="Times New Roman"/>
                <w:color w:val="000000"/>
                <w:kern w:val="0"/>
                <w:sz w:val="25"/>
                <w:szCs w:val="24"/>
              </w:rPr>
              <w:t>437,135.77</w:t>
            </w:r>
          </w:p>
        </w:tc>
        <w:tc>
          <w:tcPr>
            <w:tcW w:w="750" w:type="pct"/>
            <w:tcBorders>
              <w:top w:val="single" w:color="auto" w:sz="4" w:space="0"/>
              <w:left w:val="single" w:color="auto" w:sz="4" w:space="0"/>
              <w:bottom w:val="single" w:color="auto" w:sz="4" w:space="0"/>
              <w:right w:val="single" w:color="auto" w:sz="4" w:space="0"/>
            </w:tcBorders>
            <w:vAlign w:val="center"/>
          </w:tcPr>
          <w:p w14:paraId="00ACD8E3">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14:paraId="4E47530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1D02A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546B65B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14:paraId="3D00E5D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14:paraId="14AB8BCB">
            <w:pPr>
              <w:widowControl/>
              <w:snapToGrid w:val="0"/>
              <w:jc w:val="right"/>
              <w:rPr>
                <w:rFonts w:ascii="宋体" w:hAnsi="宋体"/>
                <w:color w:val="000000"/>
                <w:kern w:val="0"/>
                <w:sz w:val="25"/>
                <w:szCs w:val="24"/>
              </w:rPr>
            </w:pPr>
            <w:r>
              <w:rPr>
                <w:rFonts w:ascii="Times New Roman" w:hAnsi="Times New Roman"/>
                <w:color w:val="000000"/>
                <w:kern w:val="0"/>
                <w:sz w:val="25"/>
                <w:szCs w:val="24"/>
              </w:rPr>
              <w:t>433,056.25</w:t>
            </w:r>
          </w:p>
        </w:tc>
        <w:tc>
          <w:tcPr>
            <w:tcW w:w="750" w:type="pct"/>
            <w:tcBorders>
              <w:top w:val="single" w:color="auto" w:sz="4" w:space="0"/>
              <w:left w:val="single" w:color="auto" w:sz="4" w:space="0"/>
              <w:bottom w:val="single" w:color="auto" w:sz="4" w:space="0"/>
              <w:right w:val="single" w:color="auto" w:sz="4" w:space="0"/>
            </w:tcBorders>
            <w:vAlign w:val="center"/>
          </w:tcPr>
          <w:p w14:paraId="4B6CA1BB">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14:paraId="0F96AE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F6569E">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797B6A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14:paraId="3EC3F0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14:paraId="48063BC9">
            <w:pPr>
              <w:widowControl/>
              <w:snapToGrid w:val="0"/>
              <w:jc w:val="right"/>
              <w:rPr>
                <w:rFonts w:ascii="宋体" w:hAnsi="宋体"/>
                <w:color w:val="000000"/>
                <w:kern w:val="0"/>
                <w:sz w:val="25"/>
                <w:szCs w:val="24"/>
              </w:rPr>
            </w:pPr>
            <w:r>
              <w:rPr>
                <w:rFonts w:ascii="Times New Roman" w:hAnsi="Times New Roman"/>
                <w:color w:val="000000"/>
                <w:kern w:val="0"/>
                <w:sz w:val="25"/>
                <w:szCs w:val="24"/>
              </w:rPr>
              <w:t>423,202.80</w:t>
            </w:r>
          </w:p>
        </w:tc>
        <w:tc>
          <w:tcPr>
            <w:tcW w:w="750" w:type="pct"/>
            <w:tcBorders>
              <w:top w:val="single" w:color="auto" w:sz="4" w:space="0"/>
              <w:left w:val="single" w:color="auto" w:sz="4" w:space="0"/>
              <w:bottom w:val="single" w:color="auto" w:sz="4" w:space="0"/>
              <w:right w:val="single" w:color="auto" w:sz="4" w:space="0"/>
            </w:tcBorders>
            <w:vAlign w:val="center"/>
          </w:tcPr>
          <w:p w14:paraId="2FA1D309">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14:paraId="09C281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4C2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14:paraId="259C6B5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14:paraId="06F47B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14:paraId="3F806FEB">
            <w:pPr>
              <w:widowControl/>
              <w:snapToGrid w:val="0"/>
              <w:jc w:val="right"/>
              <w:rPr>
                <w:rFonts w:ascii="宋体" w:hAnsi="宋体"/>
                <w:color w:val="000000"/>
                <w:kern w:val="0"/>
                <w:sz w:val="25"/>
                <w:szCs w:val="24"/>
              </w:rPr>
            </w:pPr>
            <w:r>
              <w:rPr>
                <w:rFonts w:ascii="Times New Roman" w:hAnsi="Times New Roman"/>
                <w:color w:val="000000"/>
                <w:kern w:val="0"/>
                <w:sz w:val="25"/>
                <w:szCs w:val="24"/>
              </w:rPr>
              <w:t>354,860.30</w:t>
            </w:r>
          </w:p>
        </w:tc>
        <w:tc>
          <w:tcPr>
            <w:tcW w:w="750" w:type="pct"/>
            <w:tcBorders>
              <w:top w:val="single" w:color="auto" w:sz="4" w:space="0"/>
              <w:left w:val="single" w:color="auto" w:sz="4" w:space="0"/>
              <w:bottom w:val="single" w:color="auto" w:sz="4" w:space="0"/>
              <w:right w:val="single" w:color="auto" w:sz="4" w:space="0"/>
            </w:tcBorders>
            <w:vAlign w:val="center"/>
          </w:tcPr>
          <w:p w14:paraId="6128262C">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03287B4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9CDD6F">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14:paraId="4459FF6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color="auto" w:sz="4" w:space="0"/>
              <w:left w:val="single" w:color="auto" w:sz="4" w:space="0"/>
              <w:bottom w:val="single" w:color="auto" w:sz="4" w:space="0"/>
              <w:right w:val="single" w:color="auto" w:sz="4" w:space="0"/>
            </w:tcBorders>
            <w:vAlign w:val="center"/>
          </w:tcPr>
          <w:p w14:paraId="2E00D95B">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color="auto" w:sz="4" w:space="0"/>
              <w:left w:val="single" w:color="auto" w:sz="4" w:space="0"/>
              <w:bottom w:val="single" w:color="auto" w:sz="4" w:space="0"/>
              <w:right w:val="single" w:color="auto" w:sz="4" w:space="0"/>
            </w:tcBorders>
            <w:vAlign w:val="center"/>
          </w:tcPr>
          <w:p w14:paraId="07BA3D1D">
            <w:pPr>
              <w:widowControl/>
              <w:snapToGrid w:val="0"/>
              <w:jc w:val="right"/>
              <w:rPr>
                <w:rFonts w:ascii="宋体" w:hAnsi="宋体"/>
                <w:color w:val="000000"/>
                <w:kern w:val="0"/>
                <w:sz w:val="25"/>
                <w:szCs w:val="24"/>
              </w:rPr>
            </w:pPr>
            <w:r>
              <w:rPr>
                <w:rFonts w:ascii="Times New Roman" w:hAnsi="Times New Roman"/>
                <w:color w:val="000000"/>
                <w:kern w:val="0"/>
                <w:sz w:val="25"/>
                <w:szCs w:val="24"/>
              </w:rPr>
              <w:t>352,519.38</w:t>
            </w:r>
          </w:p>
        </w:tc>
        <w:tc>
          <w:tcPr>
            <w:tcW w:w="750" w:type="pct"/>
            <w:tcBorders>
              <w:top w:val="single" w:color="auto" w:sz="4" w:space="0"/>
              <w:left w:val="single" w:color="auto" w:sz="4" w:space="0"/>
              <w:bottom w:val="single" w:color="auto" w:sz="4" w:space="0"/>
              <w:right w:val="single" w:color="auto" w:sz="4" w:space="0"/>
            </w:tcBorders>
            <w:vAlign w:val="center"/>
          </w:tcPr>
          <w:p w14:paraId="7DE66C9C">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647B29B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20A18C">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14:paraId="0B2CE58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color="auto" w:sz="4" w:space="0"/>
              <w:left w:val="single" w:color="auto" w:sz="4" w:space="0"/>
              <w:bottom w:val="single" w:color="auto" w:sz="4" w:space="0"/>
              <w:right w:val="single" w:color="auto" w:sz="4" w:space="0"/>
            </w:tcBorders>
            <w:vAlign w:val="center"/>
          </w:tcPr>
          <w:p w14:paraId="7A751757">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color="auto" w:sz="4" w:space="0"/>
              <w:left w:val="single" w:color="auto" w:sz="4" w:space="0"/>
              <w:bottom w:val="single" w:color="auto" w:sz="4" w:space="0"/>
              <w:right w:val="single" w:color="auto" w:sz="4" w:space="0"/>
            </w:tcBorders>
            <w:vAlign w:val="center"/>
          </w:tcPr>
          <w:p w14:paraId="0D200972">
            <w:pPr>
              <w:widowControl/>
              <w:snapToGrid w:val="0"/>
              <w:jc w:val="right"/>
              <w:rPr>
                <w:rFonts w:ascii="宋体" w:hAnsi="宋体"/>
                <w:color w:val="000000"/>
                <w:kern w:val="0"/>
                <w:sz w:val="25"/>
                <w:szCs w:val="24"/>
              </w:rPr>
            </w:pPr>
            <w:r>
              <w:rPr>
                <w:rFonts w:ascii="Times New Roman" w:hAnsi="Times New Roman"/>
                <w:color w:val="000000"/>
                <w:kern w:val="0"/>
                <w:sz w:val="25"/>
                <w:szCs w:val="24"/>
              </w:rPr>
              <w:t>344,170.00</w:t>
            </w:r>
          </w:p>
        </w:tc>
        <w:tc>
          <w:tcPr>
            <w:tcW w:w="750" w:type="pct"/>
            <w:tcBorders>
              <w:top w:val="single" w:color="auto" w:sz="4" w:space="0"/>
              <w:left w:val="single" w:color="auto" w:sz="4" w:space="0"/>
              <w:bottom w:val="single" w:color="auto" w:sz="4" w:space="0"/>
              <w:right w:val="single" w:color="auto" w:sz="4" w:space="0"/>
            </w:tcBorders>
            <w:vAlign w:val="center"/>
          </w:tcPr>
          <w:p w14:paraId="2E17B94C">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22DA6EA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BA00FA">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14:paraId="7E73BCB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14:paraId="68AA13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14:paraId="222A8F00">
            <w:pPr>
              <w:widowControl/>
              <w:snapToGrid w:val="0"/>
              <w:jc w:val="right"/>
              <w:rPr>
                <w:rFonts w:ascii="宋体" w:hAnsi="宋体"/>
                <w:color w:val="000000"/>
                <w:kern w:val="0"/>
                <w:sz w:val="25"/>
                <w:szCs w:val="24"/>
              </w:rPr>
            </w:pPr>
            <w:r>
              <w:rPr>
                <w:rFonts w:ascii="Times New Roman" w:hAnsi="Times New Roman"/>
                <w:color w:val="000000"/>
                <w:kern w:val="0"/>
                <w:sz w:val="25"/>
                <w:szCs w:val="24"/>
              </w:rPr>
              <w:t>262,596.79</w:t>
            </w:r>
          </w:p>
        </w:tc>
        <w:tc>
          <w:tcPr>
            <w:tcW w:w="750" w:type="pct"/>
            <w:tcBorders>
              <w:top w:val="single" w:color="auto" w:sz="4" w:space="0"/>
              <w:left w:val="single" w:color="auto" w:sz="4" w:space="0"/>
              <w:bottom w:val="single" w:color="auto" w:sz="4" w:space="0"/>
              <w:right w:val="single" w:color="auto" w:sz="4" w:space="0"/>
            </w:tcBorders>
            <w:vAlign w:val="center"/>
          </w:tcPr>
          <w:p w14:paraId="30BA1DDC">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3133A2F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42CC8A">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14:paraId="5391FE8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color="auto" w:sz="4" w:space="0"/>
              <w:left w:val="single" w:color="auto" w:sz="4" w:space="0"/>
              <w:bottom w:val="single" w:color="auto" w:sz="4" w:space="0"/>
              <w:right w:val="single" w:color="auto" w:sz="4" w:space="0"/>
            </w:tcBorders>
            <w:vAlign w:val="center"/>
          </w:tcPr>
          <w:p w14:paraId="12AF72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color="auto" w:sz="4" w:space="0"/>
              <w:left w:val="single" w:color="auto" w:sz="4" w:space="0"/>
              <w:bottom w:val="single" w:color="auto" w:sz="4" w:space="0"/>
              <w:right w:val="single" w:color="auto" w:sz="4" w:space="0"/>
            </w:tcBorders>
            <w:vAlign w:val="center"/>
          </w:tcPr>
          <w:p w14:paraId="308504F6">
            <w:pPr>
              <w:widowControl/>
              <w:snapToGrid w:val="0"/>
              <w:jc w:val="right"/>
              <w:rPr>
                <w:rFonts w:ascii="宋体" w:hAnsi="宋体"/>
                <w:color w:val="000000"/>
                <w:kern w:val="0"/>
                <w:sz w:val="25"/>
                <w:szCs w:val="24"/>
              </w:rPr>
            </w:pPr>
            <w:r>
              <w:rPr>
                <w:rFonts w:ascii="Times New Roman" w:hAnsi="Times New Roman"/>
                <w:color w:val="000000"/>
                <w:kern w:val="0"/>
                <w:sz w:val="25"/>
                <w:szCs w:val="24"/>
              </w:rPr>
              <w:t>254,882.66</w:t>
            </w:r>
          </w:p>
        </w:tc>
        <w:tc>
          <w:tcPr>
            <w:tcW w:w="750" w:type="pct"/>
            <w:tcBorders>
              <w:top w:val="single" w:color="auto" w:sz="4" w:space="0"/>
              <w:left w:val="single" w:color="auto" w:sz="4" w:space="0"/>
              <w:bottom w:val="single" w:color="auto" w:sz="4" w:space="0"/>
              <w:right w:val="single" w:color="auto" w:sz="4" w:space="0"/>
            </w:tcBorders>
            <w:vAlign w:val="center"/>
          </w:tcPr>
          <w:p w14:paraId="4469F1EE">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14:paraId="14943EB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5AFC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14:paraId="5F2F24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color="auto" w:sz="4" w:space="0"/>
              <w:left w:val="single" w:color="auto" w:sz="4" w:space="0"/>
              <w:bottom w:val="single" w:color="auto" w:sz="4" w:space="0"/>
              <w:right w:val="single" w:color="auto" w:sz="4" w:space="0"/>
            </w:tcBorders>
            <w:vAlign w:val="center"/>
          </w:tcPr>
          <w:p w14:paraId="3FC914E5">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color="auto" w:sz="4" w:space="0"/>
              <w:left w:val="single" w:color="auto" w:sz="4" w:space="0"/>
              <w:bottom w:val="single" w:color="auto" w:sz="4" w:space="0"/>
              <w:right w:val="single" w:color="auto" w:sz="4" w:space="0"/>
            </w:tcBorders>
            <w:vAlign w:val="center"/>
          </w:tcPr>
          <w:p w14:paraId="3520A53D">
            <w:pPr>
              <w:widowControl/>
              <w:snapToGrid w:val="0"/>
              <w:jc w:val="right"/>
              <w:rPr>
                <w:rFonts w:ascii="宋体" w:hAnsi="宋体"/>
                <w:color w:val="000000"/>
                <w:kern w:val="0"/>
                <w:sz w:val="25"/>
                <w:szCs w:val="24"/>
              </w:rPr>
            </w:pPr>
            <w:r>
              <w:rPr>
                <w:rFonts w:ascii="Times New Roman" w:hAnsi="Times New Roman"/>
                <w:color w:val="000000"/>
                <w:kern w:val="0"/>
                <w:sz w:val="25"/>
                <w:szCs w:val="24"/>
              </w:rPr>
              <w:t>236,000.51</w:t>
            </w:r>
          </w:p>
        </w:tc>
        <w:tc>
          <w:tcPr>
            <w:tcW w:w="750" w:type="pct"/>
            <w:tcBorders>
              <w:top w:val="single" w:color="auto" w:sz="4" w:space="0"/>
              <w:left w:val="single" w:color="auto" w:sz="4" w:space="0"/>
              <w:bottom w:val="single" w:color="auto" w:sz="4" w:space="0"/>
              <w:right w:val="single" w:color="auto" w:sz="4" w:space="0"/>
            </w:tcBorders>
            <w:vAlign w:val="center"/>
          </w:tcPr>
          <w:p w14:paraId="4C311093">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533320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EBAB1AE">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14:paraId="7933B9B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color="auto" w:sz="4" w:space="0"/>
              <w:left w:val="single" w:color="auto" w:sz="4" w:space="0"/>
              <w:bottom w:val="single" w:color="auto" w:sz="4" w:space="0"/>
              <w:right w:val="single" w:color="auto" w:sz="4" w:space="0"/>
            </w:tcBorders>
            <w:vAlign w:val="center"/>
          </w:tcPr>
          <w:p w14:paraId="3AAC97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color="auto" w:sz="4" w:space="0"/>
              <w:left w:val="single" w:color="auto" w:sz="4" w:space="0"/>
              <w:bottom w:val="single" w:color="auto" w:sz="4" w:space="0"/>
              <w:right w:val="single" w:color="auto" w:sz="4" w:space="0"/>
            </w:tcBorders>
            <w:vAlign w:val="center"/>
          </w:tcPr>
          <w:p w14:paraId="05683B61">
            <w:pPr>
              <w:widowControl/>
              <w:snapToGrid w:val="0"/>
              <w:jc w:val="right"/>
              <w:rPr>
                <w:rFonts w:ascii="宋体" w:hAnsi="宋体"/>
                <w:color w:val="000000"/>
                <w:kern w:val="0"/>
                <w:sz w:val="25"/>
                <w:szCs w:val="24"/>
              </w:rPr>
            </w:pPr>
            <w:r>
              <w:rPr>
                <w:rFonts w:ascii="Times New Roman" w:hAnsi="Times New Roman"/>
                <w:color w:val="000000"/>
                <w:kern w:val="0"/>
                <w:sz w:val="25"/>
                <w:szCs w:val="24"/>
              </w:rPr>
              <w:t>177,448.07</w:t>
            </w:r>
          </w:p>
        </w:tc>
        <w:tc>
          <w:tcPr>
            <w:tcW w:w="750" w:type="pct"/>
            <w:tcBorders>
              <w:top w:val="single" w:color="auto" w:sz="4" w:space="0"/>
              <w:left w:val="single" w:color="auto" w:sz="4" w:space="0"/>
              <w:bottom w:val="single" w:color="auto" w:sz="4" w:space="0"/>
              <w:right w:val="single" w:color="auto" w:sz="4" w:space="0"/>
            </w:tcBorders>
            <w:vAlign w:val="center"/>
          </w:tcPr>
          <w:p w14:paraId="11B59A02">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2631461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BEF73FB">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14:paraId="18DBE2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color="auto" w:sz="4" w:space="0"/>
              <w:left w:val="single" w:color="auto" w:sz="4" w:space="0"/>
              <w:bottom w:val="single" w:color="auto" w:sz="4" w:space="0"/>
              <w:right w:val="single" w:color="auto" w:sz="4" w:space="0"/>
            </w:tcBorders>
            <w:vAlign w:val="center"/>
          </w:tcPr>
          <w:p w14:paraId="5B841548">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胜蓝转02</w:t>
            </w:r>
          </w:p>
        </w:tc>
        <w:tc>
          <w:tcPr>
            <w:tcW w:w="750" w:type="pct"/>
            <w:tcBorders>
              <w:top w:val="single" w:color="auto" w:sz="4" w:space="0"/>
              <w:left w:val="single" w:color="auto" w:sz="4" w:space="0"/>
              <w:bottom w:val="single" w:color="auto" w:sz="4" w:space="0"/>
              <w:right w:val="single" w:color="auto" w:sz="4" w:space="0"/>
            </w:tcBorders>
            <w:vAlign w:val="center"/>
          </w:tcPr>
          <w:p w14:paraId="3451D9CA">
            <w:pPr>
              <w:widowControl/>
              <w:snapToGrid w:val="0"/>
              <w:jc w:val="right"/>
              <w:rPr>
                <w:rFonts w:ascii="宋体" w:hAnsi="宋体"/>
                <w:color w:val="000000"/>
                <w:kern w:val="0"/>
                <w:sz w:val="25"/>
                <w:szCs w:val="24"/>
              </w:rPr>
            </w:pPr>
            <w:r>
              <w:rPr>
                <w:rFonts w:ascii="Times New Roman" w:hAnsi="Times New Roman"/>
                <w:color w:val="000000"/>
                <w:kern w:val="0"/>
                <w:sz w:val="25"/>
                <w:szCs w:val="24"/>
              </w:rPr>
              <w:t>130,122.03</w:t>
            </w:r>
          </w:p>
        </w:tc>
        <w:tc>
          <w:tcPr>
            <w:tcW w:w="750" w:type="pct"/>
            <w:tcBorders>
              <w:top w:val="single" w:color="auto" w:sz="4" w:space="0"/>
              <w:left w:val="single" w:color="auto" w:sz="4" w:space="0"/>
              <w:bottom w:val="single" w:color="auto" w:sz="4" w:space="0"/>
              <w:right w:val="single" w:color="auto" w:sz="4" w:space="0"/>
            </w:tcBorders>
            <w:vAlign w:val="center"/>
          </w:tcPr>
          <w:p w14:paraId="3BCD74F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7BF302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EE427F">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14:paraId="64E2819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color="auto" w:sz="4" w:space="0"/>
              <w:left w:val="single" w:color="auto" w:sz="4" w:space="0"/>
              <w:bottom w:val="single" w:color="auto" w:sz="4" w:space="0"/>
              <w:right w:val="single" w:color="auto" w:sz="4" w:space="0"/>
            </w:tcBorders>
            <w:vAlign w:val="center"/>
          </w:tcPr>
          <w:p w14:paraId="0ED89812">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color="auto" w:sz="4" w:space="0"/>
              <w:left w:val="single" w:color="auto" w:sz="4" w:space="0"/>
              <w:bottom w:val="single" w:color="auto" w:sz="4" w:space="0"/>
              <w:right w:val="single" w:color="auto" w:sz="4" w:space="0"/>
            </w:tcBorders>
            <w:vAlign w:val="center"/>
          </w:tcPr>
          <w:p w14:paraId="37C678FE">
            <w:pPr>
              <w:widowControl/>
              <w:snapToGrid w:val="0"/>
              <w:jc w:val="right"/>
              <w:rPr>
                <w:rFonts w:ascii="宋体" w:hAnsi="宋体"/>
                <w:color w:val="000000"/>
                <w:kern w:val="0"/>
                <w:sz w:val="25"/>
                <w:szCs w:val="24"/>
              </w:rPr>
            </w:pPr>
            <w:r>
              <w:rPr>
                <w:rFonts w:ascii="Times New Roman" w:hAnsi="Times New Roman"/>
                <w:color w:val="000000"/>
                <w:kern w:val="0"/>
                <w:sz w:val="25"/>
                <w:szCs w:val="24"/>
              </w:rPr>
              <w:t>120,570.04</w:t>
            </w:r>
          </w:p>
        </w:tc>
        <w:tc>
          <w:tcPr>
            <w:tcW w:w="750" w:type="pct"/>
            <w:tcBorders>
              <w:top w:val="single" w:color="auto" w:sz="4" w:space="0"/>
              <w:left w:val="single" w:color="auto" w:sz="4" w:space="0"/>
              <w:bottom w:val="single" w:color="auto" w:sz="4" w:space="0"/>
              <w:right w:val="single" w:color="auto" w:sz="4" w:space="0"/>
            </w:tcBorders>
            <w:vAlign w:val="center"/>
          </w:tcPr>
          <w:p w14:paraId="4EBF23FD">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3316852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915CFA">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14:paraId="3327AAE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color="auto" w:sz="4" w:space="0"/>
              <w:left w:val="single" w:color="auto" w:sz="4" w:space="0"/>
              <w:bottom w:val="single" w:color="auto" w:sz="4" w:space="0"/>
              <w:right w:val="single" w:color="auto" w:sz="4" w:space="0"/>
            </w:tcBorders>
            <w:vAlign w:val="center"/>
          </w:tcPr>
          <w:p w14:paraId="3990D56D">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color="auto" w:sz="4" w:space="0"/>
              <w:left w:val="single" w:color="auto" w:sz="4" w:space="0"/>
              <w:bottom w:val="single" w:color="auto" w:sz="4" w:space="0"/>
              <w:right w:val="single" w:color="auto" w:sz="4" w:space="0"/>
            </w:tcBorders>
            <w:vAlign w:val="center"/>
          </w:tcPr>
          <w:p w14:paraId="456E24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106,811.04</w:t>
            </w:r>
          </w:p>
        </w:tc>
        <w:tc>
          <w:tcPr>
            <w:tcW w:w="750" w:type="pct"/>
            <w:tcBorders>
              <w:top w:val="single" w:color="auto" w:sz="4" w:space="0"/>
              <w:left w:val="single" w:color="auto" w:sz="4" w:space="0"/>
              <w:bottom w:val="single" w:color="auto" w:sz="4" w:space="0"/>
              <w:right w:val="single" w:color="auto" w:sz="4" w:space="0"/>
            </w:tcBorders>
            <w:vAlign w:val="center"/>
          </w:tcPr>
          <w:p w14:paraId="4BB50E87">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bl>
    <w:p w14:paraId="03EFAB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14:paraId="37EF8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4DCE4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14:paraId="35C0A2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7CC71F7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A673946">
      <w:pPr>
        <w:pStyle w:val="2"/>
        <w:snapToGrid w:val="0"/>
        <w:spacing w:before="240" w:beforeLines="0" w:after="240"/>
        <w:rPr>
          <w:rFonts w:ascii="宋体" w:hAnsi="宋体"/>
          <w:szCs w:val="30"/>
        </w:rPr>
      </w:pPr>
      <w:bookmarkStart w:id="12" w:name="_Toc240548891"/>
      <w:r>
        <w:rPr>
          <w:rFonts w:ascii="Times New Roman" w:hAnsi="Times New Roman"/>
          <w:sz w:val="30"/>
        </w:rPr>
        <w:t>十、基金的业绩</w:t>
      </w:r>
      <w:bookmarkEnd w:id="12"/>
    </w:p>
    <w:p w14:paraId="72589C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14:paraId="1F48CE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73716E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1、本报告期基金份额净值收益率及其与同期业绩比较基准收益率的比较</w:t>
      </w:r>
    </w:p>
    <w:p w14:paraId="4F99AA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1）交银180天持有期债券A：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70A9CFD8">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9DA54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416D0AA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14:paraId="519F7E8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383D46E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7F67346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4C3F6D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4595EC2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5C8BB6D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33D2C2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094DC9D1">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14:paraId="220B7019">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7C776726">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14:paraId="150D6AD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6D200830">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14:paraId="4724DAD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14:paraId="19B29DE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34DDE6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74DD5A8C">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14:paraId="3719FD9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6EAA8010">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14:paraId="6D41E9B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4E8FD797">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color="auto" w:sz="4" w:space="0"/>
              <w:left w:val="single" w:color="auto" w:sz="4" w:space="0"/>
              <w:bottom w:val="single" w:color="auto" w:sz="4" w:space="0"/>
              <w:right w:val="single" w:color="auto" w:sz="4" w:space="0"/>
            </w:tcBorders>
            <w:vAlign w:val="center"/>
          </w:tcPr>
          <w:p w14:paraId="580939D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14:paraId="4B873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2）交银180天持有期债券C：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2347BF5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27E86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3660785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份额净值收益率①</w:t>
            </w:r>
          </w:p>
        </w:tc>
        <w:tc>
          <w:tcPr>
            <w:tcW w:w="750" w:type="pct"/>
            <w:tcBorders>
              <w:top w:val="single" w:color="auto" w:sz="4" w:space="0"/>
              <w:left w:val="single" w:color="auto" w:sz="4" w:space="0"/>
              <w:bottom w:val="single" w:color="auto" w:sz="4" w:space="0"/>
              <w:right w:val="single" w:color="auto" w:sz="4" w:space="0"/>
            </w:tcBorders>
            <w:vAlign w:val="center"/>
          </w:tcPr>
          <w:p w14:paraId="3C9143D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61E4DDC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18C68E7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4203466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718B641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53F7774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B9081A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51D3E054">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14:paraId="222D3061">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3309F589">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14:paraId="2C913D0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0C4F0EAB">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color="auto" w:sz="4" w:space="0"/>
              <w:left w:val="single" w:color="auto" w:sz="4" w:space="0"/>
              <w:bottom w:val="single" w:color="auto" w:sz="4" w:space="0"/>
              <w:right w:val="single" w:color="auto" w:sz="4" w:space="0"/>
            </w:tcBorders>
            <w:vAlign w:val="center"/>
          </w:tcPr>
          <w:p w14:paraId="6F509A00">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14:paraId="16AE383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5602D9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2025年度（自基金合同生效起至2025年12月31日）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266463B4">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14:paraId="7645AE88">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661EE1DC">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14:paraId="3091EA8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09FDB3AC">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color="auto" w:sz="4" w:space="0"/>
              <w:left w:val="single" w:color="auto" w:sz="4" w:space="0"/>
              <w:bottom w:val="single" w:color="auto" w:sz="4" w:space="0"/>
              <w:right w:val="single" w:color="auto" w:sz="4" w:space="0"/>
            </w:tcBorders>
            <w:vAlign w:val="center"/>
          </w:tcPr>
          <w:p w14:paraId="128AB36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14:paraId="1F40E6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注：本基金的业绩比较基准为中债综合全价指数收益率×90%+人民币活期存款利率(税后)×10%，每日进行再平衡过程。</w:t>
      </w:r>
    </w:p>
    <w:p w14:paraId="620B83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4AE005CD">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交银施罗德180天持有期债券型证券投资基金</w:t>
      </w:r>
    </w:p>
    <w:p w14:paraId="5EB15466">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份额累计份额净值增长率与业绩比较基准收益率的历史走势对比图</w:t>
      </w:r>
    </w:p>
    <w:p w14:paraId="24B710E6">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（2025年07月18日至2026年03月31日）</w:t>
      </w:r>
    </w:p>
    <w:p w14:paraId="373DDC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1、交银180天持有期债券A</w:t>
      </w:r>
    </w:p>
    <w:p w14:paraId="2FDD8580">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14:paraId="4842DF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2、交银180天持有期债券C</w:t>
      </w:r>
    </w:p>
    <w:p w14:paraId="3087386D">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14:paraId="5FD659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基金合同生效日为2025年7月18日，基金合同生效日至报告期期末，本基金运作时间未满一年。本基金建仓期为自基金合同生效日起的6个月。截至建仓期结束，本基金各项资产配置比例符合基金合同及招募说明书有关投资比例的约定。</w:t>
      </w:r>
    </w:p>
    <w:p w14:paraId="0D4A8F4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32E6933">
      <w:pPr>
        <w:pStyle w:val="2"/>
        <w:snapToGrid w:val="0"/>
        <w:spacing w:before="240" w:beforeLines="0" w:after="240"/>
        <w:rPr>
          <w:rFonts w:ascii="宋体" w:hAnsi="宋体"/>
          <w:szCs w:val="30"/>
        </w:rPr>
      </w:pPr>
      <w:bookmarkStart w:id="13" w:name="_Toc240548892"/>
      <w:r>
        <w:rPr>
          <w:rFonts w:ascii="Times New Roman" w:hAnsi="Times New Roman"/>
          <w:sz w:val="30"/>
        </w:rPr>
        <w:t>十一、基金的财产</w:t>
      </w:r>
      <w:bookmarkEnd w:id="13"/>
    </w:p>
    <w:p w14:paraId="6017C3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14:paraId="07289C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基金资产总值是指基金拥有的各类有价证券、国债期货合约、银行存款本息、基金应收款项及其他资产的价值总和。</w:t>
      </w:r>
    </w:p>
    <w:p w14:paraId="77687B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14:paraId="58D68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30271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14:paraId="53BE6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2BA7A9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14:paraId="5EF1FA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76380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7D20CE5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78E9CE2">
      <w:pPr>
        <w:pStyle w:val="2"/>
        <w:snapToGrid w:val="0"/>
        <w:spacing w:before="240" w:beforeLines="0" w:after="240"/>
        <w:rPr>
          <w:rFonts w:ascii="宋体" w:hAnsi="宋体"/>
          <w:szCs w:val="30"/>
        </w:rPr>
      </w:pPr>
      <w:bookmarkStart w:id="14" w:name="_Toc240548893"/>
      <w:r>
        <w:rPr>
          <w:rFonts w:ascii="Times New Roman" w:hAnsi="Times New Roman"/>
          <w:sz w:val="30"/>
        </w:rPr>
        <w:t>十二、基金资产的估值</w:t>
      </w:r>
      <w:bookmarkEnd w:id="14"/>
    </w:p>
    <w:p w14:paraId="689B0D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14:paraId="6DC0A3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14:paraId="479D5C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14:paraId="5C0982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基金所拥有的债券、国债期货合约、资产支持证券、信用衍生品和其他投资等持续以公允价值计量的金融资产及负债。</w:t>
      </w:r>
    </w:p>
    <w:p w14:paraId="2872FC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14:paraId="601587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14:paraId="4B5FF0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7E7EFC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50C703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16BE4A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14:paraId="044789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14:paraId="79CE8D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14:paraId="42C279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6FE15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14:paraId="625D5D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14:paraId="7FC78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14:paraId="547291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14:paraId="541A8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5CC9B1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2、首次公开发行未上市的债券，采用估值技术确定公允价值。</w:t>
      </w:r>
    </w:p>
    <w:p w14:paraId="38C00D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45BF2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4、同一证券同时在两个或两个以上市场交易的，按证券所处的市场分别估值。</w:t>
      </w:r>
    </w:p>
    <w:p w14:paraId="69B7F3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5、本基金投资国债期货合约，一般以估值当日结算价进行估值，估值当日无结算价的，且最近交易日后经济环境未发生重大变化的，采用最近交易日结算价估值。</w:t>
      </w:r>
    </w:p>
    <w:p w14:paraId="1C69C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14:paraId="4E5AB4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14:paraId="43CCDB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8、当发生大额申购或赎回情形时，基金管理人可以采用摆动定价机制，以确保基金估值的公平性。</w:t>
      </w:r>
    </w:p>
    <w:p w14:paraId="4314E9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14:paraId="258F6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14:paraId="3ED4CB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2E6486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14:paraId="4293EC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14:paraId="34D8F5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14:paraId="53806A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14:paraId="5D393C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14:paraId="33D096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14:paraId="74CF18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14:paraId="018FFB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14:paraId="43A91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14:paraId="03448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E28DC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1BA946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14:paraId="100C2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0BD470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14:paraId="47B8DF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86087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3143F0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A538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14:paraId="12C2B8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14:paraId="53AE53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14:paraId="5999EF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14:paraId="08AC2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0368BF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14:paraId="579FE8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14:paraId="07420A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2DF35B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14:paraId="20807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498FE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14:paraId="77F1DB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14:paraId="4492D3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14:paraId="4963B0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14:paraId="09AC15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14:paraId="475125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14:paraId="0A8F4D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14:paraId="1837C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14:paraId="06AB93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14:paraId="3C69D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14:paraId="3A46F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14:paraId="7D4EB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0C855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14:paraId="4104A6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133D57C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42FA97B">
      <w:pPr>
        <w:pStyle w:val="2"/>
        <w:snapToGrid w:val="0"/>
        <w:spacing w:before="240" w:beforeLines="0" w:after="240"/>
        <w:rPr>
          <w:rFonts w:ascii="宋体" w:hAnsi="宋体"/>
          <w:szCs w:val="30"/>
        </w:rPr>
      </w:pPr>
      <w:bookmarkStart w:id="15" w:name="_Toc240548894"/>
      <w:r>
        <w:rPr>
          <w:rFonts w:ascii="Times New Roman" w:hAnsi="Times New Roman"/>
          <w:sz w:val="30"/>
        </w:rPr>
        <w:t>十三、基金收益与分配</w:t>
      </w:r>
      <w:bookmarkEnd w:id="15"/>
    </w:p>
    <w:p w14:paraId="01FEEB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14:paraId="16EB77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15B20F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14:paraId="4C3E65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3AB19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14:paraId="50EC22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14:paraId="4EE33B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14:paraId="154A02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14:paraId="53FD6B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14:paraId="5ED700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14:paraId="005D5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6、对于收益分配方式为红利再投资的基金份额，每份基金份额（原份额）所获得的红利再投资份额的最短持有期到期日，与该原份额的最短持有期到期日一致；</w:t>
      </w:r>
    </w:p>
    <w:p w14:paraId="1F35A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7、法律法规或监管机关另有规定的，从其规定。</w:t>
      </w:r>
    </w:p>
    <w:p w14:paraId="5E5C7D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14:paraId="182CD3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07EE5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14:paraId="0DE700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14:paraId="4FFA85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14:paraId="083542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14:paraId="491301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65CC7A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14:paraId="3A5E3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14:paraId="6E7E7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14:paraId="2F7743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14:paraId="015D17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3CACA97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BF77C4A">
      <w:pPr>
        <w:pStyle w:val="2"/>
        <w:snapToGrid w:val="0"/>
        <w:spacing w:before="240" w:beforeLines="0" w:after="240"/>
        <w:rPr>
          <w:rFonts w:ascii="宋体" w:hAnsi="宋体"/>
          <w:szCs w:val="30"/>
        </w:rPr>
      </w:pPr>
      <w:bookmarkStart w:id="16" w:name="_Toc240548895"/>
      <w:r>
        <w:rPr>
          <w:rFonts w:ascii="Times New Roman" w:hAnsi="Times New Roman"/>
          <w:sz w:val="30"/>
        </w:rPr>
        <w:t>十四、基金的费用与税收</w:t>
      </w:r>
      <w:bookmarkEnd w:id="16"/>
    </w:p>
    <w:p w14:paraId="6EBB47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14:paraId="063FD3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11FFA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65C68F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14:paraId="3CE39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14:paraId="4E70DD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14:paraId="6ED5F1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6、基金的证券、期货交易/结算费用；</w:t>
      </w:r>
    </w:p>
    <w:p w14:paraId="08B72C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14:paraId="6FBE0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14:paraId="43982E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14:paraId="71DA40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14:paraId="7F3249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14:paraId="140E28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1309A3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687F4A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本基金的管理费按前一日基金资产净值的0.20%年费率计提。管理费的计算方法如下：</w:t>
      </w:r>
    </w:p>
    <w:p w14:paraId="66AAF4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H＝E×0.20%÷当年天数</w:t>
      </w:r>
    </w:p>
    <w:p w14:paraId="169719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22972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6F600E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根据双方核对一致的数据向基金托管人发送划付指令，基金托管人于次月首日起3个工作日内从基金财产中一次性支付给基金管理人。若遇法定节假日、休息日或不可抗力致使无法按时支付的，顺延至最近可支付日支付。</w:t>
      </w:r>
    </w:p>
    <w:p w14:paraId="1F7A77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35C166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本基金的托管费按前一日基金资产净值的0.05%年费率计提。托管费的计算方法如下：</w:t>
      </w:r>
    </w:p>
    <w:p w14:paraId="0E0608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H＝E×0.05%÷当年天数</w:t>
      </w:r>
    </w:p>
    <w:p w14:paraId="6CF14A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7DAE0C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53C456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根据双方核对一致的数据向基金托管人发送划付指令，基金托管人于次月首日起3个工作日内从基金财产中一次性支取。若遇法定节假日、休息日或不可抗力致使无法按时支付的，顺延至最近可支付日支付。</w:t>
      </w:r>
    </w:p>
    <w:p w14:paraId="315614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14:paraId="04AE9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本基金A类基金份额不收取销售服务费，C类基金份额的销售服务费按前一日C类基金资产净值的0.15%年费率计提。计算方法如下：</w:t>
      </w:r>
    </w:p>
    <w:p w14:paraId="24D01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H＝E×0.15%÷当年天数</w:t>
      </w:r>
    </w:p>
    <w:p w14:paraId="1BC76E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14:paraId="3FC749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14:paraId="59BF0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根据双方核对一致的数据向基金托管人发送销售服务费划付指令，基金托管人于次月首日起3个工作日内从基金财产中一次性支付给基金管理人，由基金管理人代付给销售机构。若遇法定节假日、休息日或不可抗力致使无法按时支付的，顺延至最近可支付日支付。</w:t>
      </w:r>
    </w:p>
    <w:p w14:paraId="2D007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14:paraId="7F356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14:paraId="7B3458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2AF540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14:paraId="4003C9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14:paraId="15C621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14:paraId="5AEDB5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14:paraId="0FD1C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14:paraId="3483A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14:paraId="15EB23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14:paraId="4241F2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14:paraId="1CB4E1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14:paraId="67593B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14:paraId="5D2673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（四）实施侧袋机制期间的基金费用</w:t>
      </w:r>
    </w:p>
    <w:p w14:paraId="49FD83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4E77EA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（五）基金税收</w:t>
      </w:r>
    </w:p>
    <w:p w14:paraId="2EDDD4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5577CAA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F8C1AAB">
      <w:pPr>
        <w:pStyle w:val="2"/>
        <w:snapToGrid w:val="0"/>
        <w:spacing w:before="240" w:beforeLines="0" w:after="240"/>
        <w:rPr>
          <w:rFonts w:ascii="宋体" w:hAnsi="宋体"/>
          <w:szCs w:val="30"/>
        </w:rPr>
      </w:pPr>
      <w:bookmarkStart w:id="17" w:name="_Toc240548896"/>
      <w:r>
        <w:rPr>
          <w:rFonts w:ascii="Times New Roman" w:hAnsi="Times New Roman"/>
          <w:sz w:val="30"/>
        </w:rPr>
        <w:t>十五、基金的会计与审计</w:t>
      </w:r>
      <w:bookmarkEnd w:id="17"/>
    </w:p>
    <w:p w14:paraId="6241AD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14:paraId="57537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6E9806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14:paraId="6A4CB7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14:paraId="4BC3D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69E6C0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43A017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141844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14:paraId="4AD0CD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14:paraId="00D1B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14:paraId="02E42F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14:paraId="4659E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14:paraId="0776702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45607B1">
      <w:pPr>
        <w:pStyle w:val="2"/>
        <w:snapToGrid w:val="0"/>
        <w:spacing w:before="240" w:beforeLines="0" w:after="240"/>
        <w:rPr>
          <w:rFonts w:ascii="宋体" w:hAnsi="宋体"/>
          <w:szCs w:val="30"/>
        </w:rPr>
      </w:pPr>
      <w:bookmarkStart w:id="18" w:name="_Toc240548897"/>
      <w:r>
        <w:rPr>
          <w:rFonts w:ascii="Times New Roman" w:hAnsi="Times New Roman"/>
          <w:sz w:val="30"/>
        </w:rPr>
        <w:t>十六、基金的信息披露</w:t>
      </w:r>
      <w:bookmarkEnd w:id="18"/>
    </w:p>
    <w:p w14:paraId="648CB2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（一）本基金的信息披露应符合《基金法》、《运作办法》、《信息披露办法》、《流动性风险管理规定》、《基金合同》及其他有关规定。相关法律法规关于信息披露的规定发生变化时，本基金从其最新规定。</w:t>
      </w:r>
    </w:p>
    <w:p w14:paraId="73590D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14:paraId="47BA13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14:paraId="379F2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0843A4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34FEFB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14:paraId="65D7B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0F6F9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1472CB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36277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6229BB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29FCC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544985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14:paraId="3E9C1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2D7AB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14:paraId="325AA0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7B12B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14:paraId="4928B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663EB9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72F7E2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24EE9C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6A626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14:paraId="12142E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14:paraId="05291D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14:paraId="7AAE9A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14:paraId="78F658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14:paraId="2AEB1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14:paraId="57A47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14:paraId="0884F1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14:paraId="5C42C9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14:paraId="4446FF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14:paraId="54245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0F6587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14:paraId="28ED2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60B069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14:paraId="60A3B0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14:paraId="28CA92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14:paraId="6F2179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2535D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0BE3B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14:paraId="7FF60E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14:paraId="4526B7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14:paraId="1CD4DF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3EEEBF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23B82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5E9195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581B41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61F9F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4B59AD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26189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43272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690ACA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16745A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455401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252A72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14504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05AA3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14:paraId="1AB23F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14:paraId="059DA7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5909DB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65CAD2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5AF979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48946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14:paraId="2EFD1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14:paraId="4E0CE6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14:paraId="28447D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14:paraId="1D7B20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14:paraId="7D7F3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14:paraId="53B95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14:paraId="495F5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3FF67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14:paraId="1B58A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1FC7F1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288930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14:paraId="6AED12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14:paraId="2CD5F2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11、基金投资资产支持证券情况</w:t>
      </w:r>
    </w:p>
    <w:p w14:paraId="7BA772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01787B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12、基金投资国债期货的情况</w:t>
      </w:r>
    </w:p>
    <w:p w14:paraId="7AC01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季度报告、中期报告、年度报告等定期报告和招募说明书（更新）等文件中披露国债期货交易情况，包括交易政策、持仓情况、损益情况、风险指标等，并充分揭示国债期货交易对基金总体风险的影响以及是否符合既定的投资政策和投资目标。</w:t>
      </w:r>
    </w:p>
    <w:p w14:paraId="5AC5E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13、基金投资信用衍生品的情况</w:t>
      </w:r>
    </w:p>
    <w:p w14:paraId="6CB089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基金管理人应在定期报告及招募说明书（更新）等文件中详细披露信用衍生品的投资情况，包括投资策略、持仓情况等，并充分揭示投资信用衍生品对基金总体风险的影响以及是否符合既定的投资目标及策略。</w:t>
      </w:r>
    </w:p>
    <w:p w14:paraId="1A2CFB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14:paraId="1F14B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152559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14:paraId="30158D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14:paraId="704425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459548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14:paraId="1B653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14:paraId="2C36D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14:paraId="4FDB2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38987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0033C2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38BA5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14:paraId="19CC1E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14:paraId="319EBCF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E4847CA">
      <w:pPr>
        <w:pStyle w:val="2"/>
        <w:snapToGrid w:val="0"/>
        <w:spacing w:before="240" w:beforeLines="0" w:after="240"/>
        <w:rPr>
          <w:rFonts w:ascii="宋体" w:hAnsi="宋体"/>
          <w:szCs w:val="30"/>
        </w:rPr>
      </w:pPr>
      <w:bookmarkStart w:id="19" w:name="_Toc240548898"/>
      <w:r>
        <w:rPr>
          <w:rFonts w:ascii="Times New Roman" w:hAnsi="Times New Roman"/>
          <w:sz w:val="30"/>
        </w:rPr>
        <w:t>十七、侧袋机制</w:t>
      </w:r>
      <w:bookmarkEnd w:id="19"/>
    </w:p>
    <w:p w14:paraId="371BA5F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14:paraId="596811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1BFB33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35A6502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14:paraId="3EF8A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5A1C33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0A1C7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1E969BC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14:paraId="0626A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32480C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25626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3486719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14:paraId="7642CB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0F6D91A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14:paraId="7129CB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14:paraId="50694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0EFFD5D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14:paraId="42FB6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56C28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1A9E28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78AF825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14:paraId="3C36D5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55130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16E21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69E51D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5E6BF8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6A8ABD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2A5D8D2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CDF02C2">
      <w:pPr>
        <w:pStyle w:val="2"/>
        <w:snapToGrid w:val="0"/>
        <w:spacing w:before="240" w:beforeLines="0" w:after="240"/>
        <w:rPr>
          <w:rFonts w:ascii="宋体" w:hAnsi="宋体"/>
          <w:szCs w:val="30"/>
        </w:rPr>
      </w:pPr>
      <w:bookmarkStart w:id="20" w:name="_Toc240548899"/>
      <w:r>
        <w:rPr>
          <w:rFonts w:ascii="Times New Roman" w:hAnsi="Times New Roman"/>
          <w:sz w:val="30"/>
        </w:rPr>
        <w:t>十八、风险揭示</w:t>
      </w:r>
      <w:bookmarkEnd w:id="20"/>
    </w:p>
    <w:p w14:paraId="58DD46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11E13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10%时，投资人将可能无法及时赎回持有的全部基金份额。</w:t>
      </w:r>
    </w:p>
    <w:p w14:paraId="01AE1E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14:paraId="543E46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24746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0148E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14:paraId="4DDBA3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605D6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519DE4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14:paraId="2E876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14BA6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7EBA1C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14:paraId="3BFC6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7ED194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14:paraId="08D922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3F1686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14:paraId="1A258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14:paraId="5A5C97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14:paraId="5FAA0E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14:paraId="52D29A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14:paraId="7A2F7A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14:paraId="2FBFD3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338176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14:paraId="66F584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基金份额持有人持有的每份基金份额最短持有期限为180天，对于满足最短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2F588A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03C806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基金份额最短持有期限届满日起（含该日）申请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w:t>
      </w:r>
    </w:p>
    <w:p w14:paraId="6DDD27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基金管理人自基金合同生效之日起的第180天（含该日，如为非工作日，则顺延至下一工作日）开始办理赎回，具体业务办理时间在赎回开始公告中规定。</w:t>
      </w:r>
    </w:p>
    <w:p w14:paraId="622DC5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1F7849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集中度的特征，综合评估在正常市场环境下本基金的流动性风险适中。</w:t>
      </w:r>
    </w:p>
    <w:p w14:paraId="0D33D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028C3E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56504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52D0F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641494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14:paraId="76792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052F38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14:paraId="577178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14:paraId="6E9AC6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497502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20DDE2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7C73B8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14:paraId="33FAB5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19F0AF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27F51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1BBB3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2139F7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14:paraId="6BEBBC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14:paraId="6F9CE8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（五）本基金的特有风险</w:t>
      </w:r>
    </w:p>
    <w:p w14:paraId="64558F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14:paraId="0D9FCC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该日，如为非工作日则顺延至下一工作日），投资者方可提出赎回申请。对于基金份额持有人而言，存在投资本基金后180天内无法赎回的风险；</w:t>
      </w:r>
    </w:p>
    <w:p w14:paraId="2E5E19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5909F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14:paraId="1E1FF8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（六）投资国债期货的特定风险</w:t>
      </w:r>
    </w:p>
    <w:p w14:paraId="60E6C0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14:paraId="674FB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（七）投资资产支持证券的特定风险</w:t>
      </w:r>
    </w:p>
    <w:p w14:paraId="7B492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6D7DDA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（八）信用衍生品投资风险</w:t>
      </w:r>
    </w:p>
    <w:p w14:paraId="7FBF91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14:paraId="7AD900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（九）本基金法律文件风险收益特征表述与销售机构基金风险评价可能不一致的风险</w:t>
      </w:r>
    </w:p>
    <w:p w14:paraId="58100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053258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（十）其他风险</w:t>
      </w:r>
    </w:p>
    <w:p w14:paraId="037618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09859B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63BCA6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0C3D7A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36E65D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5C054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4A38C9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09A297A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1C24073">
      <w:pPr>
        <w:pStyle w:val="2"/>
        <w:snapToGrid w:val="0"/>
        <w:spacing w:before="240" w:beforeLines="0" w:after="240"/>
        <w:rPr>
          <w:rFonts w:ascii="宋体" w:hAnsi="宋体"/>
          <w:szCs w:val="30"/>
        </w:rPr>
      </w:pPr>
      <w:bookmarkStart w:id="21" w:name="_Toc240548900"/>
      <w:r>
        <w:rPr>
          <w:rFonts w:ascii="Times New Roman" w:hAnsi="Times New Roman"/>
          <w:sz w:val="30"/>
        </w:rPr>
        <w:t>十九、基金合同的变更、终止与基金财产的清算</w:t>
      </w:r>
      <w:bookmarkEnd w:id="21"/>
    </w:p>
    <w:p w14:paraId="1707D6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14:paraId="66C7EC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3BA9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0911E6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14:paraId="7B02D3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151111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3037F1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6E39E2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01368A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5A7681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753B8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14:paraId="0A8174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23B7F1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3897DE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3020F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44A22B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7EEC2A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155A7F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676BA0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31D476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237918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675353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730D6F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4FB5F7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14:paraId="47024B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0031A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14:paraId="39106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725CC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14:paraId="7B7AD7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62C91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14:paraId="76BA7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1952F6E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1A9FBA4">
      <w:pPr>
        <w:pStyle w:val="2"/>
        <w:snapToGrid w:val="0"/>
        <w:spacing w:before="240" w:beforeLines="0" w:after="240"/>
        <w:rPr>
          <w:rFonts w:ascii="宋体" w:hAnsi="宋体"/>
          <w:szCs w:val="30"/>
        </w:rPr>
      </w:pPr>
      <w:bookmarkStart w:id="22" w:name="_Toc240548901"/>
      <w:r>
        <w:rPr>
          <w:rFonts w:ascii="Times New Roman" w:hAnsi="Times New Roman"/>
          <w:sz w:val="30"/>
        </w:rPr>
        <w:t>二十、基金合同内容摘要</w:t>
      </w:r>
      <w:bookmarkEnd w:id="22"/>
    </w:p>
    <w:p w14:paraId="06AD5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14:paraId="183B56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4C3D94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14:paraId="620B6A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14:paraId="21DC7B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14:paraId="15BBDA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14:paraId="49C41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14:paraId="346B71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14:paraId="67C8A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27B6EF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14:paraId="1B09A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14:paraId="690B38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09C587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14:paraId="352AFA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14:paraId="3FA73A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14:paraId="49A17A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14:paraId="09BB49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14:paraId="69FCBD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15）选择、更换律师事务所、会计师事务所、证券/期货经纪商或其他为基金提供服务的外部机构；</w:t>
      </w:r>
    </w:p>
    <w:p w14:paraId="51D0C1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14:paraId="3568F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14:paraId="208D49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14:paraId="0AB69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626EB3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15FB45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14:paraId="7F7F5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406000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738EA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32923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3F633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3D3E2A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14:paraId="7A13D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14:paraId="790DE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14:paraId="15E7D7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14:paraId="24DF27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14:paraId="2D3A1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14:paraId="4EB554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31CF31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14:paraId="68631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2BD7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14:paraId="7C0D6B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14:paraId="40A017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73F15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2CF24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14:paraId="575DF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14:paraId="04AC20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14:paraId="59ABE6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14:paraId="647CB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14:paraId="4DB6D4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14:paraId="4B8FB9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1C1718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14:paraId="67792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14:paraId="1F953A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14:paraId="68CB0F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C98F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14:paraId="2A28D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14:paraId="519CA8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14:paraId="2075D9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14:paraId="3B883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14:paraId="4A70B4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73120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75BF0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2FE87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7F2C02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35505C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14:paraId="30BA9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14:paraId="119A0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14:paraId="0E441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14:paraId="6DC111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24139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14:paraId="028C2E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14:paraId="188FB8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14:paraId="0DDBB8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14:paraId="7942DD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14:paraId="0A4CCC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14:paraId="009A5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14:paraId="749AF7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199B37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14:paraId="2BA9FE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059EC0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14:paraId="0D745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14:paraId="5251E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4C106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14:paraId="7A3ADA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14:paraId="107A09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14:paraId="540FD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14:paraId="27F13E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14:paraId="630FA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14:paraId="1592FB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14:paraId="2B3056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14:paraId="0A5547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14:paraId="26ACEF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14:paraId="36DCF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14:paraId="3AC29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14:paraId="015208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14:paraId="12E97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14:paraId="17222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14:paraId="76DE6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14:paraId="1FB2E3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14:paraId="32396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14:paraId="3C982C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14:paraId="4EDE6B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14:paraId="78F6C1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14:paraId="54B214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14:paraId="72526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14:paraId="7CB11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14:paraId="76B27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14:paraId="49EB5B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58BBC5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14:paraId="202749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0D427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14:paraId="5A6187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1）终止《基金合同》，基金合同另有规定的除外；</w:t>
      </w:r>
    </w:p>
    <w:p w14:paraId="73425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14:paraId="4BFA5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14:paraId="2AFB95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14:paraId="59915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w:t>
      </w:r>
    </w:p>
    <w:p w14:paraId="7A95B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14:paraId="7035C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20C905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8）变更基金投资目标、范围或策略，基金合同另有规定的除外；</w:t>
      </w:r>
    </w:p>
    <w:p w14:paraId="02666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9）变更基金份额持有人大会程序，基金合同另有规定的除外；</w:t>
      </w:r>
    </w:p>
    <w:p w14:paraId="101DEA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14:paraId="265328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3BEB40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14:paraId="390BB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14:paraId="502621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14:paraId="6CE61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1）调低基金销售服务费率；</w:t>
      </w:r>
    </w:p>
    <w:p w14:paraId="305E04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14:paraId="40B544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14:paraId="0591B0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14:paraId="39C78A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14:paraId="2A830F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6）在法律法规允许的情况下，且在对现有基金份额持有人利益无实质性不利影响的前提下，基金管理人在履行适当程序后，基金推出新业务或服务；</w:t>
      </w:r>
    </w:p>
    <w:p w14:paraId="0C8622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7）在符合法律法规及本基金合同规定、并且对基金份额持有人利益无实质不利影响的前提下，增加或调整本基金份额类别的设置、停止现有基金份额的销售、对基金份额分类办法及规则进行调整；</w:t>
      </w:r>
    </w:p>
    <w:p w14:paraId="092A45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14:paraId="7DE2B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14:paraId="708D5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14:paraId="3C6C7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14:paraId="5BB051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14:paraId="5EA0F8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ABD74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99C07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0AA22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14:paraId="6D20EA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6F2D9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14:paraId="42602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14:paraId="438DE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14:paraId="1C1EA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14:paraId="0A4CFB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741960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14:paraId="256725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14:paraId="73DDD6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14:paraId="3822DC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343EF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0284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0296C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14:paraId="3C8D06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3E54B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C3384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2438C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14:paraId="38BDB9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14:paraId="4DAE5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14:paraId="1DDFFF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99F8A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14:paraId="40B0E2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40382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14:paraId="6D8877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498AD6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390E9B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14:paraId="66B80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369BFA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14:paraId="55A46B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22E0D9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7D75E2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14:paraId="7CE140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014F9A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24D3E9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226F80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14:paraId="110400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14:paraId="1A628E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14:paraId="6A6FEF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329AC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14:paraId="41C8F6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14:paraId="3C382C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1BA5BD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14:paraId="3FFD5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4CFD1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478A3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6ECEED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14:paraId="5767F8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605C8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14:paraId="574466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76C82F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EE73A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14:paraId="72285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14:paraId="236B4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14:paraId="799B6A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14:paraId="6DCBBB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0297A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14:paraId="2827E1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EF47C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16B24D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62BB1B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3801E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180EB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4A9F84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78FF3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12EA0D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7E61DE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14:paraId="1721FC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14:paraId="45331C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0EA316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4B0CC7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56758E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14:paraId="28C12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430D24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7D653A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2F9EF5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27029D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55994C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4B959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1EAEC9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01333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C580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5A1D39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6C4AB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01F066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6F238D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592CF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0BEAE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61C0D8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4029F6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4A3CA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00AF5F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14:paraId="4D555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06DAB7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14:paraId="5514BE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7348D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14:paraId="4D7D6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89367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14:paraId="1DC3A7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74F5DD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14:paraId="7B4446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仲裁地点为北京市，按照中国国际经济贸易仲裁委员会届时有效的仲裁规则进行仲裁。仲裁裁决是终局的，对各方当事人均有约束力，除非仲裁裁决另有规定，仲裁费由败诉方承担。</w:t>
      </w:r>
    </w:p>
    <w:p w14:paraId="3118D8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45DA50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《基金合同》受中国法律（不含港澳台地区法律）管辖并从其解释。</w:t>
      </w:r>
    </w:p>
    <w:p w14:paraId="6165DA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14:paraId="653F6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14:paraId="19D91C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151B988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FAEBC15">
      <w:pPr>
        <w:pStyle w:val="2"/>
        <w:snapToGrid w:val="0"/>
        <w:spacing w:before="240" w:beforeLines="0" w:after="240"/>
        <w:rPr>
          <w:rFonts w:ascii="宋体" w:hAnsi="宋体"/>
          <w:szCs w:val="30"/>
        </w:rPr>
      </w:pPr>
      <w:bookmarkStart w:id="23" w:name="_Toc240548902"/>
      <w:r>
        <w:rPr>
          <w:rFonts w:ascii="Times New Roman" w:hAnsi="Times New Roman"/>
          <w:sz w:val="30"/>
        </w:rPr>
        <w:t>二十一、托管协议的内容摘要</w:t>
      </w:r>
      <w:bookmarkEnd w:id="23"/>
    </w:p>
    <w:p w14:paraId="478ADC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14:paraId="5E8547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2BA269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62BB95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14:paraId="14FA51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78A168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3747F5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14:paraId="584264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14:paraId="0331C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14:paraId="086ADC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1FC93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4D194A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759F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14:paraId="26185E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429F1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14:paraId="3B1008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14:paraId="57FAE1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14:paraId="2233E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14:paraId="3300F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14:paraId="60DDC1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14:paraId="444934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14:paraId="142541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14:paraId="367C3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47EDA5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14:paraId="25A0B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24ACB5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14:paraId="6AB0C6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14:paraId="2F4FF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14:paraId="5C6B5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14:paraId="0951A8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14:paraId="1ABA7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7909BF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可转换债券（含可分离交易可转换债券）、可交换公司债券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14:paraId="52862F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51F89A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48463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（1）本基金投资于债券资产的比例不低于基金资产的80%，投资于可转换债券（含可分离交易可转换债券）、可交换公司债券的比例合计不超过基金资产的20%；</w:t>
      </w:r>
    </w:p>
    <w:p w14:paraId="74F83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国债期货合约需缴纳的交易保证金后，本基金持有的现金或到期日在一年以内的政府债券的比例合计不低于基金资产净值的5%，其中现金不包括结算备付金、存出保证金、应收申购款等；</w:t>
      </w:r>
    </w:p>
    <w:p w14:paraId="11D116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14:paraId="0DC48C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14:paraId="3E08FA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14:paraId="28E07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14:paraId="1CA065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14:paraId="4C5B4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14:paraId="595BDC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（9）本基金参与国债期货交易，需遵守下列投资比例限制：</w:t>
      </w:r>
    </w:p>
    <w:p w14:paraId="4D1585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1）在任何交易日日终，持有的买入国债期货合约价值，不得超过基金资产净值的15%；</w:t>
      </w:r>
    </w:p>
    <w:p w14:paraId="714C14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2）在任何交易日日终，持有的卖出国债期货合约价值不得超过基金持有的债券总市值的30%；</w:t>
      </w:r>
    </w:p>
    <w:p w14:paraId="1BFDF3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3）基金在任何交易日内交易（不包括平仓）的国债期货合约的成交金额不得超过上一交易日基金资产净值的30%；</w:t>
      </w:r>
    </w:p>
    <w:p w14:paraId="1AE4D0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4）本基金所持有的债券（不含到期日在一年以内的政府债券）市值和买入、卖出国债期货合约价值，合计（轧差计算）应当符合基金合同关于债券投资比例的有关约定；</w:t>
      </w:r>
    </w:p>
    <w:p w14:paraId="7888D6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不持有具有信用保护卖方属性的信用衍生品，不持有合约类信用衍生品；本基金投资的信用衍生品名义本金不得超过本基金中对应受保护债券面值的100%；本基金投资于同一信用保护卖方的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177233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276BF0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14:paraId="5FD62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1BBC92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（14）本基金资产总值不超过基金资产净值的140%；</w:t>
      </w:r>
    </w:p>
    <w:p w14:paraId="4B6CED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14:paraId="32364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11）、（12）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14:paraId="245BB2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4A80C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14:paraId="281B27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14:paraId="12D08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14:paraId="0DBF2F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3D896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对银行间债券市场交易对手名单进行更新，如基金管理人根据市场情况需要临时调整银行间债券市场交易对手名单，应向基金托管人说明理由，在与交易对手发生交易前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相应损失和责任。</w:t>
      </w:r>
    </w:p>
    <w:p w14:paraId="2AFB72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5、基金托管人根据有关法律法规的规定及基金合同的约定，对基金管理人投资银行存款进行监督。</w:t>
      </w:r>
    </w:p>
    <w:p w14:paraId="5C7969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14:paraId="09027D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14:paraId="49AA21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14:paraId="7F459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14:paraId="48428C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规要求需向中国证监会报送基金监督报告的事项，基金管理人应积极配合提供相关数据资料和制度等。</w:t>
      </w:r>
    </w:p>
    <w:p w14:paraId="6108B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14:paraId="6ABD19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14:paraId="11BD41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的基金份额净值、根据基金管理人指令办理清算交收、相关信息披露和监督基金投资运作等行为。</w:t>
      </w:r>
    </w:p>
    <w:p w14:paraId="40CE64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387CE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10F10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14:paraId="32FB3D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2AEF1B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55D0D1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14:paraId="00174D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（3）基金托管人按照规定开设基金财产的资金账户、证券账户等投资所需账户。</w:t>
      </w:r>
    </w:p>
    <w:p w14:paraId="44C064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14:paraId="39CE96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732AA6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相应责任。</w:t>
      </w:r>
    </w:p>
    <w:p w14:paraId="793FEE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14:paraId="11EEC6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6F4E1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14:paraId="2C20DF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14:paraId="4D05B1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14:paraId="34C764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3、基金托管资金账户的开立和管理</w:t>
      </w:r>
    </w:p>
    <w:p w14:paraId="033E08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（1）基金托管人应负责本基金的基金托管资金账户的开设和管理。</w:t>
      </w:r>
    </w:p>
    <w:p w14:paraId="43763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基金托管资金账户进行。</w:t>
      </w:r>
    </w:p>
    <w:p w14:paraId="30D217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14:paraId="234D5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14:paraId="4B7DEB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14:paraId="3E462C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2243F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14:paraId="7351DD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14:paraId="7EFCA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14:paraId="0DE39C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（4）基金证券账户的开立和开户回执的保管由基金托管人负责，账户资产的管理和运用由基金管理人负责。</w:t>
      </w:r>
    </w:p>
    <w:p w14:paraId="29601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14:paraId="26E52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14:paraId="09CE5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代表基金签订全国银行间债券市场债券回购主协议。</w:t>
      </w:r>
    </w:p>
    <w:p w14:paraId="3EE49C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098482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14:paraId="23256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14:paraId="3074CB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14:paraId="7BE641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的证券不承担保管责任。</w:t>
      </w:r>
    </w:p>
    <w:p w14:paraId="64CDCC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034A97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14:paraId="2D208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14:paraId="559DF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14:paraId="232FB1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00982D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14:paraId="7A29A0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14:paraId="545BFD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14:paraId="4AB4E6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资产净值、各类基金份额净值结果发送基金托管人，经基金托管人复核无误后，由基金管理人依据基金合同和相关法律法规的规定对外公布。月末、年中和年末估值复核与基金会计账目的核对同时进行。</w:t>
      </w:r>
    </w:p>
    <w:p w14:paraId="7EFFDC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14:paraId="7CE65B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基金份额持有人的名称和持有的基金份额。</w:t>
      </w:r>
    </w:p>
    <w:p w14:paraId="13BC1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14:paraId="047F93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14:paraId="680E69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05A24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14:paraId="78CA8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双方当事人均有约束力，除非仲裁裁决另有规定，仲裁费由败诉方承担。</w:t>
      </w:r>
    </w:p>
    <w:p w14:paraId="6CE152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45C82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本协议适用中华人民共和国法律（不含港澳台地区法律）并从其解释。</w:t>
      </w:r>
    </w:p>
    <w:p w14:paraId="7A27C2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14:paraId="305EE3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054A22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14:paraId="62F724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14:paraId="58974E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72F59B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1E4E7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183BAF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（4）发生法律法规、中国证监会或基金合同规定的其他终止事项。</w:t>
      </w:r>
    </w:p>
    <w:p w14:paraId="66DE0EE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1E2B49A">
      <w:pPr>
        <w:pStyle w:val="2"/>
        <w:snapToGrid w:val="0"/>
        <w:spacing w:before="240" w:beforeLines="0" w:after="240"/>
        <w:rPr>
          <w:rFonts w:ascii="宋体" w:hAnsi="宋体"/>
          <w:szCs w:val="30"/>
        </w:rPr>
      </w:pPr>
      <w:bookmarkStart w:id="24" w:name="_Toc240548903"/>
      <w:r>
        <w:rPr>
          <w:rFonts w:ascii="Times New Roman" w:hAnsi="Times New Roman"/>
          <w:sz w:val="30"/>
        </w:rPr>
        <w:t>二十二、对基金份额持有人的服务</w:t>
      </w:r>
      <w:bookmarkEnd w:id="24"/>
    </w:p>
    <w:p w14:paraId="7F348A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097FC3F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14:paraId="7D5DA1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14:paraId="0B182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14:paraId="3D9A8EC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14:paraId="77120B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14:paraId="331F0B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14:paraId="4C66E35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14:paraId="11C4E4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17955E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254ABA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4284BAA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（四）基金转换业务</w:t>
      </w:r>
    </w:p>
    <w:p w14:paraId="3D60F7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待技术条件成熟时，基金管理人可通过销售机构为投资人提供转换的服务，具体实施方法另行公告。</w:t>
      </w:r>
    </w:p>
    <w:p w14:paraId="231BFD6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14:paraId="470E82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14:paraId="246792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60101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2A37C2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616E9A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1274D3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51D9BC4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14:paraId="7831D28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169EC0B">
      <w:pPr>
        <w:pStyle w:val="2"/>
        <w:snapToGrid w:val="0"/>
        <w:spacing w:before="240" w:beforeLines="0" w:after="240"/>
        <w:rPr>
          <w:rFonts w:ascii="宋体" w:hAnsi="宋体"/>
          <w:szCs w:val="30"/>
        </w:rPr>
      </w:pPr>
      <w:bookmarkStart w:id="25" w:name="_Toc240548904"/>
      <w:r>
        <w:rPr>
          <w:rFonts w:ascii="Times New Roman" w:hAnsi="Times New Roman"/>
          <w:sz w:val="30"/>
        </w:rPr>
        <w:t>二十三、其他应披露事项</w:t>
      </w:r>
      <w:bookmarkEnd w:id="25"/>
    </w:p>
    <w:p w14:paraId="6B1443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616878F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466BA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551466C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29FA51C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3361BE0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403D2E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4859C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FBECB9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交银施罗德180天持有期债券型证券投资基金基金份额发售公告</w:t>
            </w:r>
          </w:p>
        </w:tc>
        <w:tc>
          <w:tcPr>
            <w:tcW w:w="750" w:type="pct"/>
            <w:tcBorders>
              <w:top w:val="single" w:color="auto" w:sz="4" w:space="0"/>
              <w:left w:val="single" w:color="auto" w:sz="4" w:space="0"/>
              <w:bottom w:val="single" w:color="auto" w:sz="4" w:space="0"/>
              <w:right w:val="single" w:color="auto" w:sz="4" w:space="0"/>
            </w:tcBorders>
            <w:vAlign w:val="center"/>
          </w:tcPr>
          <w:p w14:paraId="4463EA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5081D5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437F066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EB509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20833C7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14:paraId="79A6E47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0EE21F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2D321BA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8B529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3DEE35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交银施罗德180天持有期债券型证券投资基金基金合同及招募说明书提示性公告</w:t>
            </w:r>
          </w:p>
        </w:tc>
        <w:tc>
          <w:tcPr>
            <w:tcW w:w="750" w:type="pct"/>
            <w:tcBorders>
              <w:top w:val="single" w:color="auto" w:sz="4" w:space="0"/>
              <w:left w:val="single" w:color="auto" w:sz="4" w:space="0"/>
              <w:bottom w:val="single" w:color="auto" w:sz="4" w:space="0"/>
              <w:right w:val="single" w:color="auto" w:sz="4" w:space="0"/>
            </w:tcBorders>
            <w:vAlign w:val="center"/>
          </w:tcPr>
          <w:p w14:paraId="55CC2ED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AB67B1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4FBE64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A84C6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02F96D1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14:paraId="3FD05B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AF892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10C795C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18C5C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C646A4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交银施罗德180天持有期债券型证券投资基金招募说明书</w:t>
            </w:r>
          </w:p>
        </w:tc>
        <w:tc>
          <w:tcPr>
            <w:tcW w:w="750" w:type="pct"/>
            <w:tcBorders>
              <w:top w:val="single" w:color="auto" w:sz="4" w:space="0"/>
              <w:left w:val="single" w:color="auto" w:sz="4" w:space="0"/>
              <w:bottom w:val="single" w:color="auto" w:sz="4" w:space="0"/>
              <w:right w:val="single" w:color="auto" w:sz="4" w:space="0"/>
            </w:tcBorders>
            <w:vAlign w:val="center"/>
          </w:tcPr>
          <w:p w14:paraId="413EBFB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AC2A4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44F6523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B7C9A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23F9211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交银施罗德180天持有期债券型证券投资基金（A类份额）基金产品资料概要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14:paraId="10401D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2AC54F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413EC29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5679A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19265BB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交银施罗德180天持有期债券型证券投资基金（C类份额）基金产品资料概要</w:t>
            </w:r>
          </w:p>
        </w:tc>
        <w:tc>
          <w:tcPr>
            <w:tcW w:w="750" w:type="pct"/>
            <w:tcBorders>
              <w:top w:val="single" w:color="auto" w:sz="4" w:space="0"/>
              <w:left w:val="single" w:color="auto" w:sz="4" w:space="0"/>
              <w:bottom w:val="single" w:color="auto" w:sz="4" w:space="0"/>
              <w:right w:val="single" w:color="auto" w:sz="4" w:space="0"/>
            </w:tcBorders>
            <w:vAlign w:val="center"/>
          </w:tcPr>
          <w:p w14:paraId="019C63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19A1A0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2025-06-24</w:t>
            </w:r>
          </w:p>
        </w:tc>
      </w:tr>
      <w:tr w14:paraId="4C34D87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67113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643A2C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交银施罗德基金管理有限公司关于增加交银施罗德180天持有期债券型证券投资基金销售机构的公告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2C1B993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E9F0A6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2025-06-28</w:t>
            </w:r>
          </w:p>
        </w:tc>
      </w:tr>
      <w:tr w14:paraId="559C854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3B5B9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BA700D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交银施罗德基金管理有限公司关于交银施罗德180天持有期债券型证券投资基金基金合同生效公告</w:t>
            </w:r>
          </w:p>
        </w:tc>
        <w:tc>
          <w:tcPr>
            <w:tcW w:w="750" w:type="pct"/>
            <w:tcBorders>
              <w:top w:val="single" w:color="auto" w:sz="4" w:space="0"/>
              <w:left w:val="single" w:color="auto" w:sz="4" w:space="0"/>
              <w:bottom w:val="single" w:color="auto" w:sz="4" w:space="0"/>
              <w:right w:val="single" w:color="auto" w:sz="4" w:space="0"/>
            </w:tcBorders>
            <w:vAlign w:val="center"/>
          </w:tcPr>
          <w:p w14:paraId="1E37F63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7940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2025-07-19</w:t>
            </w:r>
          </w:p>
        </w:tc>
      </w:tr>
      <w:tr w14:paraId="6CAA54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614E7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7B343A1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交银施罗德基金管理有限公司关于交银施罗德180天持有期债券型证券投资基金开放日常申购、定期定额投资业务的公告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2993F96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9B5CDA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2025-10-15</w:t>
            </w:r>
          </w:p>
        </w:tc>
      </w:tr>
      <w:tr w14:paraId="39D4EBB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B2FEF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58C67A6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7CF63EA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223D5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14:paraId="08F1AE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D9861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5E52CBD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14:paraId="57995BA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CCAE04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14:paraId="79D4BC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487AA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7DDBEBE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交银施罗德基金管理有限公司关于交银施罗德180天持有期债券型证券投资基金开放日常赎回业务的公告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26EBC2D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F2C787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14:paraId="24122E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306648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2B0A7B7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120E2F9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9CDA7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14:paraId="0534E4C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A6B9E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5616F4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043C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25BC8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14:paraId="1A04CA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8DE82C">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43BE770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14:paraId="6E94A86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E71C1F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14:paraId="7A329C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17F4A8">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21FB44C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交银施罗德180天持有期债券型证券投资基金2026年第1季度报告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04F4886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C8258D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14:paraId="604256A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F30646F">
      <w:pPr>
        <w:pStyle w:val="2"/>
        <w:snapToGrid w:val="0"/>
        <w:spacing w:before="240" w:beforeLines="0" w:after="240"/>
        <w:rPr>
          <w:rFonts w:ascii="宋体" w:hAnsi="宋体"/>
          <w:szCs w:val="30"/>
        </w:rPr>
      </w:pPr>
      <w:bookmarkStart w:id="26" w:name="_Toc240548905"/>
      <w:r>
        <w:rPr>
          <w:rFonts w:ascii="Times New Roman" w:hAnsi="Times New Roman"/>
          <w:sz w:val="30"/>
        </w:rPr>
        <w:t>二十四、招募说明书的存放及查阅方式</w:t>
      </w:r>
      <w:bookmarkEnd w:id="26"/>
    </w:p>
    <w:p w14:paraId="7C2F60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5D5F0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7DC796F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86C5056">
      <w:pPr>
        <w:pStyle w:val="2"/>
        <w:snapToGrid w:val="0"/>
        <w:spacing w:before="240" w:beforeLines="0" w:after="240"/>
        <w:rPr>
          <w:rFonts w:ascii="宋体" w:hAnsi="宋体"/>
          <w:szCs w:val="30"/>
        </w:rPr>
      </w:pPr>
      <w:bookmarkStart w:id="27" w:name="_Toc240548906"/>
      <w:r>
        <w:rPr>
          <w:rFonts w:ascii="Times New Roman" w:hAnsi="Times New Roman"/>
          <w:sz w:val="30"/>
        </w:rPr>
        <w:t>二十五、备查文件</w:t>
      </w:r>
      <w:bookmarkEnd w:id="27"/>
    </w:p>
    <w:p w14:paraId="7C1E3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035B49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（一）中国证监会准予交银施罗德180天持有期债券型证券投资基金募集注册的文件</w:t>
      </w:r>
    </w:p>
    <w:p w14:paraId="331FD4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（二）《交银施罗德180天持有期债券型证券投资基金基金合同》</w:t>
      </w:r>
    </w:p>
    <w:p w14:paraId="55E4A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（三）《交银施罗德180天持有期债券型证券投资基金托管协议》</w:t>
      </w:r>
    </w:p>
    <w:p w14:paraId="7CAFDA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6FDB4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56A245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（六）关于申请募集注册交银施罗德180天持有期债券型证券投资基金的法律意见书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E9F2">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14:paraId="18AD711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C8A89">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259A8">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C7A0B">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25AC07F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131</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374F6">
    <w:pPr>
      <w:pStyle w:val="9"/>
      <w:jc w:val="right"/>
      <w:rPr>
        <w:rFonts w:ascii="宋体" w:hAnsi="宋体"/>
      </w:rPr>
    </w:pPr>
    <w:r>
      <w:rPr>
        <w:rFonts w:hint="eastAsia" w:ascii="宋体" w:hAnsi="宋体"/>
      </w:rPr>
      <w:t>交银施罗德180天持有期债券型证券投资基金招募说明书更新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456FC">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30AC7">
    <w:pPr>
      <w:pStyle w:val="10"/>
      <w:jc w:val="right"/>
    </w:pPr>
  </w:p>
  <w:p w14:paraId="1AD13F25">
    <w:pPr>
      <w:pStyle w:val="10"/>
      <w:jc w:val="right"/>
    </w:pPr>
  </w:p>
  <w:p w14:paraId="0CED63AB">
    <w:pPr>
      <w:pStyle w:val="9"/>
      <w:jc w:val="right"/>
    </w:pPr>
  </w:p>
  <w:p w14:paraId="0182D39B">
    <w:pPr>
      <w:pStyle w:val="9"/>
      <w:jc w:val="right"/>
      <w:rPr>
        <w:rFonts w:ascii="宋体" w:hAnsi="宋体"/>
      </w:rPr>
    </w:pPr>
    <w:r>
      <w:rPr>
        <w:rFonts w:hint="eastAsia" w:ascii="宋体" w:hAnsi="宋体"/>
      </w:rPr>
      <w:t>交银施罗德180天持有期债券型证券投资基金招募说明书更新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7C5A6">
    <w:pPr>
      <w:pStyle w:val="9"/>
      <w:jc w:val="right"/>
    </w:pPr>
  </w:p>
  <w:p w14:paraId="19D5A5A0">
    <w:pPr>
      <w:pStyle w:val="9"/>
      <w:jc w:val="right"/>
    </w:pPr>
  </w:p>
  <w:p w14:paraId="2394EE1F">
    <w:pPr>
      <w:pStyle w:val="9"/>
      <w:jc w:val="right"/>
    </w:pPr>
  </w:p>
  <w:p w14:paraId="1E3ACC2F">
    <w:pPr>
      <w:pStyle w:val="9"/>
      <w:jc w:val="right"/>
      <w:rPr>
        <w:rFonts w:ascii="宋体" w:hAnsi="宋体"/>
      </w:rPr>
    </w:pPr>
    <w:r>
      <w:rPr>
        <w:rFonts w:hint="eastAsia" w:ascii="宋体" w:hAnsi="宋体"/>
      </w:rPr>
      <w:t>交银施罗德180天持有期债券型证券投资基金招募说明书更新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25A6"/>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12C9"/>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A8B"/>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57BC"/>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291B381B"/>
    <w:rsid w:val="4D8212ED"/>
    <w:rsid w:val="5ECD4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132</Pages>
  <Words>14007</Words>
  <Characters>79842</Characters>
  <Lines>665</Lines>
  <Paragraphs>187</Paragraphs>
  <TotalTime>0</TotalTime>
  <ScaleCrop>false</ScaleCrop>
  <LinksUpToDate>false</LinksUpToDate>
  <CharactersWithSpaces>93662</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2026-09-17T06:47:00Z</dcterms:created>
  <dc:creator>系统用户</dc:creator>
  <cp:lastModifiedBy>孙文婷</cp:lastModifiedBy>
  <cp:lastPrinted>2013-02-18T03:10:00Z</cp:lastPrinted>
  <dcterms:modified xsi:type="dcterms:W3CDTF">2026-09-18T01:54:54Z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8ABFD69CEC184CC09F232DEEBF048199</vt:lpwstr>
  </property>
</Properties>
</file>