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交银施罗德均衡成长一年持有期混合型证券投资基金（C类份额）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2026-09-18</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2026-09-21</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交银均衡成长一年混合C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010937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招商银行股份有限公司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2021-02-01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其他开放式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每个开放日开放申购；每份基金份额最短持有期限为一年，在最短持有期限内不可赎回</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徐嘉辰</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2025-09-11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2015-12-09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在合理控制风险并保持基金资产良好流动性的前提下，追求超越业绩比较基准的投资回报，力争实现基金资产的长期稳健增值。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中小板、创业板及其他经中国证监会核准或注册上市的股票、存托凭证）、港股通标的股票、债券（含国债、央行票据、金融债券、政府支持债券、政府支持机构债券、地方政府债券、企业债券、公司债券、可转换债券（含可分离交易可转换债券的纯债部分）、可交换公司债券、公开发行的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股票投资（含存托凭证）占基金资产的比例为60%-95%（其中投资于港股通标的股票的比例占股票资产的0%-50%），投资于均衡成长主题相关证券的比例不低于非现金基金资产的80%；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在分析和判断宏观经济周期和金融市场运行趋势的基础上，运用修正后的投资时钟分析框架，自上而下调整基金大类资产配置，确定债券组合久期和债券类别配置；在严谨深入的股票和债券研究分析基础上，自下而上精选个股和个券；在保持总体风险水平相对稳定的基础上，力争获取投资组合的较高回报。</w:t>
            </w:r>
          </w:p>
          <w:p>
            <w:pPr>
              <w:ind w:firstLine="420"/>
              <w:jc w:val="left"/>
              <w:rPr>
                <w:rFonts w:ascii="仿宋_GB2312" w:eastAsia="仿宋_GB2312"/>
                <w:szCs w:val="21"/>
              </w:rPr>
            </w:pPr>
            <w:r>
              <w:rPr>
                <w:rFonts w:hint="eastAsia" w:ascii="仿宋_GB2312" w:eastAsia="仿宋_GB2312"/>
                <w:szCs w:val="21"/>
              </w:rPr>
              <w:t>1、大类资产配置；2、股票投资策略；3、债券投资策略；4、资产支持证券投资策略；5、股指期货投资策略。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沪深300成长指数收益率×65%+中债-国债总财富（1-3年）指数收益率×20%+中证港股通综合指数（人民币）收益率×15%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本基金是一只混合型基金，其预期风险和预期收益高于债券型基金和货币市场基金，低于股票型基金。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详见《交银施罗德均衡成长一年持有期混合型证券投资基金招募说明书》“基金的投资”。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注：1、净值表现数据的截止日为2024年12月31日。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2、本基金合同于2021年2月1日生效，合同生效当年净值增长率按实际存续期计算。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ind w:firstLine="420"/>
        <w:jc w:val="left"/>
        <w:rPr>
          <w:rFonts w:ascii="仿宋_GB2312" w:eastAsia="仿宋_GB2312"/>
          <w:szCs w:val="21"/>
        </w:rPr>
      </w:pPr>
      <w:r>
        <w:rPr>
          <w:rFonts w:hint="eastAsia" w:ascii="仿宋_GB2312" w:eastAsia="仿宋_GB2312"/>
          <w:szCs w:val="21"/>
        </w:rPr>
        <w:t>无。</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0.80%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50000.00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2.21%</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2）本基金每份基金份额的最短持有期限为一年，在最短持有期限内该份基金份额不可赎回，自最短持有期限届满的下一工作日起（含该日）可赎回。对于每笔认购的基金份额而言，最短持有期限自基金合同生效之日起（含该日）至一年后的年度对日的前一日；对于每笔申购的基金份额而言，最短持有期限自该笔申购份额确认日（含该日）至一年后的年度对日的前一日。因此，对于基金份额持有人而言，存在投资本基金后一年内无法赎回的风险。</w:t>
      </w:r>
    </w:p>
    <w:p>
      <w:pPr>
        <w:ind w:firstLine="420"/>
        <w:jc w:val="left"/>
        <w:rPr>
          <w:rFonts w:ascii="仿宋_GB2312" w:eastAsia="仿宋_GB2312"/>
          <w:szCs w:val="21"/>
        </w:rPr>
      </w:pPr>
      <w:r>
        <w:rPr>
          <w:rFonts w:hint="eastAsia" w:ascii="仿宋_GB2312" w:eastAsia="仿宋_GB2312"/>
          <w:szCs w:val="21"/>
        </w:rPr>
        <w:t>（3）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（4）基金合同提前终止风险。连续50个工作日出现基金份额持有人数量不满200人或者基金资产净值低于5000万元情形的，基金合同终止，不需召开基金份额持有人大会。</w:t>
      </w:r>
    </w:p>
    <w:p>
      <w:pPr>
        <w:ind w:firstLine="420"/>
        <w:jc w:val="left"/>
        <w:rPr>
          <w:rFonts w:ascii="仿宋_GB2312" w:eastAsia="仿宋_GB2312"/>
          <w:szCs w:val="21"/>
        </w:rPr>
      </w:pPr>
      <w:r>
        <w:rPr>
          <w:rFonts w:hint="eastAsia" w:ascii="仿宋_GB2312" w:eastAsia="仿宋_GB2312"/>
          <w:szCs w:val="21"/>
        </w:rPr>
        <w:t>（5）本基金可投资创业板股票，创业板个股上市后的前五个交易日不设价格涨跌幅限制，第六个交易日开始涨跌幅限制比例为20%。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7、投资资产支持证券的特定风险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8、投资流通受限证券的特定风险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9、投资科创板股票的特定风险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10、投资港股通标的股票的特定风险</w:t>
      </w:r>
    </w:p>
    <w:p>
      <w:pPr>
        <w:ind w:firstLine="420"/>
        <w:jc w:val="left"/>
        <w:rPr>
          <w:rFonts w:ascii="仿宋_GB2312" w:eastAsia="仿宋_GB2312"/>
          <w:szCs w:val="21"/>
        </w:rPr>
      </w:pPr>
      <w:r>
        <w:rPr>
          <w:rFonts w:hint="eastAsia" w:ascii="仿宋_GB2312" w:eastAsia="仿宋_GB2312"/>
          <w:szCs w:val="21"/>
        </w:rPr>
        <w:t>本基金可投资港股通标的股票，会面临港股通机制下因投资环境、投资标的、市场制度以及交易规则等差异带来的特有风险，具体如下：（1）港股交易失败风险、（2）汇率风险、（3）境外市场的风险、（4）本基金可根据投资策略需要或不同配置地市场环境的变化，选择将部分基金资产投资于港股或选择不将基金资产投资于港股，基金资产并非必然投资港股。</w:t>
      </w:r>
    </w:p>
    <w:p>
      <w:pPr>
        <w:ind w:firstLine="420"/>
        <w:jc w:val="left"/>
        <w:rPr>
          <w:rFonts w:ascii="仿宋_GB2312" w:eastAsia="仿宋_GB2312"/>
          <w:szCs w:val="21"/>
        </w:rPr>
      </w:pPr>
      <w:r>
        <w:rPr>
          <w:rFonts w:hint="eastAsia" w:ascii="仿宋_GB2312" w:eastAsia="仿宋_GB2312"/>
          <w:szCs w:val="21"/>
        </w:rPr>
        <w:t>11、投资存托凭证的特定风险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12、本基金法律文件风险收益特征表述与销售机构基金风险评价可能不一致的风险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13、其他风险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因基金合同而产生的或与基金合同有关的一切争议，如经友好协商未能解决的，任何一方均有权将争议提交深圳国际仲裁院，按其届时有效的仲裁规则进行仲裁。仲裁地点为深圳市。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●《交银施罗德均衡成长一年持有期混合型证券投资基金基金合同》、</w:t>
      </w:r>
    </w:p>
    <w:p>
      <w:pPr>
        <w:ind w:firstLine="420"/>
        <w:jc w:val="left"/>
        <w:rPr>
          <w:rFonts w:ascii="仿宋_GB2312" w:eastAsia="仿宋_GB2312"/>
          <w:szCs w:val="21"/>
        </w:rPr>
      </w:pPr>
      <w:r>
        <w:rPr>
          <w:rFonts w:hint="eastAsia" w:ascii="仿宋_GB2312" w:eastAsia="仿宋_GB2312"/>
          <w:szCs w:val="21"/>
        </w:rPr>
        <w:t>《交银施罗德均衡成长一年持有期混合型证券投资基金托管协议》、</w:t>
      </w:r>
    </w:p>
    <w:p>
      <w:pPr>
        <w:ind w:firstLine="420"/>
        <w:jc w:val="left"/>
        <w:rPr>
          <w:rFonts w:ascii="仿宋_GB2312" w:eastAsia="仿宋_GB2312"/>
          <w:szCs w:val="21"/>
        </w:rPr>
      </w:pPr>
      <w:r>
        <w:rPr>
          <w:rFonts w:hint="eastAsia" w:ascii="仿宋_GB2312" w:eastAsia="仿宋_GB2312"/>
          <w:szCs w:val="21"/>
        </w:rPr>
        <w:t>《交银施罗德均衡成长一年持有期混合型证券投资基金招募说明书》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5444F7"/>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4F9F17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782</Words>
  <Characters>4464</Characters>
  <Lines>37</Lines>
  <Paragraphs>10</Paragraphs>
  <TotalTime>0</TotalTime>
  <ScaleCrop>false</ScaleCrop>
  <LinksUpToDate>false</LinksUpToDate>
  <CharactersWithSpaces>5236</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2026-09-17T02:42:00Z</dcterms:created>
  <dc:creator>Cc</dc:creator>
  <cp:lastModifiedBy>haotingting</cp:lastModifiedBy>
  <dcterms:modified xsi:type="dcterms:W3CDTF">2026-09-17T07:57:08Z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B41F092228B54AB5B005A312496235BC</vt:lpwstr>
  </property>
</Properties>
</file>