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交银施罗德国企改革灵活配置混合型证券投资基金（A类份额）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交银国企改革灵活配置混合A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519756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2015-06-10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本基金主要投资受益于国企改革红利的上市公司股票，通过积极主动的投资管理，在合理控制投资风险的基础上，力争实现基金资产的长期稳定增值。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其余资产投资于债券、中期票据、货币市场工具、现金、权证、资产支持证券以及法律法规或中国证监会允许基金投资的其他证券品种；本基金投资受益于国企改革相关上市公司证券的比例不低于非现金基金资产的80%；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其中，本基金股票投资重点关注直接受益于国企改革红利、或在国企改革推动下盈利水平长期显著提升的其他上市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中证国有企业改革指数收益率×80%+中债-国债总财富（1-3年）指数收益率×20%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详见《交银施罗德国企改革灵活配置混合型证券投资基金招募说明书》“基金的投资”。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w:t>
      </w:r>
    </w:p>
    <w:p>
      <w:pPr>
        <w:ind w:firstLine="420"/>
        <w:jc w:val="left"/>
        <w:rPr>
          <w:rFonts w:ascii="仿宋_GB2312" w:eastAsia="仿宋_GB2312"/>
          <w:szCs w:val="21"/>
        </w:rPr>
      </w:pPr>
      <w:r>
        <w:rPr>
          <w:rFonts w:hint="eastAsia" w:ascii="仿宋_GB2312" w:eastAsia="仿宋_GB2312"/>
          <w:szCs w:val="21"/>
        </w:rPr>
        <w:t>本基金投资于核心资产主题相关证券的比例不低于非现金基金资产的 80%，因此本基金的股票投资业绩与本基金界定的具有核心资产的公司发行证券的相关性较大，需承担相应风险。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《交银施罗德国企改革灵活配置混合型证券投资基金招募说明书》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92AC6"/>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0583A"/>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731</Words>
  <Characters>4172</Characters>
  <Lines>34</Lines>
  <Paragraphs>9</Paragraphs>
  <TotalTime>49</TotalTime>
  <ScaleCrop>false</ScaleCrop>
  <LinksUpToDate>false</LinksUpToDate>
  <CharactersWithSpaces>4894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2026-09-17T07:55:08Z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CE8198CEECFD459E97E92CD470EB92EA</vt:lpwstr>
  </property>
</Properties>
</file>