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交银施罗德创新成长混合型证券投资基金</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交银创新成长混合</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006223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2018-09-27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周中</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2018-09-27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2009-07-13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出现基金份额持有人数量不满200人或者基金资产净值低于5000万元情形的，基金管理人应当在定期报告中予以披露。连续六十个工作日出现基金份额持有人数量不满200人或者基金资产净值低于5000万元情形的，基金管理人可向中国证监会报告并提前终止基金合同，无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本基金通过优化资产配置和灵活运用多种投资策略，把握港股通资本市场开放政策下的投资机会，力争实现基金资产的稳定增值。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内地依法发行上市的股票(含中小板、创业板及其他经中国证监会核准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权证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50%-95%(其中，投资于内地依法发行上市的股票的比例占基金资产的50-95%，投资于港股通标的股票的比例占股票资产的0-50%)，其中投资于创新成长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将综合考虑国家经济政策、经济周期、各行业的相对估值水平和行业竞争格局等因素，运用修正后的投资时钟分析框架，自上而下调整基金大类资产配置和股票行业配置策略，确定债券组合久期和债券类别配置；在严谨深入的股票和债券研究分析基础上，自下而上精选个券。</w:t>
            </w:r>
          </w:p>
          <w:p>
            <w:pPr>
              <w:ind w:firstLine="420"/>
              <w:jc w:val="left"/>
              <w:rPr>
                <w:rFonts w:ascii="仿宋_GB2312" w:eastAsia="仿宋_GB2312"/>
                <w:szCs w:val="21"/>
              </w:rPr>
            </w:pPr>
            <w:r>
              <w:rPr>
                <w:rFonts w:hint="eastAsia" w:ascii="仿宋_GB2312" w:eastAsia="仿宋_GB2312"/>
                <w:szCs w:val="21"/>
              </w:rPr>
              <w:t>1、资产配置；2、股票投资策略；3、债券投资；4、权证投资；5、资产支持证券投资；6、股指期货投资。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沪深300成长指数收益率×55%+中证港股通综合指数（人民币）收益率×30%+中债-国债总财富（1-3年）指数收益率×15%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详见《交银施罗德创新成长混合型证券投资基金招募说明书》“基金的投资”。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2、本基金合同于2018年9月27日生效，合同生效当年净值增长率按实际存续期计算；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M＜200万元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1%</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20000.00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1.55%</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港股通标的股票，会面临港股通机制下因投资环境、投资标的、市场制度以及交易规则等差异带来的特有风险，包括：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于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集中度风险、系统性风险、政策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11、其他风险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bookmarkEnd w:id="0"/>
    </w:p>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●《交银施罗德创新成长混合型证券投资基金基金合同》、</w:t>
      </w:r>
    </w:p>
    <w:p>
      <w:pPr>
        <w:ind w:firstLine="420"/>
        <w:jc w:val="left"/>
        <w:rPr>
          <w:rFonts w:ascii="仿宋_GB2312" w:eastAsia="仿宋_GB2312"/>
          <w:szCs w:val="21"/>
        </w:rPr>
      </w:pPr>
      <w:r>
        <w:rPr>
          <w:rFonts w:hint="eastAsia" w:ascii="仿宋_GB2312" w:eastAsia="仿宋_GB2312"/>
          <w:szCs w:val="21"/>
        </w:rPr>
        <w:t>《交银施罗德创新成长混合型证券投资基金托管协议》、</w:t>
      </w:r>
    </w:p>
    <w:p>
      <w:pPr>
        <w:ind w:firstLine="420"/>
        <w:jc w:val="left"/>
        <w:rPr>
          <w:rFonts w:ascii="仿宋_GB2312" w:eastAsia="仿宋_GB2312"/>
          <w:szCs w:val="21"/>
        </w:rPr>
      </w:pPr>
      <w:r>
        <w:rPr>
          <w:rFonts w:hint="eastAsia" w:ascii="仿宋_GB2312" w:eastAsia="仿宋_GB2312"/>
          <w:szCs w:val="21"/>
        </w:rPr>
        <w:t>《交银施罗德创新成长混合型证券投资基金招募说明书》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818A1"/>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13D721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764</Words>
  <Characters>4356</Characters>
  <Lines>36</Lines>
  <Paragraphs>10</Paragraphs>
  <TotalTime>0</TotalTime>
  <ScaleCrop>false</ScaleCrop>
  <LinksUpToDate>false</LinksUpToDate>
  <CharactersWithSpaces>5110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2026-09-17T02:41:00Z</dcterms:created>
  <dc:creator>Cc</dc:creator>
  <cp:lastModifiedBy>haotingting</cp:lastModifiedBy>
  <dcterms:modified xsi:type="dcterms:W3CDTF">2026-09-17T07:01:34Z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80EFF2B2CD0F48E599F84261E7DDD0B7</vt:lpwstr>
  </property>
</Properties>
</file>