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57094">
      <w:pPr>
        <w:rPr>
          <w:sz w:val="32"/>
        </w:rPr>
      </w:pPr>
    </w:p>
    <w:p w:rsidR="00C92FC0" w:rsidRPr="00EB07BC" w:rsidRDefault="00557094">
      <w:pPr>
        <w:rPr>
          <w:sz w:val="32"/>
        </w:rPr>
      </w:pPr>
    </w:p>
    <w:p w:rsidR="00C92FC0" w:rsidRPr="00EB07BC" w:rsidRDefault="00557094">
      <w:pPr>
        <w:rPr>
          <w:sz w:val="32"/>
        </w:rPr>
      </w:pPr>
    </w:p>
    <w:p w:rsidR="00C906F2" w:rsidRDefault="00C906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906F2" w:rsidRDefault="00C906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906F2" w:rsidRDefault="00C906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906F2" w:rsidRDefault="000D0FC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交银施罗德瑞和三年持有期混合型证券投资基金</w:t>
      </w:r>
    </w:p>
    <w:p w:rsidR="00C906F2" w:rsidRDefault="000D0FC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906F2" w:rsidRDefault="00C906F2">
      <w:pPr>
        <w:snapToGrid w:val="0"/>
        <w:spacing w:line="360" w:lineRule="auto"/>
        <w:jc w:val="center"/>
        <w:rPr>
          <w:rFonts w:ascii="宋体" w:hAnsi="宋体"/>
          <w:b/>
          <w:sz w:val="30"/>
          <w:szCs w:val="30"/>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0D0FC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906F2" w:rsidRDefault="000D0FC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C906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906F2" w:rsidRDefault="000D0FC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C906F2" w:rsidRDefault="00C906F2">
      <w:pPr>
        <w:autoSpaceDE w:val="0"/>
        <w:autoSpaceDN w:val="0"/>
        <w:adjustRightInd w:val="0"/>
        <w:snapToGrid w:val="0"/>
        <w:spacing w:line="360" w:lineRule="auto"/>
        <w:ind w:left="1347" w:rightChars="6" w:right="13"/>
        <w:rPr>
          <w:rFonts w:ascii="宋体" w:hAnsi="宋体"/>
          <w:kern w:val="0"/>
          <w:sz w:val="32"/>
          <w:szCs w:val="32"/>
        </w:rPr>
        <w:sectPr w:rsidR="00C906F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906F2" w:rsidRDefault="000D0FC9">
      <w:pPr>
        <w:pStyle w:val="1"/>
        <w:snapToGrid w:val="0"/>
        <w:spacing w:beforeLines="0" w:before="240" w:after="240"/>
        <w:rPr>
          <w:rFonts w:ascii="宋体" w:hAnsi="宋体"/>
          <w:kern w:val="0"/>
        </w:rPr>
      </w:pPr>
      <w:bookmarkStart w:id="0" w:name="_Toc324920538"/>
      <w:bookmarkStart w:id="1" w:name="_Toc496884613"/>
      <w:bookmarkStart w:id="2" w:name="_Toc240548794"/>
      <w:r>
        <w:rPr>
          <w:rFonts w:ascii="Times New Roman" w:hAnsi="Times New Roman"/>
          <w:kern w:val="0"/>
        </w:rPr>
        <w:lastRenderedPageBreak/>
        <w:t>重要提示</w:t>
      </w:r>
      <w:bookmarkEnd w:id="0"/>
      <w:bookmarkEnd w:id="1"/>
      <w:bookmarkEnd w:id="2"/>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交银施罗德瑞和三年持有期混合型证券投资基金（以下简称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2466</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日正式生效。</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万元情形时基金合同终止的风险；投资本基金的其他风险等等。本基金是一只混合型基金，其预期风险和预期收益高于债券型基金和货币市场基金，低于股票型基金。</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的年度对日的前一日；对于每笔申购的基金份额而言，最短持有期限自该笔申购份额确认日（含该日）至三年后的年度对日的前一日。因此，对于基金份额持有人而言，存在投资本基金后三年内无法赎回的风险。</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906F2" w:rsidRDefault="000D0FC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C906F2" w:rsidRDefault="00C906F2">
      <w:pPr>
        <w:autoSpaceDE w:val="0"/>
        <w:autoSpaceDN w:val="0"/>
        <w:adjustRightInd w:val="0"/>
        <w:snapToGrid w:val="0"/>
        <w:spacing w:before="51" w:line="360" w:lineRule="auto"/>
        <w:ind w:left="120" w:rightChars="6" w:right="13" w:firstLine="480"/>
        <w:rPr>
          <w:rFonts w:ascii="宋体" w:hAnsi="宋体"/>
          <w:kern w:val="0"/>
          <w:szCs w:val="24"/>
        </w:rPr>
        <w:sectPr w:rsidR="00C906F2">
          <w:headerReference w:type="default" r:id="rId14"/>
          <w:pgSz w:w="11920" w:h="16840"/>
          <w:pgMar w:top="1440" w:right="1680" w:bottom="280" w:left="1680" w:header="0" w:footer="1073" w:gutter="0"/>
          <w:pgNumType w:start="1"/>
          <w:cols w:space="720"/>
        </w:sectPr>
      </w:pPr>
    </w:p>
    <w:p w:rsidR="00557094" w:rsidRPr="00557094" w:rsidRDefault="000D0FC9" w:rsidP="00557094">
      <w:pPr>
        <w:pStyle w:val="ad"/>
        <w:snapToGrid w:val="0"/>
        <w:spacing w:after="240" w:line="360" w:lineRule="auto"/>
        <w:jc w:val="center"/>
        <w:rPr>
          <w:rFonts w:ascii="宋体" w:hAnsi="宋体"/>
          <w:noProof/>
          <w:sz w:val="24"/>
        </w:rPr>
      </w:pPr>
      <w:r w:rsidRPr="00557094">
        <w:rPr>
          <w:rFonts w:ascii="宋体" w:hAnsi="宋体"/>
          <w:color w:val="000000"/>
          <w:position w:val="-4"/>
          <w:sz w:val="24"/>
          <w:szCs w:val="30"/>
        </w:rPr>
        <w:lastRenderedPageBreak/>
        <w:t>目</w:t>
      </w:r>
      <w:r w:rsidRPr="00557094">
        <w:rPr>
          <w:rFonts w:ascii="宋体" w:hAnsi="宋体"/>
          <w:color w:val="000000"/>
          <w:position w:val="-4"/>
          <w:sz w:val="24"/>
          <w:szCs w:val="30"/>
        </w:rPr>
        <w:tab/>
        <w:t>录</w:t>
      </w:r>
      <w:r w:rsidR="00557094" w:rsidRPr="00557094">
        <w:rPr>
          <w:rFonts w:ascii="宋体" w:hAnsi="宋体"/>
          <w:color w:val="000000"/>
          <w:position w:val="-4"/>
          <w:sz w:val="24"/>
          <w:szCs w:val="30"/>
        </w:rPr>
        <w:fldChar w:fldCharType="begin"/>
      </w:r>
      <w:r w:rsidR="00557094" w:rsidRPr="00557094">
        <w:rPr>
          <w:rFonts w:ascii="宋体" w:hAnsi="宋体"/>
          <w:color w:val="000000"/>
          <w:position w:val="-4"/>
          <w:sz w:val="24"/>
          <w:szCs w:val="30"/>
        </w:rPr>
        <w:instrText xml:space="preserve"> TOC \o "1-3" \f - \h \t "-1" </w:instrText>
      </w:r>
      <w:r w:rsidR="00557094" w:rsidRPr="00557094">
        <w:rPr>
          <w:rFonts w:ascii="宋体" w:hAnsi="宋体"/>
          <w:color w:val="000000"/>
          <w:position w:val="-4"/>
          <w:sz w:val="24"/>
          <w:szCs w:val="30"/>
        </w:rPr>
        <w:fldChar w:fldCharType="separate"/>
      </w:r>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4" w:history="1">
        <w:r w:rsidRPr="00557094">
          <w:rPr>
            <w:rStyle w:val="aa"/>
            <w:rFonts w:ascii="宋体" w:hAnsi="宋体" w:hint="eastAsia"/>
            <w:noProof/>
            <w:kern w:val="0"/>
            <w:sz w:val="24"/>
          </w:rPr>
          <w:t>重要提示</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_Toc240548794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5" w:history="1">
        <w:r w:rsidRPr="00557094">
          <w:rPr>
            <w:rStyle w:val="aa"/>
            <w:rFonts w:ascii="宋体" w:hAnsi="宋体" w:hint="eastAsia"/>
            <w:noProof/>
            <w:sz w:val="24"/>
          </w:rPr>
          <w:t>一、绪言</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_Toc240548795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5</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6" w:history="1">
        <w:r w:rsidRPr="00557094">
          <w:rPr>
            <w:rStyle w:val="aa"/>
            <w:rFonts w:ascii="宋体" w:hAnsi="宋体" w:hint="eastAsia"/>
            <w:noProof/>
            <w:sz w:val="24"/>
          </w:rPr>
          <w:t>二、释义</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_Toc240548796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6</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7" w:history="1">
        <w:r w:rsidRPr="00557094">
          <w:rPr>
            <w:rStyle w:val="aa"/>
            <w:rFonts w:ascii="宋体" w:hAnsi="宋体" w:hint="eastAsia"/>
            <w:noProof/>
            <w:sz w:val="24"/>
          </w:rPr>
          <w:t>三、基金管理人</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_Toc240548797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11</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8" w:history="1">
        <w:r w:rsidRPr="00557094">
          <w:rPr>
            <w:rStyle w:val="aa"/>
            <w:rFonts w:ascii="宋体" w:hAnsi="宋体" w:hint="eastAsia"/>
            <w:noProof/>
            <w:sz w:val="24"/>
          </w:rPr>
          <w:t>四、基金托管人</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_Toc240548798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18</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799" w:history="1">
        <w:r w:rsidRPr="00557094">
          <w:rPr>
            <w:rStyle w:val="aa"/>
            <w:rFonts w:ascii="宋体" w:hAnsi="宋体" w:hint="eastAsia"/>
            <w:noProof/>
            <w:sz w:val="24"/>
          </w:rPr>
          <w:t>五、相关服务机构</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_Toc240548799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25</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0" w:history="1">
        <w:r w:rsidRPr="00557094">
          <w:rPr>
            <w:rStyle w:val="aa"/>
            <w:rFonts w:ascii="宋体" w:hAnsi="宋体" w:hint="eastAsia"/>
            <w:noProof/>
            <w:sz w:val="24"/>
          </w:rPr>
          <w:t>六、基金的募集</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_Toc240548800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53</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1" w:history="1">
        <w:r w:rsidRPr="00557094">
          <w:rPr>
            <w:rStyle w:val="aa"/>
            <w:rFonts w:ascii="宋体" w:hAnsi="宋体" w:hint="eastAsia"/>
            <w:noProof/>
            <w:sz w:val="24"/>
          </w:rPr>
          <w:t>七、基金合同的生效</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_Toc240548801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54</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2" w:history="1">
        <w:r w:rsidRPr="00557094">
          <w:rPr>
            <w:rStyle w:val="aa"/>
            <w:rFonts w:ascii="宋体" w:hAnsi="宋体" w:hint="eastAsia"/>
            <w:noProof/>
            <w:sz w:val="24"/>
          </w:rPr>
          <w:t>八、基金份额的申购与赎回</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_Toc240548802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55</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3" w:history="1">
        <w:r w:rsidRPr="00557094">
          <w:rPr>
            <w:rStyle w:val="aa"/>
            <w:rFonts w:ascii="宋体" w:hAnsi="宋体" w:hint="eastAsia"/>
            <w:noProof/>
            <w:sz w:val="24"/>
          </w:rPr>
          <w:t>九、基金的转换</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_Toc240548803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67</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4" w:history="1">
        <w:r w:rsidRPr="00557094">
          <w:rPr>
            <w:rStyle w:val="aa"/>
            <w:rFonts w:ascii="宋体" w:hAnsi="宋体" w:hint="eastAsia"/>
            <w:noProof/>
            <w:sz w:val="24"/>
          </w:rPr>
          <w:t>十、基金的投资</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_Toc240548804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74</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5" w:history="1">
        <w:r w:rsidRPr="00557094">
          <w:rPr>
            <w:rStyle w:val="aa"/>
            <w:rFonts w:ascii="宋体" w:hAnsi="宋体" w:hint="eastAsia"/>
            <w:noProof/>
            <w:sz w:val="24"/>
          </w:rPr>
          <w:t>十一、基金的业绩</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_Toc240548805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87</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6" w:history="1">
        <w:r w:rsidRPr="00557094">
          <w:rPr>
            <w:rStyle w:val="aa"/>
            <w:rFonts w:ascii="宋体" w:hAnsi="宋体" w:hint="eastAsia"/>
            <w:noProof/>
            <w:sz w:val="24"/>
          </w:rPr>
          <w:t>十二、基金的财产</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_Toc240548806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89</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7" w:history="1">
        <w:r w:rsidRPr="00557094">
          <w:rPr>
            <w:rStyle w:val="aa"/>
            <w:rFonts w:ascii="宋体" w:hAnsi="宋体" w:hint="eastAsia"/>
            <w:noProof/>
            <w:sz w:val="24"/>
          </w:rPr>
          <w:t>十三、基金资产的估值</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_Toc240548807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90</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8" w:history="1">
        <w:r w:rsidRPr="00557094">
          <w:rPr>
            <w:rStyle w:val="aa"/>
            <w:rFonts w:ascii="宋体" w:hAnsi="宋体" w:hint="eastAsia"/>
            <w:noProof/>
            <w:sz w:val="24"/>
          </w:rPr>
          <w:t>十四、基金收益与分配</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_Toc240548808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97</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09" w:history="1">
        <w:r w:rsidRPr="00557094">
          <w:rPr>
            <w:rStyle w:val="aa"/>
            <w:rFonts w:ascii="宋体" w:hAnsi="宋体" w:hint="eastAsia"/>
            <w:noProof/>
            <w:sz w:val="24"/>
          </w:rPr>
          <w:t>十五、基金的费用与税收</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_Toc240548809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99</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0" w:history="1">
        <w:r w:rsidRPr="00557094">
          <w:rPr>
            <w:rStyle w:val="aa"/>
            <w:rFonts w:ascii="宋体" w:hAnsi="宋体" w:hint="eastAsia"/>
            <w:noProof/>
            <w:sz w:val="24"/>
          </w:rPr>
          <w:t>十六、基金的会计与审计</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_Toc240548810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102</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1" w:history="1">
        <w:r w:rsidRPr="00557094">
          <w:rPr>
            <w:rStyle w:val="aa"/>
            <w:rFonts w:ascii="宋体" w:hAnsi="宋体" w:hint="eastAsia"/>
            <w:noProof/>
            <w:sz w:val="24"/>
          </w:rPr>
          <w:t>十七、基金的信息披露</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_Toc240548811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103</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2" w:history="1">
        <w:r w:rsidRPr="00557094">
          <w:rPr>
            <w:rStyle w:val="aa"/>
            <w:rFonts w:ascii="宋体" w:hAnsi="宋体" w:hint="eastAsia"/>
            <w:noProof/>
            <w:sz w:val="24"/>
          </w:rPr>
          <w:t>十八、侧袋机制</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_Toc240548812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110</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3" w:history="1">
        <w:r w:rsidRPr="00557094">
          <w:rPr>
            <w:rStyle w:val="aa"/>
            <w:rFonts w:ascii="宋体" w:hAnsi="宋体" w:hint="eastAsia"/>
            <w:noProof/>
            <w:sz w:val="24"/>
          </w:rPr>
          <w:t>十九、风险揭示</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_Toc240548813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113</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4" w:history="1">
        <w:r w:rsidRPr="00557094">
          <w:rPr>
            <w:rStyle w:val="aa"/>
            <w:rFonts w:ascii="宋体" w:hAnsi="宋体" w:hint="eastAsia"/>
            <w:noProof/>
            <w:sz w:val="24"/>
          </w:rPr>
          <w:t>二十、基金合同的变更、终止与基金财产的清算</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_Toc240548814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124</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5" w:history="1">
        <w:r w:rsidRPr="00557094">
          <w:rPr>
            <w:rStyle w:val="aa"/>
            <w:rFonts w:ascii="宋体" w:hAnsi="宋体" w:hint="eastAsia"/>
            <w:noProof/>
            <w:sz w:val="24"/>
          </w:rPr>
          <w:t>二十一、基金合同内容摘要</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_Toc240548815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126</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6" w:history="1">
        <w:r w:rsidRPr="00557094">
          <w:rPr>
            <w:rStyle w:val="aa"/>
            <w:rFonts w:ascii="宋体" w:hAnsi="宋体" w:hint="eastAsia"/>
            <w:noProof/>
            <w:sz w:val="24"/>
          </w:rPr>
          <w:t>二十二、托管协议的内容摘要</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_Toc240548816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143</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7" w:history="1">
        <w:r w:rsidRPr="00557094">
          <w:rPr>
            <w:rStyle w:val="aa"/>
            <w:rFonts w:ascii="宋体" w:hAnsi="宋体" w:hint="eastAsia"/>
            <w:noProof/>
            <w:sz w:val="24"/>
          </w:rPr>
          <w:t>二十三、对基金份额持有人的服务</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_Toc240548817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161</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8" w:history="1">
        <w:r w:rsidRPr="00557094">
          <w:rPr>
            <w:rStyle w:val="aa"/>
            <w:rFonts w:ascii="宋体" w:hAnsi="宋体" w:hint="eastAsia"/>
            <w:noProof/>
            <w:sz w:val="24"/>
          </w:rPr>
          <w:t>二十四、其他应披露事项</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_Toc240548818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163</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19" w:history="1">
        <w:r w:rsidRPr="00557094">
          <w:rPr>
            <w:rStyle w:val="aa"/>
            <w:rFonts w:ascii="宋体" w:hAnsi="宋体" w:hint="eastAsia"/>
            <w:noProof/>
            <w:sz w:val="24"/>
          </w:rPr>
          <w:t>二十五、招募说明书的存放及查阅方式</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_Toc240548819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165</w:t>
        </w:r>
        <w:r w:rsidRPr="00557094">
          <w:rPr>
            <w:rFonts w:ascii="宋体" w:hAnsi="宋体"/>
            <w:noProof/>
            <w:sz w:val="24"/>
          </w:rPr>
          <w:fldChar w:fldCharType="end"/>
        </w:r>
      </w:hyperlink>
    </w:p>
    <w:p w:rsidR="00557094" w:rsidRPr="00557094" w:rsidRDefault="00557094" w:rsidP="00557094">
      <w:pPr>
        <w:pStyle w:val="10"/>
        <w:tabs>
          <w:tab w:val="right" w:leader="dot" w:pos="8550"/>
        </w:tabs>
        <w:spacing w:line="360" w:lineRule="auto"/>
        <w:rPr>
          <w:rFonts w:ascii="宋体" w:hAnsi="宋体" w:cstheme="minorBidi"/>
          <w:noProof/>
          <w:sz w:val="24"/>
        </w:rPr>
      </w:pPr>
      <w:hyperlink w:anchor="_Toc240548820" w:history="1">
        <w:r w:rsidRPr="00557094">
          <w:rPr>
            <w:rStyle w:val="aa"/>
            <w:rFonts w:ascii="宋体" w:hAnsi="宋体" w:hint="eastAsia"/>
            <w:noProof/>
            <w:sz w:val="24"/>
          </w:rPr>
          <w:t>二十六、备查文件</w:t>
        </w:r>
        <w:r w:rsidRPr="00557094">
          <w:rPr>
            <w:rFonts w:ascii="宋体" w:hAnsi="宋体"/>
            <w:noProof/>
            <w:sz w:val="24"/>
          </w:rPr>
          <w:tab/>
        </w:r>
        <w:r w:rsidRPr="00557094">
          <w:rPr>
            <w:rFonts w:ascii="宋体" w:hAnsi="宋体"/>
            <w:noProof/>
            <w:sz w:val="24"/>
          </w:rPr>
          <w:fldChar w:fldCharType="begin"/>
        </w:r>
        <w:r w:rsidRPr="00557094">
          <w:rPr>
            <w:rFonts w:ascii="宋体" w:hAnsi="宋体"/>
            <w:noProof/>
            <w:sz w:val="24"/>
          </w:rPr>
          <w:instrText xml:space="preserve"> PAGEREF _Toc240548820 \h </w:instrText>
        </w:r>
        <w:r w:rsidRPr="00557094">
          <w:rPr>
            <w:rFonts w:ascii="宋体" w:hAnsi="宋体"/>
            <w:noProof/>
            <w:sz w:val="24"/>
          </w:rPr>
        </w:r>
        <w:r w:rsidRPr="00557094">
          <w:rPr>
            <w:rFonts w:ascii="宋体" w:hAnsi="宋体"/>
            <w:noProof/>
            <w:sz w:val="24"/>
          </w:rPr>
          <w:fldChar w:fldCharType="separate"/>
        </w:r>
        <w:r w:rsidRPr="00557094">
          <w:rPr>
            <w:rFonts w:ascii="宋体" w:hAnsi="宋体"/>
            <w:noProof/>
            <w:sz w:val="24"/>
          </w:rPr>
          <w:t>166</w:t>
        </w:r>
        <w:r w:rsidRPr="00557094">
          <w:rPr>
            <w:rFonts w:ascii="宋体" w:hAnsi="宋体"/>
            <w:noProof/>
            <w:sz w:val="24"/>
          </w:rPr>
          <w:fldChar w:fldCharType="end"/>
        </w:r>
      </w:hyperlink>
    </w:p>
    <w:p w:rsidR="00C906F2" w:rsidRPr="00557094" w:rsidRDefault="00557094" w:rsidP="00557094">
      <w:pPr>
        <w:pStyle w:val="ad"/>
        <w:snapToGrid w:val="0"/>
        <w:spacing w:after="240" w:line="360" w:lineRule="auto"/>
        <w:jc w:val="center"/>
        <w:rPr>
          <w:rFonts w:ascii="宋体" w:hAnsi="宋体"/>
          <w:color w:val="000000"/>
          <w:sz w:val="24"/>
        </w:rPr>
      </w:pPr>
      <w:r w:rsidRPr="00557094">
        <w:rPr>
          <w:rFonts w:ascii="宋体" w:hAnsi="宋体"/>
          <w:color w:val="000000"/>
          <w:position w:val="-4"/>
          <w:sz w:val="24"/>
          <w:szCs w:val="30"/>
        </w:rPr>
        <w:fldChar w:fldCharType="end"/>
      </w:r>
      <w:bookmarkStart w:id="3" w:name="_GoBack"/>
      <w:bookmarkEnd w:id="3"/>
    </w:p>
    <w:p w:rsidR="00C906F2" w:rsidRDefault="00C906F2">
      <w:pPr>
        <w:autoSpaceDE w:val="0"/>
        <w:autoSpaceDN w:val="0"/>
        <w:adjustRightInd w:val="0"/>
        <w:snapToGrid w:val="0"/>
        <w:spacing w:line="360" w:lineRule="auto"/>
        <w:ind w:left="120" w:rightChars="6" w:right="13"/>
        <w:rPr>
          <w:rFonts w:ascii="宋体" w:hAnsi="宋体"/>
          <w:kern w:val="0"/>
          <w:szCs w:val="24"/>
        </w:rPr>
        <w:sectPr w:rsidR="00C906F2">
          <w:pgSz w:w="11920" w:h="16840"/>
          <w:pgMar w:top="1480" w:right="1680" w:bottom="280" w:left="1680" w:header="0" w:footer="1073" w:gutter="0"/>
          <w:cols w:space="720"/>
        </w:sectPr>
      </w:pPr>
    </w:p>
    <w:p w:rsidR="00C906F2" w:rsidRDefault="000D0FC9">
      <w:pPr>
        <w:pStyle w:val="1"/>
        <w:snapToGrid w:val="0"/>
        <w:spacing w:beforeLines="0" w:before="240" w:after="240"/>
        <w:rPr>
          <w:rFonts w:ascii="宋体" w:hAnsi="宋体"/>
          <w:szCs w:val="30"/>
        </w:rPr>
      </w:pPr>
      <w:bookmarkStart w:id="4" w:name="_Toc240548795"/>
      <w:r>
        <w:rPr>
          <w:rFonts w:ascii="Times New Roman" w:hAnsi="Times New Roman"/>
          <w:sz w:val="30"/>
        </w:rPr>
        <w:lastRenderedPageBreak/>
        <w:t>一、绪言</w:t>
      </w:r>
      <w:bookmarkEnd w:id="4"/>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和三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和三年持有期混合型证券投资基金基金合同》（以下简称“基金合同”）编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5" w:name="_Toc240548796"/>
      <w:r>
        <w:rPr>
          <w:rFonts w:ascii="Times New Roman" w:hAnsi="Times New Roman"/>
          <w:sz w:val="30"/>
        </w:rPr>
        <w:lastRenderedPageBreak/>
        <w:t>二、释义</w:t>
      </w:r>
      <w:bookmarkEnd w:id="5"/>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1、基金或本基金：指交银施罗德瑞和三年持有期混合型证券投资基金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4、基金合同：指《交银施罗德瑞和三年持有期混合型证券投资基金基金合同》及对基金合同的任何有效修订和补充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5、托管协议：指基金管理人与基金托管人就本基金签订之《交银施罗德瑞和三年持有期混合型证券投资基金托管协议》及对该托管协议的任何有效修订和补充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6、招募说明书或本招募说明书：指《交银施罗德瑞和三年持有期混合型证券投资基金招募说明书》及其更新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7、基金产品资料概要：指《交银施罗德瑞和三年持有期混合型证券投资基金基金产品资料概要》及其更新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8、基金份额发售公告：指《交银施罗德瑞和三年持有期混合型证券投资基金基金份额发售公告》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的年度对日的前一日；对于每笔申购的基金份额而言，最短持有期限自该笔申购份额确认日（含该日）至三年后的年度对日的前一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6" w:name="_Toc240548797"/>
      <w:r>
        <w:rPr>
          <w:rFonts w:ascii="Times New Roman" w:hAnsi="Times New Roman"/>
          <w:sz w:val="30"/>
        </w:rPr>
        <w:lastRenderedPageBreak/>
        <w:t>三、基金管理人</w:t>
      </w:r>
      <w:bookmarkEnd w:id="6"/>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何帅先生:上海财经大学硕士，16年证券投资行业从业经验。2010年至2012年任国联安基金管理有限公司研究员。2012年加入交银施罗德基金管理有限公司，曾任行业分析师，现任权益部基金经理。现任交银施罗德优势行业灵活配置混合型证券投资基金(2015年07月09日至今)、交银施罗德阿尔法核心混合型证券投资基金(2015年09月16日至今)、交银施罗德持续成长主题混合型证券投资基金(2018年01月12日至今)、交银施罗德瑞和三年持有期混合型证券投资基金(2022年03月02日至今)的基金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4、不以任何形式为其他组织或个人进行证券交易。</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建立、健全了各项制度，做到基金经理分开，投资决策分开，基金交易集中，形成不同部门、不同岗位之间的制衡机制，从制度上减少和防范风险。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7" w:name="_Toc240548798"/>
      <w:r>
        <w:rPr>
          <w:rFonts w:ascii="Times New Roman" w:hAnsi="Times New Roman"/>
          <w:sz w:val="30"/>
        </w:rPr>
        <w:lastRenderedPageBreak/>
        <w:t>四、基金托管人</w:t>
      </w:r>
      <w:bookmarkEnd w:id="7"/>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9月30日，本集团总资产126,440.75亿元人民币，高级法下资本充足率17.59%，权重法下资本充足率15.07%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258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w:t>
      </w:r>
      <w:r>
        <w:rPr>
          <w:rFonts w:ascii="宋体" w:hAnsi="宋体"/>
          <w:sz w:val="24"/>
        </w:rPr>
        <w:lastRenderedPageBreak/>
        <w:t>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截至2025年9月30日，招商银行股份有限公司累计托管1707只证券投资基金。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（3）独立性原则。招商银行资产托管部各团队、各岗位职责保持相对独立，不同托管资产之间、托管资产和自有资产之间相互分离。内部控制的检查、评价部门独立于内部控制的建立和执行部门。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w:t>
      </w:r>
      <w:r>
        <w:rPr>
          <w:rFonts w:ascii="宋体" w:hAnsi="宋体"/>
          <w:sz w:val="24"/>
        </w:rPr>
        <w:lastRenderedPageBreak/>
        <w:t>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8" w:name="_Toc240548799"/>
      <w:r>
        <w:rPr>
          <w:rFonts w:ascii="Times New Roman" w:hAnsi="Times New Roman"/>
          <w:sz w:val="30"/>
        </w:rPr>
        <w:lastRenderedPageBreak/>
        <w:t>五、相关服务机构</w:t>
      </w:r>
      <w:bookmarkEnd w:id="8"/>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个人投资者可以通过基金管理人网上直销交易平台办理开户、本基金的申购、定期定额投资、转换等业务，具体交易细则请参阅基金管理人网站。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（4）名称：中国农业银行股份有限公司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电话：（010）63639681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（7）名称：上海浦东发展银行股份有限公司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（8）名称：中国银河证券股份有限公司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（9）名称：万联证券股份有限公司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（10）名称：天风证券股份有限公司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联系人：胡芷境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（15）名称：西部证券股份有限公司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（16）名称：方正证券股份有限公司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法定代表人：施华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（17）名称：德邦证券股份有限公司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（18）名称：国投证券股份有限公司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（19）名称：五矿证券有限公司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（20）名称：东莞证券股份有限公司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办公地址：广东省东莞市莞城区可园南路一号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（21）名称：中航证券有限公司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（22）名称：申万宏源证券有限公司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（23）名称：国都证券股份有限公司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（24）名称：平安证券股份有限公司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住所：深圳市福田区金田路大中华国际交易广场裙楼8楼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（25）名称：中信证券（山东）有限责任公司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（26）名称：申万宏源西部证券有限公司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（27）名称：长城证券有限责任公司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传真：（0755）83516199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（28）名称：国金证券股份有限公司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（29）名称：信达证券股份有限公司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（30）名称：国新证券股份有限公司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网址：www.crsec.com.cn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（31）名称：华西证券股份有限公司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（32）名称：第一创业证券股份有限公司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（33）名称：中信证券华南股份有限公司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（34）名称：国泰海通证券股份有限公司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办公地址：上海市静安区南京西路768号国泰君安大厦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（35）名称：招商证券股份有限公司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（36）名称：大同证券有限责任公司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（37）名称：华宝证券股份有限公司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（38）名称：华龙证券股份有限公司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（39）名称：海通证券股份有限公司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（40）名称：广发证券股份有限公司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网址：www.gf.com.cn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（41）名称：兴业证券股份有限公司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（42）名称：湘财证券股份有限公司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（43）名称：华泰证券股份有限公司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（44）名称：国信证券股份有限公司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法定代表人：张纳沙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（45）名称：东方财富证券股份有限公司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（46）名称：中原证券股份有限公司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（47）名称：中信建投证券股份有限公司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网址：www.csc108.com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（48）名称：南京证券股份有限公司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（49）名称：财通证券股份有限公司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（50）名称：深圳市新兰德证券投资咨询有限公司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（51）名称：阳光人寿保险股份有限公司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住所：海南省三亚市迎宾路360-1号三亚阳光金融广场16层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（52）名称：京东肯特瑞基金销售有限公司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（53）名称：和耕传承基金销售有限公司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（54）名称：腾安基金销售（深圳）有限公司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w:t>
      </w:r>
      <w:r>
        <w:rPr>
          <w:rFonts w:ascii="宋体" w:hAnsi="宋体"/>
          <w:sz w:val="24"/>
        </w:rPr>
        <w:lastRenderedPageBreak/>
        <w:t>书有限公司）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（55）名称：珠海盈米基金销售有限公司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（56）名称：北京度小满基金销售有限公司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（57）名称：南京苏宁基金销售有限公司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传真：025-66996699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（58）名称：嘉实财富管理有限公司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（59）名称：北京汇成基金销售有限公司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（60）名称：上海利得基金销售有限公司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住所：中国（上海）自由贸易试验区福山路33号11楼B座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w:t>
      </w:r>
      <w:r>
        <w:rPr>
          <w:rFonts w:ascii="宋体" w:hAnsi="宋体"/>
          <w:sz w:val="24"/>
        </w:rPr>
        <w:lastRenderedPageBreak/>
        <w:t>新浪总部科研楼5层518室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（68）名称：中证金牛（北京）基金销售有限公司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（69）名称：奕丰基金销售有限公司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（70）名称：上海天天基金销售有限公司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传真：（021）64385308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（71）名称：和讯信息科技有限公司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（73）名称：上海好买基金销售有限公司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（74）名称：上海长量基金销售有限公司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（76）名称：蚂蚁（杭州）基金销售有限公司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（77）名称：中信期货有限公司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办公地址：深圳市福田区中心三路8号卓越时代广场（二期）北座13层1301-1305室、14层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（78）名称：上海基煜基金销售有限公司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（80）名称：宜信普泽（北京）基金销售有限公司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法定代表人：汤蕾</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（83）名称：大连网金基金销售有限公司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于秀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（84）名称：济安财富（北京）基金销售有限公司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（85）名称：博时财富基金销售有限公司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（86）名称：上海中欧财富基金销售有限公司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（87）名称：深圳前海微众银行股份有限公司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（88）名称：中国人寿保险股份有限公司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负责人：韩炯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9" w:name="_Toc240548800"/>
      <w:r>
        <w:rPr>
          <w:rFonts w:ascii="Times New Roman" w:hAnsi="Times New Roman"/>
          <w:sz w:val="30"/>
        </w:rPr>
        <w:lastRenderedPageBreak/>
        <w:t>六、基金的募集</w:t>
      </w:r>
      <w:bookmarkEnd w:id="9"/>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本基金由基金管理人依照《基金法》、《运作办法》、《销售办法》、基金合同及其他有关规定，并经中国证监会2021年7月20日证监许可【2021】2466号文准予募集注册。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本基金于2022年1月18日至2022年2月25日进行发售，本基金设立募集期共募集3,105,376,944.19份基金份额，有效认购户数为28,665户。</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0" w:name="_Toc240548801"/>
      <w:r>
        <w:rPr>
          <w:rFonts w:ascii="Times New Roman" w:hAnsi="Times New Roman"/>
          <w:sz w:val="30"/>
        </w:rPr>
        <w:lastRenderedPageBreak/>
        <w:t>七、基金合同的生效</w:t>
      </w:r>
      <w:bookmarkEnd w:id="10"/>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根据有关规定，本基金满足基金合同生效条件，基金合同已于2022年3月2日正式生效。自基金合同生效之日起，本基金管理人正式开始管理本基金。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1" w:name="_Toc240548802"/>
      <w:r>
        <w:rPr>
          <w:rFonts w:ascii="Times New Roman" w:hAnsi="Times New Roman"/>
          <w:sz w:val="30"/>
        </w:rPr>
        <w:lastRenderedPageBreak/>
        <w:t>八、基金份额的申购与赎回</w:t>
      </w:r>
      <w:bookmarkEnd w:id="11"/>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本基金已于2022年6月1日起开放申购业务。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本基金已于2025年3月3日起开放赎回业务。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对于每份基金份额，自其最短持有期限届满的下一工作日起（含该日），基金份额持有人方可就该基金份额提出赎回申请。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1、申购金额的限制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4、当本基金发生大额申购或赎回情形时，基金管理人可以采用摆动定价机制，以确保基金估值的公平性。具体处理原则与操作规范遵循相关法律法规以及监管部门、自律规则的规定。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的基金份额净值并扣除相应的费用（如有），赎回金额单位为元。赎回金额计算结果按四舍五入方法，保留到小数点后2位，由此产生的收益或损失由基金财产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例三：某投资者（非养老金客户）投资100,000元申购本基金，假设申购当日基金份额净值为1.0400元，申购费率为1.5%，则其可得到的申购份额为：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即：某投资者（非养老金客户）投资100,000元申购本基金，假设申购当日基</w:t>
      </w:r>
      <w:r>
        <w:rPr>
          <w:rFonts w:ascii="宋体" w:hAnsi="宋体"/>
          <w:sz w:val="24"/>
        </w:rPr>
        <w:lastRenderedPageBreak/>
        <w:t>金份额净值为1.0400元，则其可得到94,732.86份基金份额。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例五：某投资者赎回持有2000天的10,000份基金份额，对应的赎回费率为0，假设赎回当日基金份额净值是1.0160元，则其可得到的赎回金额为：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即：投资者赎回持有2000天的本基金10,000份基金份额，对应的赎回费率为0，假设赎回当日基金份额净值是1.0160元，则其可得到的赎回金额为10,160.00元。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（十二）基金的非交易过户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本基金2022年5月30日刊登公告自2022年6月1日起开通定期定额投资计划业务，具体开通销售机构名单和业务规则参见相关公告。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2" w:name="_Toc240548803"/>
      <w:r>
        <w:rPr>
          <w:rFonts w:ascii="Times New Roman" w:hAnsi="Times New Roman"/>
          <w:sz w:val="30"/>
        </w:rPr>
        <w:lastRenderedPageBreak/>
        <w:t>九、基金的转换</w:t>
      </w:r>
      <w:bookmarkEnd w:id="12"/>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本基金2025年2月28日刊登公告自2025年3月3日起开放日常转换业务。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3" w:name="_Toc240548804"/>
      <w:r>
        <w:rPr>
          <w:rFonts w:ascii="Times New Roman" w:hAnsi="Times New Roman"/>
          <w:sz w:val="30"/>
        </w:rPr>
        <w:lastRenderedPageBreak/>
        <w:t>十、基金的投资</w:t>
      </w:r>
      <w:bookmarkEnd w:id="13"/>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在合理控制风险的前提下，充分发挥专业的研究与管理能力，力争实现基金资产的长期稳健增值。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（4）存托凭证的投资策略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本基金业绩比较基准：沪深300指数收益率×55%+中债-国债总财富（1-3年）指数收益率×20%+中证港股通综合指数（人民币）收益率×25%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w:t>
      </w:r>
      <w:r>
        <w:rPr>
          <w:rFonts w:ascii="宋体" w:hAnsi="宋体"/>
          <w:sz w:val="24"/>
        </w:rPr>
        <w:lastRenderedPageBreak/>
        <w:t>比例为60%-95%（其中投资于港股通标的股票的比例占股票资产的0%-50%）等投资比例限制，以及预期的资产配置比例，本基金将股票资产与债券资产所对应的基准要素权重分别设置为80%与20%，其中将股票资产中的A股股票与港股通标的股票所对应的基准要素权重分别设置为55%与25%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和中证港股通综合指数（人民币）分别作为A股股票和港股通标的股票部分的业绩比较基准要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A股股票部分的业绩比较基准要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中证港股通综合指数（人民币）由中证指数有限公司编制发布，指数代码为930933，指数具体信息详见中证指数有限公司网站，网址：www.csindex.com.cn。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证港股通综合指数（人民币）、中债-国债总财富（1-3年）指数的每日收益率，再按照预设权重比例计算当日组合要素基准的日收益率，并连乘每日收益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（2）调整业绩比较基准的要素权重、更换相同或相近特征的要素等，使新业绩比较基准代表性更强，且符合相关法律法规规定的；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本基金管理人的董事会及董事保证本报告所载资料不存在虚假记载、误导性陈述或重大遗漏,并对其内容的真实性、准确性和完整性承担个别及连带责任。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本基金托管人招商银行股份有限公司根据本基金合同规定，于2025年10月27日复核了本报告中的财务指标、净值表现和投资组合报告等内容，保证复核内容不存在虚假记载、误导性陈述或者重大遗漏。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2,555,911,469.63</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90.34</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2,555,911,469.63</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90.34</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7,346,306.00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7,346,306.00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160,387,558.05</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5.67</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105,434,399.38</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3.73</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2,829,079,733.06</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注：本基金本报告期末通过港股通机制投资香港股票的公允价值为1,093,290,202.30元，占基金资产净值比例为39.19%。</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1,356,289,601.28</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48.62</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250,041.01</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104,845,210.00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187,615.04</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1,048,800.00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1,462,621,267.33</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52.43</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672,670,936.15</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24.11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232,318,940.63</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8.33</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188,300,325.52</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6.75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1,093,290,202.30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39.19</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浪潮信息</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3,374,200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251,107,964.00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9.00</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172,900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249,665,871.00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8.95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601138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工业富联</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3,727,000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246,019,270.00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8.82</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2,661,981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234,284,333.85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8.40</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311,083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188,300,325.52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6.75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1,157,848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187,105,295.87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6.71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02269 HK</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药明生物</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4,697,500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175,751,891.08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6.30</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1,907,900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123,422,051.00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4.42</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澜起科技</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741,679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114,811,909.20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002244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滨江集团</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8,354,200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104,845,210.00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7,346,306.00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7,346,306.00</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73,000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7,346,306.00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10、报告期末本基金投资的国债期货交易情况说明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1,008,870.23</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104,360,643.35</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64,885.80</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right"/>
              <w:rPr>
                <w:rFonts w:ascii="宋体" w:hAnsi="宋体"/>
                <w:color w:val="000000"/>
                <w:kern w:val="0"/>
                <w:sz w:val="25"/>
                <w:szCs w:val="24"/>
              </w:rPr>
            </w:pPr>
            <w:r>
              <w:rPr>
                <w:rFonts w:ascii="Times New Roman" w:hAnsi="Times New Roman"/>
                <w:color w:val="000000"/>
                <w:kern w:val="0"/>
                <w:sz w:val="25"/>
                <w:szCs w:val="24"/>
              </w:rPr>
              <w:t>105,434,399.38</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4" w:name="_Toc240548805"/>
      <w:r>
        <w:rPr>
          <w:rFonts w:ascii="Times New Roman" w:hAnsi="Times New Roman"/>
          <w:sz w:val="30"/>
        </w:rPr>
        <w:lastRenderedPageBreak/>
        <w:t>十一、基金的业绩</w:t>
      </w:r>
      <w:bookmarkEnd w:id="14"/>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交银施罗德瑞和三年持有期混合型证券投资基金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42.74%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11.68%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31.06%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3.77%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-3.03%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-16.39%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-29.19%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-22.49%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r>
      <w:tr w:rsidR="00C906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8.19%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-10.33%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18.52%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bl>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注：沪深300指数收益率×65%+恒生指数收益率×5%+中证综合债券指数收益率×30%，每日进行再平衡过程。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906F2" w:rsidRDefault="000D0FC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交银施罗德瑞和三年持有期混合型证券投资基金</w:t>
      </w:r>
    </w:p>
    <w:p w:rsidR="00C906F2" w:rsidRDefault="000D0FC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906F2" w:rsidRDefault="000D0FC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（2022年3月2日至2025年09月30日）</w:t>
      </w:r>
    </w:p>
    <w:p w:rsidR="00C906F2" w:rsidRDefault="0055709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5" w:name="_Toc240548806"/>
      <w:r>
        <w:rPr>
          <w:rFonts w:ascii="Times New Roman" w:hAnsi="Times New Roman"/>
          <w:sz w:val="30"/>
        </w:rPr>
        <w:lastRenderedPageBreak/>
        <w:t>十二、基金的财产</w:t>
      </w:r>
      <w:bookmarkEnd w:id="15"/>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6" w:name="_Toc240548807"/>
      <w:r>
        <w:rPr>
          <w:rFonts w:ascii="Times New Roman" w:hAnsi="Times New Roman"/>
          <w:sz w:val="30"/>
        </w:rPr>
        <w:lastRenderedPageBreak/>
        <w:t>十三、基金资产的估值</w:t>
      </w:r>
      <w:bookmarkEnd w:id="16"/>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w:t>
      </w:r>
      <w:r>
        <w:rPr>
          <w:rFonts w:ascii="宋体" w:hAnsi="宋体"/>
          <w:sz w:val="24"/>
        </w:rPr>
        <w:lastRenderedPageBreak/>
        <w:t>的余额数量计算，精确到0.0001元，小数点后第5位四舍五入。基金管理人可以设立大额赎回情形下的净值精度应急调整机制，具体可参见相关公告。国家另有规定的，从其规定。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（3）当基金份额净值计算差错给基金和基金份额持有人造成损失需要进行赔偿时，基金管理人和基金托管人应根据实际情况界定双方承担的责任，经确认后按以下条款进行赔偿：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（九）特殊情形的处理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7" w:name="_Toc240548808"/>
      <w:r>
        <w:rPr>
          <w:rFonts w:ascii="Times New Roman" w:hAnsi="Times New Roman"/>
          <w:sz w:val="30"/>
        </w:rPr>
        <w:lastRenderedPageBreak/>
        <w:t>十四、基金收益与分配</w:t>
      </w:r>
      <w:bookmarkEnd w:id="17"/>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投资者红利再投资所得基金份额不受最短持有期限制；若投资者不选择，本基金默认的收益分配方式是现金分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8" w:name="_Toc240548809"/>
      <w:r>
        <w:rPr>
          <w:rFonts w:ascii="Times New Roman" w:hAnsi="Times New Roman"/>
          <w:sz w:val="30"/>
        </w:rPr>
        <w:lastRenderedPageBreak/>
        <w:t>十五、基金的费用与税收</w:t>
      </w:r>
      <w:bookmarkEnd w:id="18"/>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w:t>
      </w:r>
      <w:r>
        <w:rPr>
          <w:rFonts w:ascii="宋体" w:hAnsi="宋体"/>
          <w:sz w:val="24"/>
        </w:rPr>
        <w:lastRenderedPageBreak/>
        <w:t>义务人按照国家有关税收征收的规定代扣代缴。</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19" w:name="_Toc240548810"/>
      <w:r>
        <w:rPr>
          <w:rFonts w:ascii="Times New Roman" w:hAnsi="Times New Roman"/>
          <w:sz w:val="30"/>
        </w:rPr>
        <w:lastRenderedPageBreak/>
        <w:t>十六、基金的会计与审计</w:t>
      </w:r>
      <w:bookmarkEnd w:id="19"/>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0" w:name="_Toc240548811"/>
      <w:r>
        <w:rPr>
          <w:rFonts w:ascii="Times New Roman" w:hAnsi="Times New Roman"/>
          <w:sz w:val="30"/>
        </w:rPr>
        <w:lastRenderedPageBreak/>
        <w:t>十七、基金的信息披露</w:t>
      </w:r>
      <w:bookmarkEnd w:id="20"/>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《基金合同》生效后，在开始办理基金份额申购或者赎回前，基金管理人应当至少每周在规定网站披露一次基金份额净值和基金份额累计净值。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编制临时报告书，并登载在规定报刊和规定网站上。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w:t>
      </w:r>
      <w:r>
        <w:rPr>
          <w:rFonts w:ascii="宋体" w:hAnsi="宋体"/>
          <w:sz w:val="24"/>
        </w:rPr>
        <w:lastRenderedPageBreak/>
        <w:t>其他公共媒介披露信息，但是其他公共媒介不得早于规定媒介披露信息，并且在不同媒介上披露同一信息的内容应当一致。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1" w:name="_Toc240548812"/>
      <w:r>
        <w:rPr>
          <w:rFonts w:ascii="Times New Roman" w:hAnsi="Times New Roman"/>
          <w:sz w:val="30"/>
        </w:rPr>
        <w:lastRenderedPageBreak/>
        <w:t>十八、侧袋机制</w:t>
      </w:r>
      <w:bookmarkEnd w:id="21"/>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C906F2" w:rsidRDefault="000D0FC9">
      <w:pPr>
        <w:pStyle w:val="1"/>
        <w:snapToGrid w:val="0"/>
        <w:spacing w:beforeLines="0" w:before="240" w:after="240"/>
        <w:rPr>
          <w:rFonts w:ascii="宋体" w:hAnsi="宋体"/>
          <w:szCs w:val="30"/>
        </w:rPr>
      </w:pPr>
      <w:bookmarkStart w:id="22" w:name="_Toc240548813"/>
      <w:r>
        <w:rPr>
          <w:rFonts w:ascii="Times New Roman" w:hAnsi="Times New Roman"/>
          <w:sz w:val="30"/>
        </w:rPr>
        <w:lastRenderedPageBreak/>
        <w:t>十九、风险揭示</w:t>
      </w:r>
      <w:bookmarkEnd w:id="22"/>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三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三年后的年度对日（含该日）开始办理赎回，具体业务办理时间在赎回开始公告中规定。对于每份基金份额，自其最短持有期限届满的下一工作日起（含该日），基金份额持有人方可就该基金份额提出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的年度对日的前一日；对于每笔申购的基金份额而言，最短持有期限自该笔申购份额确认日（含该日）至三年后的年度对日的前一日。因此，对于基金份额持有人而言，存在投资本基金后三年内无法赎回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w:t>
      </w:r>
      <w:r>
        <w:rPr>
          <w:rFonts w:ascii="宋体" w:hAnsi="宋体"/>
          <w:sz w:val="24"/>
        </w:rPr>
        <w:lastRenderedPageBreak/>
        <w:t>设定的意愿征集期比香港中央结算有限公司的征集期稍早结束；投票没有权益登记日的，以投票截止日的持有作为计算基准；投票数量超出持有数量的，按照比例分配持有基数。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5、政策风险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4、对主要业务人员如基金经理的依赖而可能产生的风险；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3" w:name="_Toc240548814"/>
      <w:r>
        <w:rPr>
          <w:rFonts w:ascii="Times New Roman" w:hAnsi="Times New Roman"/>
          <w:sz w:val="30"/>
        </w:rPr>
        <w:lastRenderedPageBreak/>
        <w:t>二十、基金合同的变更、终止与基金财产的清算</w:t>
      </w:r>
      <w:bookmarkEnd w:id="23"/>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4" w:name="_Toc240548815"/>
      <w:r>
        <w:rPr>
          <w:rFonts w:ascii="Times New Roman" w:hAnsi="Times New Roman"/>
          <w:sz w:val="30"/>
        </w:rPr>
        <w:lastRenderedPageBreak/>
        <w:t>二十一、基金合同内容摘要</w:t>
      </w:r>
      <w:bookmarkEnd w:id="24"/>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1）法律法规要求增加的基金费用的收取；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w:t>
      </w:r>
      <w:r>
        <w:rPr>
          <w:rFonts w:ascii="宋体" w:hAnsi="宋体"/>
          <w:sz w:val="24"/>
        </w:rPr>
        <w:lastRenderedPageBreak/>
        <w:t>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w:t>
      </w:r>
      <w:r>
        <w:rPr>
          <w:rFonts w:ascii="宋体" w:hAnsi="宋体"/>
          <w:sz w:val="24"/>
        </w:rPr>
        <w:lastRenderedPageBreak/>
        <w:t>或基金托管人拒不派代表对表决意见的计票进行监督的，不影响表决意见的计票效力。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w:t>
      </w:r>
      <w:r>
        <w:rPr>
          <w:rFonts w:ascii="宋体" w:hAnsi="宋体"/>
          <w:sz w:val="24"/>
        </w:rPr>
        <w:lastRenderedPageBreak/>
        <w:t>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w:t>
      </w:r>
      <w:r>
        <w:rPr>
          <w:rFonts w:ascii="宋体" w:hAnsi="宋体"/>
          <w:sz w:val="24"/>
        </w:rPr>
        <w:lastRenderedPageBreak/>
        <w:t>会的决议。生效的基金份额持有人大会决议对全体基金份额持有人、基金管理人、基金托管人均有约束力。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w:t>
      </w:r>
      <w:r>
        <w:rPr>
          <w:rFonts w:ascii="宋体" w:hAnsi="宋体"/>
          <w:sz w:val="24"/>
        </w:rPr>
        <w:lastRenderedPageBreak/>
        <w:t>容进行修改和调整，无需召开基金份额持有人大会审议。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5" w:name="_Toc240548816"/>
      <w:r>
        <w:rPr>
          <w:rFonts w:ascii="Times New Roman" w:hAnsi="Times New Roman"/>
          <w:sz w:val="30"/>
        </w:rPr>
        <w:lastRenderedPageBreak/>
        <w:t>二十二、托管协议的内容摘要</w:t>
      </w:r>
      <w:bookmarkEnd w:id="25"/>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（1）本基金的投资范围为：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5）本基金投资于同一原始权益人的各类资产支持证券的比例，不得超过基金资产净值的10％；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w:t>
      </w:r>
      <w:r>
        <w:rPr>
          <w:rFonts w:ascii="宋体" w:hAnsi="宋体"/>
          <w:sz w:val="24"/>
        </w:rPr>
        <w:lastRenderedPageBreak/>
        <w:t>露。重大关联交易应提交基金管理人董事会审议，并经过三分之二以上的独立董事通过。基金管理人董事会应至少每半年对关联交易事项进行审查。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w:t>
      </w:r>
      <w:r>
        <w:rPr>
          <w:rFonts w:ascii="宋体" w:hAnsi="宋体"/>
          <w:sz w:val="24"/>
        </w:rPr>
        <w:lastRenderedPageBreak/>
        <w:t>基金财产损失的，由基金管理人承担责任。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w:t>
      </w:r>
      <w:r>
        <w:rPr>
          <w:rFonts w:ascii="宋体" w:hAnsi="宋体"/>
          <w:sz w:val="24"/>
        </w:rPr>
        <w:lastRenderedPageBreak/>
        <w:t>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w:t>
      </w:r>
      <w:r>
        <w:rPr>
          <w:rFonts w:ascii="宋体" w:hAnsi="宋体"/>
          <w:sz w:val="24"/>
        </w:rPr>
        <w:lastRenderedPageBreak/>
        <w:t>章寄送至基金托管人指定联系人。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w:t>
      </w:r>
      <w:r>
        <w:rPr>
          <w:rFonts w:ascii="宋体" w:hAnsi="宋体"/>
          <w:sz w:val="24"/>
        </w:rPr>
        <w:lastRenderedPageBreak/>
        <w:t>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w:t>
      </w:r>
      <w:r>
        <w:rPr>
          <w:rFonts w:ascii="宋体" w:hAnsi="宋体"/>
          <w:sz w:val="24"/>
        </w:rPr>
        <w:lastRenderedPageBreak/>
        <w:t>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6、基金管理人应当对投资中期票据业务进行研究，认真评估中期票据投资业务的风险，本着审慎、勤勉尽责的原则进行中期票据的投资业务，并应符合法律法规及监管机构的相关规定。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w:t>
      </w:r>
      <w:r>
        <w:rPr>
          <w:rFonts w:ascii="宋体" w:hAnsi="宋体"/>
          <w:sz w:val="24"/>
        </w:rPr>
        <w:lastRenderedPageBreak/>
        <w:t>绩比较基准、风险收益特征等约定仅适用于主袋账户。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基金资产净值和基金份额净值、根据基金管理人指令办理清算交收、相关信息披露和监督基金投资运作等行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w:t>
      </w:r>
      <w:r>
        <w:rPr>
          <w:rFonts w:ascii="宋体" w:hAnsi="宋体"/>
          <w:sz w:val="24"/>
        </w:rPr>
        <w:lastRenderedPageBreak/>
        <w:t>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瑞和三年持有期混合型证券投资基金”，预留印鉴为基金托管人印章。</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w:t>
      </w:r>
      <w:r>
        <w:rPr>
          <w:rFonts w:ascii="宋体" w:hAnsi="宋体"/>
          <w:sz w:val="24"/>
        </w:rPr>
        <w:lastRenderedPageBreak/>
        <w:t>管人和基金管理人不得假借本基金的名义开立任何其他银行账户；亦不得使用基金的任何账户进行本基金业务以外的活动。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w:t>
      </w:r>
      <w:r>
        <w:rPr>
          <w:rFonts w:ascii="宋体" w:hAnsi="宋体"/>
          <w:sz w:val="24"/>
        </w:rPr>
        <w:lastRenderedPageBreak/>
        <w:t>管理人保证所提供的账户开户材料的真实性和有效性，且在相关资料变更后及时将变更的资料提供给基金托管人。</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低于法律法规规定的最低期限。</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w:t>
      </w:r>
      <w:r>
        <w:rPr>
          <w:rFonts w:ascii="宋体" w:hAnsi="宋体"/>
          <w:sz w:val="24"/>
        </w:rPr>
        <w:lastRenderedPageBreak/>
        <w:t>额数量计算，精确到0.0001元，小数点后第五位四舍五入。基金管理人可以设立大额赎回情形下的净值精度应急调整机制，具体可参见相关公告。国家另有规定的，从其规定。</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基金管理人于每个工作日计算基金资产净值、基金份额净值，经基金托管人复核，按规定公告，但基金管理人根据法律法规或基金合同的规定暂停估值时除外。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（3）财务报表的编制与复核时间安排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w:t>
      </w:r>
      <w:r>
        <w:rPr>
          <w:rFonts w:ascii="宋体" w:hAnsi="宋体"/>
          <w:sz w:val="24"/>
        </w:rPr>
        <w:lastRenderedPageBreak/>
        <w:t>合法权益。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6" w:name="_Toc240548817"/>
      <w:r>
        <w:rPr>
          <w:rFonts w:ascii="Times New Roman" w:hAnsi="Times New Roman"/>
          <w:sz w:val="30"/>
        </w:rPr>
        <w:lastRenderedPageBreak/>
        <w:t>二十三、对基金份额持有人的服务</w:t>
      </w:r>
      <w:bookmarkEnd w:id="26"/>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7" w:name="_Toc240548818"/>
      <w:r>
        <w:rPr>
          <w:rFonts w:ascii="Times New Roman" w:hAnsi="Times New Roman"/>
          <w:sz w:val="30"/>
        </w:rPr>
        <w:lastRenderedPageBreak/>
        <w:t>二十四、其他应披露事项</w:t>
      </w:r>
      <w:bookmarkEnd w:id="27"/>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交银施罗德基金管理有限公司关于交银施罗德瑞和三年持有期混合型证券投资基金开放日常赎回、转换业务的公告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2025-02-28</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906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交银施罗德瑞和三年持有期混合型证券投资基金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906F2" w:rsidRDefault="000D0FC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8" w:name="_Toc240548819"/>
      <w:r>
        <w:rPr>
          <w:rFonts w:ascii="Times New Roman" w:hAnsi="Times New Roman"/>
          <w:sz w:val="30"/>
        </w:rPr>
        <w:lastRenderedPageBreak/>
        <w:t>二十五、招募说明书的存放及查阅方式</w:t>
      </w:r>
      <w:bookmarkEnd w:id="28"/>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D0FC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906F2" w:rsidRDefault="000D0FC9">
      <w:pPr>
        <w:pStyle w:val="1"/>
        <w:snapToGrid w:val="0"/>
        <w:spacing w:beforeLines="0" w:before="240" w:after="240"/>
        <w:rPr>
          <w:rFonts w:ascii="宋体" w:hAnsi="宋体"/>
          <w:szCs w:val="30"/>
        </w:rPr>
      </w:pPr>
      <w:bookmarkStart w:id="29" w:name="_Toc240548820"/>
      <w:r>
        <w:rPr>
          <w:rFonts w:ascii="Times New Roman" w:hAnsi="Times New Roman"/>
          <w:sz w:val="30"/>
        </w:rPr>
        <w:lastRenderedPageBreak/>
        <w:t>二十六、备查文件</w:t>
      </w:r>
      <w:bookmarkEnd w:id="29"/>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（一）中国证监会准予交银施罗德瑞和三年持有期混合型证券投资基金募集注册的文件</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（二）《交银施罗德瑞和三年持有期混合型证券投资基金基金合同》</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（三）《交银施罗德瑞和三年持有期混合型证券投资基金托管协议》</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906F2" w:rsidRDefault="000D0FC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（六）关于申请募集注册交银施罗德瑞和三年持有期混合型证券投资基金的法律意见书</w:t>
      </w:r>
    </w:p>
    <w:sectPr w:rsidR="00C906F2">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D33" w:rsidRDefault="000D0FC9">
      <w:r>
        <w:separator/>
      </w:r>
    </w:p>
  </w:endnote>
  <w:endnote w:type="continuationSeparator" w:id="0">
    <w:p w:rsidR="00415D33" w:rsidRDefault="000D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C906F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55709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906F2" w:rsidRDefault="000D0FC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7094">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C906F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55709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906F2" w:rsidRDefault="000D0FC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7094">
                  <w:rPr>
                    <w:rFonts w:ascii="Times New Roman" w:hAnsi="Times New Roman"/>
                    <w:noProof/>
                    <w:kern w:val="0"/>
                    <w:sz w:val="18"/>
                    <w:szCs w:val="18"/>
                  </w:rPr>
                  <w:t>166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D33" w:rsidRDefault="000D0FC9">
      <w:r>
        <w:separator/>
      </w:r>
    </w:p>
  </w:footnote>
  <w:footnote w:type="continuationSeparator" w:id="0">
    <w:p w:rsidR="00415D33" w:rsidRDefault="000D0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C906F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0D0FC9">
    <w:pPr>
      <w:pStyle w:val="a3"/>
      <w:jc w:val="right"/>
      <w:rPr>
        <w:rFonts w:ascii="宋体" w:hAnsi="宋体"/>
      </w:rPr>
    </w:pPr>
    <w:r>
      <w:rPr>
        <w:rFonts w:ascii="宋体" w:hAnsi="宋体" w:hint="eastAsia"/>
      </w:rPr>
      <w:t>交银施罗德瑞和三年持有期混合型证券投资基金招募说明书更新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C906F2">
    <w:pPr>
      <w:pStyle w:val="10"/>
      <w:jc w:val="right"/>
    </w:pPr>
  </w:p>
  <w:p w:rsidR="00C906F2" w:rsidRDefault="00C906F2">
    <w:pPr>
      <w:pStyle w:val="10"/>
      <w:jc w:val="right"/>
    </w:pPr>
  </w:p>
  <w:p w:rsidR="00C906F2" w:rsidRDefault="00C906F2">
    <w:pPr>
      <w:pStyle w:val="a3"/>
      <w:jc w:val="right"/>
    </w:pPr>
  </w:p>
  <w:p w:rsidR="00C906F2" w:rsidRDefault="000D0FC9">
    <w:pPr>
      <w:pStyle w:val="a3"/>
      <w:jc w:val="right"/>
      <w:rPr>
        <w:rFonts w:ascii="宋体" w:hAnsi="宋体"/>
      </w:rPr>
    </w:pPr>
    <w:r>
      <w:rPr>
        <w:rFonts w:ascii="宋体" w:hAnsi="宋体" w:hint="eastAsia"/>
      </w:rPr>
      <w:t>交银施罗德瑞和三年持有期混合型证券投资基金招募说明书更新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6F2" w:rsidRDefault="00C906F2">
    <w:pPr>
      <w:pStyle w:val="a3"/>
      <w:jc w:val="right"/>
    </w:pPr>
  </w:p>
  <w:p w:rsidR="00C906F2" w:rsidRDefault="00C906F2">
    <w:pPr>
      <w:pStyle w:val="a3"/>
      <w:jc w:val="right"/>
    </w:pPr>
  </w:p>
  <w:p w:rsidR="00C906F2" w:rsidRDefault="00C906F2">
    <w:pPr>
      <w:pStyle w:val="a3"/>
      <w:jc w:val="right"/>
    </w:pPr>
  </w:p>
  <w:p w:rsidR="00C906F2" w:rsidRDefault="000D0FC9">
    <w:pPr>
      <w:pStyle w:val="a3"/>
      <w:jc w:val="right"/>
      <w:rPr>
        <w:rFonts w:ascii="宋体" w:hAnsi="宋体"/>
      </w:rPr>
    </w:pPr>
    <w:r>
      <w:rPr>
        <w:rFonts w:ascii="宋体" w:hAnsi="宋体" w:hint="eastAsia"/>
      </w:rPr>
      <w:t>交银施罗德瑞和三年持有期混合型证券投资基金招募说明书更新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0FC9"/>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15D33"/>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5709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6F2"/>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C4BD51A0-AFDC-4611-A6FC-25092DD56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167</Pages>
  <Words>17584</Words>
  <Characters>100230</Characters>
  <Application>Microsoft Office Word</Application>
  <DocSecurity>0</DocSecurity>
  <Lines>835</Lines>
  <Paragraphs>235</Paragraphs>
  <ScaleCrop>false</ScaleCrop>
  <Company>Microsoft</Company>
  <LinksUpToDate>false</LinksUpToDate>
  <CharactersWithSpaces>117579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