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交银施罗德丰盈收益债券型证券投资基金（C类份额）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交银丰盈收益债券C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005025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2014-08-11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追求在有效控制风险的前提下，力争为基金资产获得稳健的投资收益和超额回报。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详见《交银施罗德丰盈收益债券型证券投资基金招募说明书》“基金的投资”。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2、本基金份额于2017年8月15日开始确认，首次确认当年净值增长率按实际存续期计算。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3、本基金自2017年8月14日起转为开放式运作，本基金的业绩比较基准由“三年期银行定期存款税后收益率”变更为“中债综合全价指数”。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●《交银施罗德丰盈收益债券型证券投资基金基金合同》、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《交银施罗德丰盈收益债券型证券投资基金托管协议》、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《交银施罗德丰盈收益债券型证券投资基金招募说明书》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CE17F1"/>
    <w:rsid w:val="00D04A15"/>
    <w:rsid w:val="00D373CC"/>
    <w:rsid w:val="00DB319C"/>
    <w:rsid w:val="00E51B6D"/>
    <w:rsid w:val="00F75715"/>
    <w:rsid w:val="00F811C4"/>
    <w:rsid w:val="00FC2918"/>
    <w:rsid w:val="6EB05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596</Words>
  <Characters>3398</Characters>
  <Lines>28</Lines>
  <Paragraphs>7</Paragraphs>
  <TotalTime>0</TotalTime>
  <ScaleCrop>false</ScaleCrop>
  <LinksUpToDate>false</LinksUpToDate>
  <CharactersWithSpaces>3987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2026-09-17T02:43:00Z</dcterms:created>
  <dc:creator>Cc</dc:creator>
  <cp:lastModifiedBy>haotingting</cp:lastModifiedBy>
  <dcterms:modified xsi:type="dcterms:W3CDTF">2026-09-17T07:03:19Z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4C054DDDEA1842BCB6EB52E3F5F111B5</vt:lpwstr>
  </property>
</Properties>
</file>