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97056D">
      <w:pPr>
        <w:rPr>
          <w:sz w:val="32"/>
        </w:rPr>
      </w:pPr>
    </w:p>
    <w:p w:rsidR="00C92FC0" w:rsidRPr="00EB07BC" w:rsidRDefault="0097056D">
      <w:pPr>
        <w:rPr>
          <w:sz w:val="32"/>
        </w:rPr>
      </w:pPr>
    </w:p>
    <w:p w:rsidR="00C92FC0" w:rsidRPr="00EB07BC" w:rsidRDefault="0097056D">
      <w:pPr>
        <w:rPr>
          <w:sz w:val="32"/>
        </w:rPr>
      </w:pPr>
    </w:p>
    <w:p w:rsidR="00F2195D" w:rsidRDefault="00F2195D">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F2195D" w:rsidRDefault="00F2195D">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F2195D" w:rsidRDefault="00F2195D">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F2195D" w:rsidRDefault="00FC00B2">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交银施罗德优择回报灵活配置混合型证券投资基金</w:t>
      </w:r>
    </w:p>
    <w:p w:rsidR="00F2195D" w:rsidRDefault="00FC00B2">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F2195D" w:rsidRDefault="00F2195D">
      <w:pPr>
        <w:snapToGrid w:val="0"/>
        <w:spacing w:line="360" w:lineRule="auto"/>
        <w:jc w:val="center"/>
        <w:rPr>
          <w:rFonts w:ascii="宋体" w:hAnsi="宋体"/>
          <w:b/>
          <w:sz w:val="30"/>
          <w:szCs w:val="30"/>
        </w:rPr>
      </w:pPr>
    </w:p>
    <w:p w:rsidR="00F2195D" w:rsidRDefault="00F2195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2195D" w:rsidRDefault="00F2195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2195D" w:rsidRDefault="00F2195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2195D" w:rsidRDefault="00F2195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2195D" w:rsidRDefault="00F2195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2195D" w:rsidRDefault="00F2195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2195D" w:rsidRDefault="00FC00B2">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F2195D" w:rsidRDefault="00FC00B2">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基金托管人：中信银行股份有限公司</w:t>
      </w:r>
    </w:p>
    <w:p w:rsidR="00F2195D" w:rsidRDefault="00F2195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2195D" w:rsidRDefault="00F2195D">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F2195D" w:rsidRDefault="00FC00B2">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二〇二六年九月</w:t>
      </w:r>
    </w:p>
    <w:p w:rsidR="00F2195D" w:rsidRDefault="00F2195D">
      <w:pPr>
        <w:autoSpaceDE w:val="0"/>
        <w:autoSpaceDN w:val="0"/>
        <w:adjustRightInd w:val="0"/>
        <w:snapToGrid w:val="0"/>
        <w:spacing w:line="360" w:lineRule="auto"/>
        <w:ind w:left="1347" w:rightChars="6" w:right="13"/>
        <w:rPr>
          <w:rFonts w:ascii="宋体" w:hAnsi="宋体"/>
          <w:kern w:val="0"/>
          <w:sz w:val="32"/>
          <w:szCs w:val="32"/>
        </w:rPr>
        <w:sectPr w:rsidR="00F2195D">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F2195D" w:rsidRDefault="00FC00B2">
      <w:pPr>
        <w:pStyle w:val="1"/>
        <w:snapToGrid w:val="0"/>
        <w:spacing w:beforeLines="0" w:before="240" w:after="240"/>
        <w:rPr>
          <w:rFonts w:ascii="宋体" w:hAnsi="宋体"/>
          <w:kern w:val="0"/>
        </w:rPr>
      </w:pPr>
      <w:bookmarkStart w:id="0" w:name="_Toc324920538"/>
      <w:bookmarkStart w:id="1" w:name="_Toc496884613"/>
      <w:bookmarkStart w:id="2" w:name="_Toc240644239"/>
      <w:r>
        <w:rPr>
          <w:rFonts w:ascii="Times New Roman" w:hAnsi="Times New Roman"/>
          <w:kern w:val="0"/>
        </w:rPr>
        <w:lastRenderedPageBreak/>
        <w:t>重要提示</w:t>
      </w:r>
      <w:bookmarkEnd w:id="0"/>
      <w:bookmarkEnd w:id="1"/>
      <w:bookmarkEnd w:id="2"/>
    </w:p>
    <w:p w:rsidR="00F2195D" w:rsidRDefault="00FC00B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交银施罗德优择回报灵活配置混合型证券投资基金（以下简称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3</w:t>
      </w:r>
      <w:r>
        <w:rPr>
          <w:rFonts w:ascii="Times New Roman" w:hAnsi="Times New Roman"/>
          <w:kern w:val="0"/>
          <w:sz w:val="24"/>
        </w:rPr>
        <w:t>月</w:t>
      </w:r>
      <w:r>
        <w:rPr>
          <w:rFonts w:ascii="Times New Roman" w:hAnsi="Times New Roman"/>
          <w:kern w:val="0"/>
          <w:sz w:val="24"/>
        </w:rPr>
        <w:t>1</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2016</w:t>
      </w:r>
      <w:r>
        <w:rPr>
          <w:rFonts w:ascii="Times New Roman" w:hAnsi="Times New Roman"/>
          <w:kern w:val="0"/>
          <w:sz w:val="24"/>
        </w:rPr>
        <w:t>】</w:t>
      </w:r>
      <w:r>
        <w:rPr>
          <w:rFonts w:ascii="Times New Roman" w:hAnsi="Times New Roman"/>
          <w:kern w:val="0"/>
          <w:sz w:val="24"/>
        </w:rPr>
        <w:t>393</w:t>
      </w:r>
      <w:r>
        <w:rPr>
          <w:rFonts w:ascii="Times New Roman" w:hAnsi="Times New Roman"/>
          <w:kern w:val="0"/>
          <w:sz w:val="24"/>
        </w:rPr>
        <w:t>号文准予募集注册。本基金基金合同于</w:t>
      </w:r>
      <w:r>
        <w:rPr>
          <w:rFonts w:ascii="Times New Roman" w:hAnsi="Times New Roman"/>
          <w:kern w:val="0"/>
          <w:sz w:val="24"/>
        </w:rPr>
        <w:t>2016</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22</w:t>
      </w:r>
      <w:r>
        <w:rPr>
          <w:rFonts w:ascii="Times New Roman" w:hAnsi="Times New Roman"/>
          <w:kern w:val="0"/>
          <w:sz w:val="24"/>
        </w:rPr>
        <w:t>日正式生效。</w:t>
      </w:r>
    </w:p>
    <w:p w:rsidR="00F2195D" w:rsidRDefault="00FC00B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rsidR="00F2195D" w:rsidRDefault="00FC00B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交易对手违约风险；投资股指期货的特定风险；连续六十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万元情形时基金管理人将依基金合同约定提前终止基金合同的风险；投资科创板股票的特定风险；投资本基金特有的其他风险等等。</w:t>
      </w:r>
    </w:p>
    <w:p w:rsidR="00F2195D" w:rsidRDefault="00FC00B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F2195D" w:rsidRDefault="00FC00B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本基金是一只混合型基金，其风险和预期收益高于债券型基金和货币市场基金，低于股票型基金。属于承担较高风险、预期收益较高的证券投资基金品种。</w:t>
      </w:r>
    </w:p>
    <w:p w:rsidR="00F2195D" w:rsidRDefault="00FC00B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w:t>
      </w:r>
      <w:r>
        <w:rPr>
          <w:rFonts w:ascii="Times New Roman" w:hAnsi="Times New Roman"/>
          <w:kern w:val="0"/>
          <w:sz w:val="24"/>
        </w:rPr>
        <w:lastRenderedPageBreak/>
        <w:t>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F2195D" w:rsidRDefault="00FC00B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F2195D" w:rsidRDefault="00FC00B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投资有风险，投资人在投资本基金前应认真阅读本基金的招募说明书和基金合同、基金产品资料概要等信息披露文件。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F2195D" w:rsidRDefault="00FC00B2">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本次更新招募说明书主要对本基金调整业绩比较基准的相关信息进行更新，更新截止日为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日，除非另有说明，本招募说明书基金经理变更相关事项更新截止日为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09</w:t>
      </w:r>
      <w:r>
        <w:rPr>
          <w:rFonts w:ascii="Times New Roman" w:hAnsi="Times New Roman"/>
          <w:kern w:val="0"/>
          <w:sz w:val="24"/>
        </w:rPr>
        <w:t>月</w:t>
      </w:r>
      <w:r>
        <w:rPr>
          <w:rFonts w:ascii="Times New Roman" w:hAnsi="Times New Roman"/>
          <w:kern w:val="0"/>
          <w:sz w:val="24"/>
        </w:rPr>
        <w:t>19</w:t>
      </w:r>
      <w:r>
        <w:rPr>
          <w:rFonts w:ascii="Times New Roman" w:hAnsi="Times New Roman"/>
          <w:kern w:val="0"/>
          <w:sz w:val="24"/>
        </w:rPr>
        <w:t>日，其他所载内容截止日为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21</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F2195D" w:rsidRDefault="00F2195D">
      <w:pPr>
        <w:autoSpaceDE w:val="0"/>
        <w:autoSpaceDN w:val="0"/>
        <w:adjustRightInd w:val="0"/>
        <w:snapToGrid w:val="0"/>
        <w:spacing w:before="51" w:line="360" w:lineRule="auto"/>
        <w:ind w:left="120" w:rightChars="6" w:right="13" w:firstLine="480"/>
        <w:rPr>
          <w:rFonts w:ascii="宋体" w:hAnsi="宋体"/>
          <w:kern w:val="0"/>
          <w:szCs w:val="24"/>
        </w:rPr>
        <w:sectPr w:rsidR="00F2195D">
          <w:headerReference w:type="default" r:id="rId14"/>
          <w:pgSz w:w="11920" w:h="16840"/>
          <w:pgMar w:top="1440" w:right="1680" w:bottom="280" w:left="1680" w:header="0" w:footer="1073" w:gutter="0"/>
          <w:pgNumType w:start="1"/>
          <w:cols w:space="720"/>
        </w:sectPr>
      </w:pPr>
    </w:p>
    <w:p w:rsidR="0097056D" w:rsidRPr="0097056D" w:rsidRDefault="00FC00B2" w:rsidP="0097056D">
      <w:pPr>
        <w:pStyle w:val="ad"/>
        <w:snapToGrid w:val="0"/>
        <w:spacing w:after="240" w:line="360" w:lineRule="auto"/>
        <w:jc w:val="center"/>
        <w:rPr>
          <w:rFonts w:ascii="宋体" w:hAnsi="宋体"/>
          <w:noProof/>
          <w:sz w:val="24"/>
        </w:rPr>
      </w:pPr>
      <w:r w:rsidRPr="0097056D">
        <w:rPr>
          <w:rFonts w:ascii="宋体" w:hAnsi="宋体"/>
          <w:color w:val="000000"/>
          <w:position w:val="-4"/>
          <w:sz w:val="24"/>
          <w:szCs w:val="30"/>
        </w:rPr>
        <w:lastRenderedPageBreak/>
        <w:t>目</w:t>
      </w:r>
      <w:r w:rsidRPr="0097056D">
        <w:rPr>
          <w:rFonts w:ascii="宋体" w:hAnsi="宋体"/>
          <w:color w:val="000000"/>
          <w:position w:val="-4"/>
          <w:sz w:val="24"/>
          <w:szCs w:val="30"/>
        </w:rPr>
        <w:tab/>
        <w:t>录</w:t>
      </w:r>
      <w:r w:rsidR="0097056D" w:rsidRPr="0097056D">
        <w:rPr>
          <w:rFonts w:ascii="宋体" w:hAnsi="宋体"/>
          <w:color w:val="000000"/>
          <w:position w:val="-4"/>
          <w:sz w:val="24"/>
          <w:szCs w:val="30"/>
        </w:rPr>
        <w:fldChar w:fldCharType="begin"/>
      </w:r>
      <w:r w:rsidR="0097056D" w:rsidRPr="0097056D">
        <w:rPr>
          <w:rFonts w:ascii="宋体" w:hAnsi="宋体"/>
          <w:color w:val="000000"/>
          <w:position w:val="-4"/>
          <w:sz w:val="24"/>
          <w:szCs w:val="30"/>
        </w:rPr>
        <w:instrText xml:space="preserve"> TOC \o "1-3" \f - \h \t "-1" </w:instrText>
      </w:r>
      <w:r w:rsidR="0097056D" w:rsidRPr="0097056D">
        <w:rPr>
          <w:rFonts w:ascii="宋体" w:hAnsi="宋体"/>
          <w:color w:val="000000"/>
          <w:position w:val="-4"/>
          <w:sz w:val="24"/>
          <w:szCs w:val="30"/>
        </w:rPr>
        <w:fldChar w:fldCharType="separate"/>
      </w:r>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39" w:history="1">
        <w:r w:rsidRPr="0097056D">
          <w:rPr>
            <w:rStyle w:val="aa"/>
            <w:rFonts w:ascii="宋体" w:hAnsi="宋体" w:hint="eastAsia"/>
            <w:noProof/>
            <w:kern w:val="0"/>
            <w:sz w:val="24"/>
          </w:rPr>
          <w:t>重要提示</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_Toc240644239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1</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40" w:history="1">
        <w:r w:rsidRPr="0097056D">
          <w:rPr>
            <w:rStyle w:val="aa"/>
            <w:rFonts w:ascii="宋体" w:hAnsi="宋体" w:hint="eastAsia"/>
            <w:noProof/>
            <w:sz w:val="24"/>
          </w:rPr>
          <w:t>一、绪言</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_Toc240644240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4</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41" w:history="1">
        <w:r w:rsidRPr="0097056D">
          <w:rPr>
            <w:rStyle w:val="aa"/>
            <w:rFonts w:ascii="宋体" w:hAnsi="宋体" w:hint="eastAsia"/>
            <w:noProof/>
            <w:sz w:val="24"/>
          </w:rPr>
          <w:t>二、释义</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_Toc240644241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5</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42" w:history="1">
        <w:r w:rsidRPr="0097056D">
          <w:rPr>
            <w:rStyle w:val="aa"/>
            <w:rFonts w:ascii="宋体" w:hAnsi="宋体" w:hint="eastAsia"/>
            <w:noProof/>
            <w:sz w:val="24"/>
          </w:rPr>
          <w:t>三、基金管理人</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_Toc240644242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10</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43" w:history="1">
        <w:r w:rsidRPr="0097056D">
          <w:rPr>
            <w:rStyle w:val="aa"/>
            <w:rFonts w:ascii="宋体" w:hAnsi="宋体" w:hint="eastAsia"/>
            <w:noProof/>
            <w:sz w:val="24"/>
          </w:rPr>
          <w:t>四、基金托管人</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_Toc240644243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17</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44" w:history="1">
        <w:r w:rsidRPr="0097056D">
          <w:rPr>
            <w:rStyle w:val="aa"/>
            <w:rFonts w:ascii="宋体" w:hAnsi="宋体" w:hint="eastAsia"/>
            <w:noProof/>
            <w:sz w:val="24"/>
          </w:rPr>
          <w:t>五、相关服务机构</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_Toc240644244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21</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45" w:history="1">
        <w:r w:rsidRPr="0097056D">
          <w:rPr>
            <w:rStyle w:val="aa"/>
            <w:rFonts w:ascii="宋体" w:hAnsi="宋体" w:hint="eastAsia"/>
            <w:noProof/>
            <w:sz w:val="24"/>
          </w:rPr>
          <w:t>六、基金的募集</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_Toc240644245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39</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46" w:history="1">
        <w:r w:rsidRPr="0097056D">
          <w:rPr>
            <w:rStyle w:val="aa"/>
            <w:rFonts w:ascii="宋体" w:hAnsi="宋体" w:hint="eastAsia"/>
            <w:noProof/>
            <w:sz w:val="24"/>
          </w:rPr>
          <w:t>七、基金合同的生效</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_Toc240644246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40</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47" w:history="1">
        <w:r w:rsidRPr="0097056D">
          <w:rPr>
            <w:rStyle w:val="aa"/>
            <w:rFonts w:ascii="宋体" w:hAnsi="宋体" w:hint="eastAsia"/>
            <w:noProof/>
            <w:sz w:val="24"/>
          </w:rPr>
          <w:t>八、基金份额的申购与赎回</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_Toc240644247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41</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48" w:history="1">
        <w:r w:rsidRPr="0097056D">
          <w:rPr>
            <w:rStyle w:val="aa"/>
            <w:rFonts w:ascii="宋体" w:hAnsi="宋体" w:hint="eastAsia"/>
            <w:noProof/>
            <w:sz w:val="24"/>
          </w:rPr>
          <w:t>九、基金的转换</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_Toc240644248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55</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49" w:history="1">
        <w:r w:rsidRPr="0097056D">
          <w:rPr>
            <w:rStyle w:val="aa"/>
            <w:rFonts w:ascii="宋体" w:hAnsi="宋体" w:hint="eastAsia"/>
            <w:noProof/>
            <w:sz w:val="24"/>
          </w:rPr>
          <w:t>十、基金的投资</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_Toc240644249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62</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50" w:history="1">
        <w:r w:rsidRPr="0097056D">
          <w:rPr>
            <w:rStyle w:val="aa"/>
            <w:rFonts w:ascii="宋体" w:hAnsi="宋体" w:hint="eastAsia"/>
            <w:noProof/>
            <w:sz w:val="24"/>
          </w:rPr>
          <w:t>十一、基金的业绩</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_Toc240644250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76</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51" w:history="1">
        <w:r w:rsidRPr="0097056D">
          <w:rPr>
            <w:rStyle w:val="aa"/>
            <w:rFonts w:ascii="宋体" w:hAnsi="宋体" w:hint="eastAsia"/>
            <w:noProof/>
            <w:sz w:val="24"/>
          </w:rPr>
          <w:t>十二、基金的财产</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_Toc240644251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79</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52" w:history="1">
        <w:r w:rsidRPr="0097056D">
          <w:rPr>
            <w:rStyle w:val="aa"/>
            <w:rFonts w:ascii="宋体" w:hAnsi="宋体" w:hint="eastAsia"/>
            <w:noProof/>
            <w:sz w:val="24"/>
          </w:rPr>
          <w:t>十三、基金资产的估值</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_Toc240644252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80</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53" w:history="1">
        <w:r w:rsidRPr="0097056D">
          <w:rPr>
            <w:rStyle w:val="aa"/>
            <w:rFonts w:ascii="宋体" w:hAnsi="宋体" w:hint="eastAsia"/>
            <w:noProof/>
            <w:sz w:val="24"/>
          </w:rPr>
          <w:t>十四、基金收益与分配</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_Toc240644253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85</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54" w:history="1">
        <w:r w:rsidRPr="0097056D">
          <w:rPr>
            <w:rStyle w:val="aa"/>
            <w:rFonts w:ascii="宋体" w:hAnsi="宋体" w:hint="eastAsia"/>
            <w:noProof/>
            <w:sz w:val="24"/>
          </w:rPr>
          <w:t>十五、基金的费用与税收</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_Toc240644254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87</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55" w:history="1">
        <w:r w:rsidRPr="0097056D">
          <w:rPr>
            <w:rStyle w:val="aa"/>
            <w:rFonts w:ascii="宋体" w:hAnsi="宋体" w:hint="eastAsia"/>
            <w:noProof/>
            <w:sz w:val="24"/>
          </w:rPr>
          <w:t>十六、基金的会计与审计</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_Toc240644255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90</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56" w:history="1">
        <w:r w:rsidRPr="0097056D">
          <w:rPr>
            <w:rStyle w:val="aa"/>
            <w:rFonts w:ascii="宋体" w:hAnsi="宋体" w:hint="eastAsia"/>
            <w:noProof/>
            <w:sz w:val="24"/>
          </w:rPr>
          <w:t>十七、基金的信息披露</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_Toc240644256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91</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57" w:history="1">
        <w:r w:rsidRPr="0097056D">
          <w:rPr>
            <w:rStyle w:val="aa"/>
            <w:rFonts w:ascii="宋体" w:hAnsi="宋体" w:hint="eastAsia"/>
            <w:noProof/>
            <w:sz w:val="24"/>
          </w:rPr>
          <w:t>十八、风险揭示</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_Toc240644257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97</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58" w:history="1">
        <w:r w:rsidRPr="0097056D">
          <w:rPr>
            <w:rStyle w:val="aa"/>
            <w:rFonts w:ascii="宋体" w:hAnsi="宋体" w:hint="eastAsia"/>
            <w:noProof/>
            <w:sz w:val="24"/>
          </w:rPr>
          <w:t>十九、基金合同的变更、终止与基金财产的清算</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_Toc240644258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104</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59" w:history="1">
        <w:r w:rsidRPr="0097056D">
          <w:rPr>
            <w:rStyle w:val="aa"/>
            <w:rFonts w:ascii="宋体" w:hAnsi="宋体" w:hint="eastAsia"/>
            <w:noProof/>
            <w:sz w:val="24"/>
          </w:rPr>
          <w:t>二十、基金合同内容摘要</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_Toc240644259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106</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60" w:history="1">
        <w:r w:rsidRPr="0097056D">
          <w:rPr>
            <w:rStyle w:val="aa"/>
            <w:rFonts w:ascii="宋体" w:hAnsi="宋体" w:hint="eastAsia"/>
            <w:noProof/>
            <w:sz w:val="24"/>
          </w:rPr>
          <w:t>二十一、托管协议的内容摘要</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_Toc240644260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122</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61" w:history="1">
        <w:r w:rsidRPr="0097056D">
          <w:rPr>
            <w:rStyle w:val="aa"/>
            <w:rFonts w:ascii="宋体" w:hAnsi="宋体" w:hint="eastAsia"/>
            <w:noProof/>
            <w:sz w:val="24"/>
          </w:rPr>
          <w:t>二十二、对基金份额持有人的服务</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_Toc240644261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140</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62" w:history="1">
        <w:r w:rsidRPr="0097056D">
          <w:rPr>
            <w:rStyle w:val="aa"/>
            <w:rFonts w:ascii="宋体" w:hAnsi="宋体" w:hint="eastAsia"/>
            <w:noProof/>
            <w:sz w:val="24"/>
          </w:rPr>
          <w:t>二十三、其他应披露事项</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_Toc240644262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142</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63" w:history="1">
        <w:r w:rsidRPr="0097056D">
          <w:rPr>
            <w:rStyle w:val="aa"/>
            <w:rFonts w:ascii="宋体" w:hAnsi="宋体" w:hint="eastAsia"/>
            <w:noProof/>
            <w:sz w:val="24"/>
          </w:rPr>
          <w:t>二十四、招募说明书的存放及查阅方式</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_Toc240644263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144</w:t>
        </w:r>
        <w:r w:rsidRPr="0097056D">
          <w:rPr>
            <w:rFonts w:ascii="宋体" w:hAnsi="宋体"/>
            <w:noProof/>
            <w:sz w:val="24"/>
          </w:rPr>
          <w:fldChar w:fldCharType="end"/>
        </w:r>
      </w:hyperlink>
    </w:p>
    <w:p w:rsidR="0097056D" w:rsidRPr="0097056D" w:rsidRDefault="0097056D" w:rsidP="0097056D">
      <w:pPr>
        <w:pStyle w:val="10"/>
        <w:tabs>
          <w:tab w:val="right" w:leader="dot" w:pos="8550"/>
        </w:tabs>
        <w:spacing w:line="360" w:lineRule="auto"/>
        <w:rPr>
          <w:rFonts w:ascii="宋体" w:hAnsi="宋体" w:cstheme="minorBidi"/>
          <w:noProof/>
          <w:sz w:val="24"/>
        </w:rPr>
      </w:pPr>
      <w:hyperlink w:anchor="_Toc240644264" w:history="1">
        <w:r w:rsidRPr="0097056D">
          <w:rPr>
            <w:rStyle w:val="aa"/>
            <w:rFonts w:ascii="宋体" w:hAnsi="宋体" w:hint="eastAsia"/>
            <w:noProof/>
            <w:sz w:val="24"/>
          </w:rPr>
          <w:t>二十五、备查文件</w:t>
        </w:r>
        <w:r w:rsidRPr="0097056D">
          <w:rPr>
            <w:rFonts w:ascii="宋体" w:hAnsi="宋体"/>
            <w:noProof/>
            <w:sz w:val="24"/>
          </w:rPr>
          <w:tab/>
        </w:r>
        <w:r w:rsidRPr="0097056D">
          <w:rPr>
            <w:rFonts w:ascii="宋体" w:hAnsi="宋体"/>
            <w:noProof/>
            <w:sz w:val="24"/>
          </w:rPr>
          <w:fldChar w:fldCharType="begin"/>
        </w:r>
        <w:r w:rsidRPr="0097056D">
          <w:rPr>
            <w:rFonts w:ascii="宋体" w:hAnsi="宋体"/>
            <w:noProof/>
            <w:sz w:val="24"/>
          </w:rPr>
          <w:instrText xml:space="preserve"> PAGEREF _Toc240644264 \h </w:instrText>
        </w:r>
        <w:r w:rsidRPr="0097056D">
          <w:rPr>
            <w:rFonts w:ascii="宋体" w:hAnsi="宋体"/>
            <w:noProof/>
            <w:sz w:val="24"/>
          </w:rPr>
        </w:r>
        <w:r w:rsidRPr="0097056D">
          <w:rPr>
            <w:rFonts w:ascii="宋体" w:hAnsi="宋体"/>
            <w:noProof/>
            <w:sz w:val="24"/>
          </w:rPr>
          <w:fldChar w:fldCharType="separate"/>
        </w:r>
        <w:r w:rsidRPr="0097056D">
          <w:rPr>
            <w:rFonts w:ascii="宋体" w:hAnsi="宋体"/>
            <w:noProof/>
            <w:sz w:val="24"/>
          </w:rPr>
          <w:t>145</w:t>
        </w:r>
        <w:r w:rsidRPr="0097056D">
          <w:rPr>
            <w:rFonts w:ascii="宋体" w:hAnsi="宋体"/>
            <w:noProof/>
            <w:sz w:val="24"/>
          </w:rPr>
          <w:fldChar w:fldCharType="end"/>
        </w:r>
      </w:hyperlink>
    </w:p>
    <w:p w:rsidR="00F2195D" w:rsidRPr="0097056D" w:rsidRDefault="0097056D" w:rsidP="0097056D">
      <w:pPr>
        <w:pStyle w:val="ad"/>
        <w:snapToGrid w:val="0"/>
        <w:spacing w:after="240" w:line="360" w:lineRule="auto"/>
        <w:jc w:val="center"/>
        <w:rPr>
          <w:rFonts w:ascii="宋体" w:hAnsi="宋体"/>
          <w:color w:val="000000"/>
          <w:sz w:val="24"/>
        </w:rPr>
      </w:pPr>
      <w:r w:rsidRPr="0097056D">
        <w:rPr>
          <w:rFonts w:ascii="宋体" w:hAnsi="宋体"/>
          <w:color w:val="000000"/>
          <w:position w:val="-4"/>
          <w:sz w:val="24"/>
          <w:szCs w:val="30"/>
        </w:rPr>
        <w:fldChar w:fldCharType="end"/>
      </w:r>
      <w:bookmarkStart w:id="3" w:name="_GoBack"/>
      <w:bookmarkEnd w:id="3"/>
    </w:p>
    <w:p w:rsidR="00F2195D" w:rsidRDefault="00F2195D">
      <w:pPr>
        <w:autoSpaceDE w:val="0"/>
        <w:autoSpaceDN w:val="0"/>
        <w:adjustRightInd w:val="0"/>
        <w:snapToGrid w:val="0"/>
        <w:spacing w:line="360" w:lineRule="auto"/>
        <w:ind w:left="120" w:rightChars="6" w:right="13"/>
        <w:rPr>
          <w:rFonts w:ascii="宋体" w:hAnsi="宋体"/>
          <w:kern w:val="0"/>
          <w:szCs w:val="24"/>
        </w:rPr>
        <w:sectPr w:rsidR="00F2195D">
          <w:pgSz w:w="11920" w:h="16840"/>
          <w:pgMar w:top="1480" w:right="1680" w:bottom="280" w:left="1680" w:header="0" w:footer="1073" w:gutter="0"/>
          <w:cols w:space="720"/>
        </w:sectPr>
      </w:pPr>
    </w:p>
    <w:p w:rsidR="00F2195D" w:rsidRDefault="00FC00B2">
      <w:pPr>
        <w:pStyle w:val="1"/>
        <w:snapToGrid w:val="0"/>
        <w:spacing w:beforeLines="0" w:before="240" w:after="240"/>
        <w:rPr>
          <w:rFonts w:ascii="宋体" w:hAnsi="宋体"/>
          <w:szCs w:val="30"/>
        </w:rPr>
      </w:pPr>
      <w:bookmarkStart w:id="4" w:name="_Toc240644240"/>
      <w:r>
        <w:rPr>
          <w:rFonts w:ascii="Times New Roman" w:hAnsi="Times New Roman"/>
          <w:sz w:val="30"/>
        </w:rPr>
        <w:lastRenderedPageBreak/>
        <w:t>一、绪言</w:t>
      </w:r>
      <w:bookmarkEnd w:id="4"/>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优择回报灵活配置混合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优择回报灵活配置混合型证券投资基金基金合同》（以下简称“基金合同”）编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5" w:name="_Toc240644241"/>
      <w:r>
        <w:rPr>
          <w:rFonts w:ascii="Times New Roman" w:hAnsi="Times New Roman"/>
          <w:sz w:val="30"/>
        </w:rPr>
        <w:lastRenderedPageBreak/>
        <w:t>二、释义</w:t>
      </w:r>
      <w:bookmarkEnd w:id="5"/>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1、基金或本基金：指交银施罗德优择回报灵活配置混合型证券投资基金</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2、基金管理人或本基金管理人：指交银施罗德基金管理有限公司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3、基金托管人或本基金托管人：指中信银行股份有限公司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4、基金合同或《基金合同》：指《交银施罗德优择回报灵活配置混合型证券投资基金基金合同》及对基金合同的任何有效修订和补充</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5、托管协议：指基金管理人与基金托管人就本基金签订之《交银施罗德优择回报灵活配置混合型证券投资基金托管协议》及对该托管协议的任何有效修订和补充</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6、招募说明书、《招募说明书》或本招募说明书：指《交银施罗德优择回报灵活配置混合型证券投资基金招募说明书》及其更新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7、基金份额发售公告：指《交银施罗德优择回报灵活配置混合型证券投资基金基金份额发售公告》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8、基金产品资料概要：指《交银施罗德优择回报灵活配置混合型证券投资基金基金产品资料概要》及其更新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11、《销售办法》：指《证券投资基金销售管理办法》及颁布机关对其不时做出的修订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14、《流动性规定》：指中国证监会2017年8月31日颁布、同年10月1日实施的《公开募集开放式证券投资基金流动性风险管理规定》及颁布机关对其不时做出的修订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15、中国证监会：指中国证券监督管理委员会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16、银行业监督管理机构：指中国人民银行和/或中国银行业监督管理委员会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20、合格境外机构投资者：指符合《合格境外机构投资者境内证券投资管理办法》及相关法律法规规定可以投资于在中国境内依法募集的证券投资基金的中国境外的机构投资者</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21、人民币合格境外机构投资者：指按照《人民币合格境外机构投资者境内证券投资试点办法》及相关法律法规规定，运用来自境外的人民币资金进行中国境内证券投资的境外机构投资者</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22、投资人或投资者：指个人投资者、机构投资者、合格境外机构投资者和人民币合格境外机构投资者以及法律法规或中国证监会允许购买证券投资基金的其他投资人的合称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23、基金份额持有人：指依基金合同和招募说明书合法取得基金份额的投资人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24、基金销售业务：指基金管理人或销售机构宣传推介基金，发售基金份额，办理基金份额的申购、赎回、转换、转托管及定期定额投资等业务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25、销售机构：指交银施罗德基金管理有限公司以及符合《销售办法》和中国证监会规定的其他条件，取得基金销售业务资格并与基金管理人签订了基金销售服务协议，办理基金销售业务的机构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27、登记机构：指办理登记业务的机构。基金的登记机构为交银施罗德基金管理有限公司或接受交银施罗德基金管理有限公司委托办理登记业务的机构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28、基金账户：指登记机构为投资人开立的、记录其持有的、基金管理人所管理的基金份额余额及其变动情况的账户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29、基金交易账户：指销售机构为投资人开立的、记录投资人通过该销售机构办理认购、申购、赎回、转换及转托管等业务而引起的基金份额变动及结余情况的账户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30、基金合同生效日：指基金募集达到法律法规规定及基金合同规定的条件，基金管理人向中国证监会办理基金备案手续完毕，并获得中国证监会书面确认的日期</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31、基金合同终止日：指基金合同规定的基金合同终止事由出现后，基金财产清算完毕，清算结果报中国证监会备案并予以公告的日期</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32、基金募集期：指自基金份额发售之日起至发售结束之日止的期间，最长不得超过3个月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33、存续期：指基金合同生效至终止之间的不定期期限</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34、工作日：指上海证券交易所、深圳证券交易所的正常交易日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35、T日：指销售机构在规定时间受理投资人申购、赎回或其他业务申请的开放日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36、T+n日：指自T日起第n个工作日(不包含T日)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37、开放日：指为投资人办理基金份额申购、赎回或其他业务的工作日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38、开放时间：指开放日基金接受申购、赎回或其他交易的时间段</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40、认购：指在基金募集期内，投资人根据基金合同和招募说明书的规定申请购买基金份额的行为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41、申购：指基金合同生效后，投资人根据基金合同和招募说明书的规定申请购买基金份额的行为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42、赎回：指基金合同生效后，基金份额持有人按基金合同和招募说明书规定的条件要求将基金份额兑换为现金的行为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43、销售服务费：指从基金资产中计提的，用于本基金市场推广、销售以及基金份额持有人服务的费用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44、基金份额类别：指本基金根据认购/申购费用、赎回费用及销售服务费收</w:t>
      </w:r>
      <w:r>
        <w:rPr>
          <w:rFonts w:ascii="宋体" w:hAnsi="宋体"/>
          <w:sz w:val="24"/>
        </w:rPr>
        <w:lastRenderedPageBreak/>
        <w:t>取方式的不同，将基金份额分为不同的类别。两类基金份额分设不同的基金代码，并分别公布基金份额净值和基金资产净值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45、A类基金份额：指对投资者收取认购/申购费用、赎回时收取赎回费用的，且不从本类别基金资产中计提销售服务费的基金份额</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46、C类基金份额：指对投资者不收取认购/申购费用、赎回时收取赎回费用的，且从本类别基金资产中计提销售服务费的基金份额</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47、基金转换：指基金份额持有人按照基金合同和基金管理人届时有效公告规定的条件，申请将其持有基金管理人管理的、某一基金的基金份额转换为基金管理人管理的其他基金基金份额的行为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48、转托管：指基金份额持有人在本基金的不同销售机构之间实施的变更所持基金份额销售机构的操作</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51、元：指人民币元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52、基金收益：指基金投资所得红利、股息、债券利息、买卖证券价差、银行存款利息、已实现的其他合法收入及因运用基金财产带来的成本和费用的节约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53、基金资产总值：指基金拥有的各类有价证券、股指期货合约、银行存款本息、基金应收申购款及其他资产的价值总和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54、基金资产净值：指基金资产总值减去基金负债后的价值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55、基金份额净值：指计算日基金资产净值除以计算日基金份额总数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56、基金资产估值：指计算评估基金资产和负债的价值，以确定基金资产净值和基金份额净值的过程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w:t>
      </w:r>
      <w:r>
        <w:rPr>
          <w:rFonts w:ascii="宋体" w:hAnsi="宋体"/>
          <w:sz w:val="24"/>
        </w:rPr>
        <w:lastRenderedPageBreak/>
        <w:t>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58、指定媒介：指中国证监会指定的用以进行信息披露的全国性报刊及指定互联网网站（包括基金管理人网站、基金托管人网站、中国证监会基金电子披露网站）等媒介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59、不可抗力：指基金合同当事人不能预见、不能避免且不能克服的客观事件</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6" w:name="_Toc240644242"/>
      <w:r>
        <w:rPr>
          <w:rFonts w:ascii="Times New Roman" w:hAnsi="Times New Roman"/>
          <w:sz w:val="30"/>
        </w:rPr>
        <w:lastRenderedPageBreak/>
        <w:t>三、基金管理人</w:t>
      </w:r>
      <w:bookmarkEnd w:id="6"/>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许颖女士，职工董事，学士。现任交银施罗德基金管理有限公司基金运营部总经理、工会副主席职务。历任交银施罗德基金管理有限公司财务部总经理、财务总监，交银施罗德资产管理有限公司执行监事。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高扬先生:基金经理。北京大学计算机科学与技术硕士、经济学学士，北京邮电大学信息工程学士。10年证券投资行业从业经验。2016年加入交银施罗德基金管理有限公司，曾任行业分析师，现任权益部基金经理。现任交银施罗德科锐科技创新混合型证券投资基金(2021年08月11日至今)、交银施罗德数据产业灵活配置混合型证券投资基金(2024年06月18日至今)、交银施罗德启合混合型证券投资基金(2024年11月27日至今)、交银施罗德定期支付月月丰债券型证券投资基金(2026年05月16日至今)、交银施罗德优择回报灵活配置混合型证券投资基金(2026年07月25日至今)的基金经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本基金历任基金经理：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李娜女士(2016年04月22日至2020年12月18日)；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凌超先生(2019年07月20日至2020年07月22日)；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王艺伟女士(2020年07月09日至2024年12月07日)；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姜承操女士(2024年12月06日至2025年12月27日)；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周珊珊女士(2024年12月10日至2026年09月19日)。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上述人员之间无近亲属关系。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2、办理基金备案手续；</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10、保存基金财产管理业务活动的记录、账册、报表和其他相关资料；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（6）泄露因职务便利获取的未公开信息、利用该信息从事或者明示、暗示他人从事相关的交易活动；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（7）玩忽职守，不按照规定履行职责；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（8）法律、行政法规和中国证监会禁止的其他行为。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4、基金管理人承诺加强人员管理，强化职业操守，督促和约束员工遵守国家有关法律法规及行业规范，诚实信用、勤勉尽责；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1、内部控制的原则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w:t>
      </w:r>
      <w:r>
        <w:rPr>
          <w:rFonts w:ascii="宋体" w:hAnsi="宋体"/>
          <w:sz w:val="24"/>
        </w:rPr>
        <w:lastRenderedPageBreak/>
        <w:t>责监察公司的风险管理措施的执行。具体而言，包括如下组成部分：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（8）业务部门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（3）建立、健全岗位责任制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7" w:name="_Toc240644243"/>
      <w:r>
        <w:rPr>
          <w:rFonts w:ascii="Times New Roman" w:hAnsi="Times New Roman"/>
          <w:sz w:val="30"/>
        </w:rPr>
        <w:lastRenderedPageBreak/>
        <w:t>四、基金托管人</w:t>
      </w:r>
      <w:bookmarkEnd w:id="7"/>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（一）基金托管人基本情况</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名称：中信银行股份有限公司（简称“中信银行”）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住所：北京市朝阳区光华路10号院1号楼6-30层、32-42层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办公地址：北京市朝阳区光华路10号院1号楼6-30层、32-42层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法定代表人：方合英</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批准设立文号：中华人民共和国国务院办公厅国办函[1987]14号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基金托管业务批准文号：中国证监会证监基金字[2004]125号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联系人：中信银行资产托管部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联系电话：4006800000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客服电话：95558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网址：www.citicbank.com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保险兼业代理业务；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业务。（企业依法自主选择经营项目，开展经营活动；依法须经批准的项目，经相关部门批准后依批准的内容开展经营活动；不得从事本市产业政策禁止和限制类项目的经营活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成立于1987年，是中国改革开放中最早成立的新兴商业银行之一，是中国最早参与国内外金融市场融资的商业银行，并以屡创中国现代金融史上多个第一而蜚声海内外，为中国经济建设作出了积极贡献。2007年4月，本行实现在上海证券</w:t>
      </w:r>
      <w:r>
        <w:rPr>
          <w:rFonts w:ascii="宋体" w:hAnsi="宋体"/>
          <w:sz w:val="24"/>
        </w:rPr>
        <w:lastRenderedPageBreak/>
        <w:t>交易所和香港联合交易所A+H 股同步上市。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依托中信集团“金融+实业”综合禀赋优势，以全面建设“四有”银行、跨入世界一流银行竞争前列为发展愿景，坚持“诚实守信、以义取利、稳健审慎、守正创新、依法合规”，以客户为中心，通过实施“五个领先”银行战略，打造有特色、差异化的中信金融服务模式，向政府与机构客户、企业客户和同业客户提供公司银行业务、投资银行业务、国际业务、交易银行业务、托管业务、金融市场业务等综合金融解决方案；向个人客户提供财富管理业务、个人信贷业务、信用卡业务、私人银行业务、养老金融业务、出国金融业务等多元化金融产品及服务，全方位满足政府与机构、企业、同业及个人客户的综合金融服务需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报告期末，本行在国内153个大中城市设有1,484家营业网点，在境内外下设中信国际金融控股有限公司、信银（香港）投资有限公司、中信金融租赁有限公司、信银理财有限责任公司、信银金融资产投资有限公司、中信百信银行股份有限公司、阿尔金银行股份有限公司和浙江临安中信村镇银行股份有限公司 8 家附属机构。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其中，中信国际金融控股有限公司子公司中信银行（国际）有限公司在香港、澳门、纽约、 洛杉矶、新加坡和中国内地设有28家营业网点、2 家商务理财中心及1家私人银行中心。信银（香港）投资有限公司在香港和境内设有3家子公司。信银理财有限责任公司为本行全资理财子公司。中信百信银行股份有限公司为本行与百度联合发起设立的国内首家独立法人直销银行。阿尔金银行股份有限公司在哈萨克斯坦设有7家营业网点和1家私人银行中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行深刻把握金融工作的政治性、人民性，始终在党和国家战略大局中找准金融定位、履行金融职责，坚持做国家战略的忠实践行者、实体经济的有力服务者和金融强国的积极建设者。成立38年来，本行已成为一家总资产规模突破10万亿元、员工人数超6.7万名，具有强大综合实力和品牌竞争力的金融集团。2025年，本行在英国Brand Finance 发布的“全球银行品牌价值500 强”榜单中排名第19位，以27.2%的增幅居中国内地银行第一；一级资本在英国《银行家》杂志“世界1000 家银行排名”中位列第18位。荣膺英国《银行家》杂志“2025年中国年度银行”大奖。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（二）主要人员情况</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方合英先生，本行党委书记、董事长、执行董事，代为履行行长职责。方先生</w:t>
      </w:r>
      <w:r>
        <w:rPr>
          <w:rFonts w:ascii="宋体" w:hAnsi="宋体"/>
          <w:sz w:val="24"/>
        </w:rPr>
        <w:lastRenderedPageBreak/>
        <w:t>于2020年12月起任中国中信集团有限公司副总经理、中国中信股份有限公司副总经理及执行委员会成员、中国中信有限公司副总经理，2020年11月起任中国中信集团有限公司党委委员。方先生曾任本行苏州分行行长、杭州分行行长、本行金融市场业务总监、副行长、财务总监。此前，先后在浙江银行学校任教，浙江银行学校实验城市信用社信贷部任总经理助理等。方先生具有三十余年银行从业经验，毕业于湖南财经学院（现湖南大学），获北京大学高级管理人员工商管理硕士学位，正高级经济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胡罡先生，中信银行党委委员、执行董事、副行长，分管托管业务。胡先生现同时担任中信银行（国际）有限公司董事。胡先生曾任本行长沙分行筹备组副组长、长沙分行党委委员、副行长，重庆分行党委委员、副行长、党委书记、行长，上海分行党委书记、行长及本行首席风险官、批发业务总监、风险总监。此前，胡先生曾先后就职于湖南省检察院政治部，于湖南省委办公厅人事处任副主任科员，于湖南众立实业集团公司下属北海湘房地产开发公司任总经理助理、总经理，下属鸿都企业公司任副董事长，于湖南长沙湘财城市信用社任董事长。胡先生拥有近三十年中国银行业从业经验，毕业于湖南大学，获经济学博士学位，高级经济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杨璋琪先生，中信银行资产托管部总经理，硕士研究生学历。杨先生2018年1月至2019年3月，任中信银行金融同业部副总经理；2015年5月至2018年1月，任中信银行长春分行副行长；2013年4月至2015年5月，任中信银行机构业务部总经理助理；1996年7月至2013年4月，就职于中信银行北京分行（原总行营业部），历任支行行长、投资银行部总经理、贸易金融部总经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（三）基金托管业务经营情况</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2004年8月18日，中信银行经中国证券监督管理委员会和中国银行业监督管理委员会批准，取得基金托管人资格。中信银行本着“诚实信用、勤勉尽责”的原则，切实履行托管人职责。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截至2026年一季度末，中信银行托管435只公开募集证券投资基金，以及基金公司、证券公司资产管理产品、信托产品、企业年金、股权基金、QDII等其他托管资产，托管总规模达到19.28万亿元人民币。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（四）基金托管人的内部控制制度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1、内部控制目标。强化内部管理，确保有关法律法规及规章在基金托管业务中得到全面严格的贯彻执行；建立完善的规章制度和操作规程，保证基金托管业务</w:t>
      </w:r>
      <w:r>
        <w:rPr>
          <w:rFonts w:ascii="宋体" w:hAnsi="宋体"/>
          <w:sz w:val="24"/>
        </w:rPr>
        <w:lastRenderedPageBreak/>
        <w:t>持续、稳健发展；加强稽核监察，建立高效的风险监控体系，及时有效地发现、分析、控制和避免风险，确保基金财产安全，维护基金份额持有人利益。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 内部控制组织结构。中信银行总行建立了风险管理委员会，负责全行的风险控制和风险防范工作；托管部内设内控合规岗，专门负责托管部内部风险控制，对基金托管业务的各个工作环节和业务流程进行独立、客观、公正的稽核监察。</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中信银行严格按照《基金法》以及其他法律法规及规章的规定，以控制和防范基金托管业务风险为主线，制定了《中信银行基金托管业务管理办法》、《中信银行基金托管业务内部控制管理办法》和《中信银行托管业务内控检查实施细则》等一整套规章制度，涵盖证券投资基金托管业务的各个环节，保证证券投资基金托管业务合法、合规、持续、稳健发展。</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内部控制措施。建立了各项规章制度、操作流程、岗位职责、行为规范等，从制度上、人员上保证基金托管业务稳健发展；建立了安全保管基金财产的物质条件，对业务运行场所实行封闭管理，在要害部门和岗位设立了安全保密区，安装了录像、录音监控系统，保证基金信息的安全；建立严密的内部控制防线和业务授权管理等制度，确保所托管的基金财产独立运行；营造良好的内部控制环境，开展多种形式的持续培训，加强职业道德教育。</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（五）基金托管人对基金管理人运作基金进行监督的方法和程序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基金法》、《运作办法》、《信息披露办法》、基金合同、托管协议和有关法律法规及规章的规定，对基金的投资运作、基金资产净值计算、基金份额净值计算、应收资金到账、基金费用开支及收入确定、基金收益分配、相关信息披露、基金宣传推介材料中登载的基金业绩表现数据等进行监督和核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托管人发现基金管理人违反《基金法》、《运作办法》、《信息披露办法》、基金合同和有关法律法规及规章的行为，将及时以书面形式通知基金管理人限期纠正。在限期内，基金托管人有权随时对通知事项进行复查，督促基金管理人改正。基金托管人发现基金管理人有重大违规行为或违规事项未能在限期内纠正的，基金托管人将以书面形式报告中国证监会。</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8" w:name="_Toc240644244"/>
      <w:r>
        <w:rPr>
          <w:rFonts w:ascii="Times New Roman" w:hAnsi="Times New Roman"/>
          <w:sz w:val="30"/>
        </w:rPr>
        <w:lastRenderedPageBreak/>
        <w:t>五、相关服务机构</w:t>
      </w:r>
      <w:bookmarkEnd w:id="8"/>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本基金直销机构为本公司直销柜台以及本公司的网上直销交易平台（网站及APP，下同）。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个人投资者可以通过基金管理人网上直销交易平台办理开户、本基金的申购、赎回、定期定额投资、转换等业务，具体交易细则请参阅基金管理人网站。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2、代销机构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（1）名称：交通银行股份有限公司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办公地址：上海市浦东新区银城中路188号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（2）名称：招商银行股份有限公司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住所：深圳市福田区深南大道7088号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（3）名称：中信银行股份有限公司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传真：（010）85230024</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（4）名称：中国邮政储蓄银行股份有限公司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法定代表人：李国华</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传真：（010）68858117</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联系人：陈春林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网址：www.psbc.com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（5）名称：兴业银行股份有限公司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注册地址：福建省福州市台江区江滨中大道398号兴业银行大厦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办公地址：上海市浦东新区银城路 167 号兴业银行大厦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法定代表人：吕家进</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联系人：蔡宣铭</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联系电话：021-52629999</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客服热线：95561</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网址：www.cib.com.cn</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（6）名称：中信建投证券股份有限公司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（7）名称：华西证券股份有限公司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（8）名称：申万宏源证券有限公司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（9）名称：申万宏源西部证券有限公司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办公地址：北京市西城区太平桥大街19号宏源证券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（10）名称：国金证券股份有限公司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（11）名称：华宝证券股份有限公司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住所：中国上海市陆家嘴环路166号未来资产大厦27楼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办公地址：中国上海市浦东新区世纪大道100号上海环球金融中心57楼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陈林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电话：（021）68777222</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传真：（021）68777822</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客户服务电话：400-820-9898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网址：www.cnhbstock.com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（12）名称：中信证券（山东）有限责任公司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传真：0532-85022605</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（13）名称：中信证券股份有限公司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（14）名称：中信证券华南股份有限公司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电话：020-88836999</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（15）名称：国泰海通证券股份有限公司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（16）名称：海通证券股份有限公司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住所：上海市淮海中路98号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办公地址：上海市广东路689号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法定代表人：王开国</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电话：（021）23219000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传真：（021）23219100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联系人：李笑鸣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客户服务电话：95553或拨打各城市营业网点咨询电话</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网址：www.htsec.com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（17）名称：长江证券股份有限公司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住所：武汉市新华路特8号长江证券大厦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办公地址：武汉市新华路特8号长江证券大厦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法定代表人：胡运钊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电话：（027）65799999</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传真：（027）85481900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联系人：李良</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客户服务电话：95579或4008-888-999</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网址：www.95579.com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（18）名称：华泰证券股份有限公司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（19）名称：招商证券股份有限公司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电话：（0755）82943666</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（20）名称：中国银河证券股份有限公司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（21）名称：西部证券股份有限公司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住所：陕西省西安市新城区东新街 319 号 8 幢 10000 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办公地址：陕西省西安市新城区东新街 319 号 8 幢 10000 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法定代表人：徐朝晖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电话：029-87211668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联系人：张吉安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客户服务电话：95582</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网址：www.west95582.com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（22）名称：中国中金财富证券有限公司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电话：（0755）88320851</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（23）名称：上海联泰基金销售有限公司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联系人：兰敏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（24）名称：上海大智慧基金销售有限公司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住所：上海市浦东新区杨高南路428号1号楼10-11层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办公地址：上海市浦东新区杨高南路428号1号楼10-11层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法定代表人：申健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电话：021-0219988-35374</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传真：021-20219923</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联系人：张蜓</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客户服务电话：021-20292031</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网址：https://www.wg.com.cn</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（25）名称：珠海盈米基金销售有限公司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（26）名称：南京苏宁基金销售有限公司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网址：www.snjijin.com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（27）名称：北京雪球基金销售有限公司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（28）名称：上海天天基金销售有限公司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（29）名称：上海基煜基金销售有限公司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法定代表人：王翔</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传真：（021）55085991</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（30）名称：北京度小满基金销售有限公司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（31）名称：中国人寿保险股份有限公司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（32）名称：上海利得基金销售有限公司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（33）名称：上海长量基金销售有限公司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办公地址：上海市浦东新区浦东大道555号裕景国际B座16层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（34）名称：北京创金启富基金销售有限公司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北京市西城区白纸坊东街2号院6号楼712室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北京市西城区白纸坊东街2号院6号楼712室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梁蓉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电话：010-66154828-8047</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传真：010-63583991</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魏素清</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客户服务电话：010-66154828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https://www.5irich.com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（35）名称：浙江同花顺基金销售有限公司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（36）名称：腾安基金销售（深圳）有限公司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电话：95017（拨通后转1转8）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（37）名称：济安财富（北京）基金销售有限公司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（38）名称：大连网金基金销售有限公司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（39）名称：上海好买基金销售有限公司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（40）名称：博时财富基金销售有限公司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（41）名称：北京汇成基金销售有限公司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（42）名称：诺亚正行基金销售有限公司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（43）名称：嘉实财富管理有限公司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办公地址及其联系方式：北京市朝阳区建国门外大街21号北京国际俱乐部C座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（44）名称：京东肯特瑞基金销售有限公司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（45）名称：泛华普益基金销售有限公司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（46）名称：和耕传承基金销售有限公司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电话：0371-85518395</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（47）名称：上海中欧财富基金销售有限公司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（48）名称：深圳众禄基金销售股份有限公司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法定代表人：薛峰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（49）名称：深圳前海微众银行股份有限公司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联系人：白冰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（50）名称：中信期货有限公司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（51）名称：北京新浪仓石基金销售有限公司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联系人：穆飞虎</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（52）名称：蚂蚁（杭州）基金销售有限公司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联系人：韩爱彬</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基金管理人可根据有关法律法规的要求，选择其它符合要求的机构代理销售本基金，并在管理人网站公示。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办公地址：北京市西城区太平桥大街17号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负责人：韩炯</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名称：毕马威华振会计师事务所(特殊普通合伙)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住所：北京市东城区东长安街1号东方广场2座办公楼8层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办公地址：中国上海南京西路1266号恒隆广场2期25楼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执行事务合伙人：邹俊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电话：+86 (21) 2212 2888</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传真：+86 (21) 6288 1889</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联系人：侯雯</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经办注册会计师：王国蓓、侯雯</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9" w:name="_Toc240644245"/>
      <w:r>
        <w:rPr>
          <w:rFonts w:ascii="Times New Roman" w:hAnsi="Times New Roman"/>
          <w:sz w:val="30"/>
        </w:rPr>
        <w:lastRenderedPageBreak/>
        <w:t>六、基金的募集</w:t>
      </w:r>
      <w:bookmarkEnd w:id="9"/>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本基金由基金管理人依照《基金法》、《运作办法》、《销售办法》、基金合同及其他有关规定，并经中国证监会2016年3月1日证监许可[2016]393号文准予募集注册。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本基金自2016年4月15日至2016年 4月19日进行发售，本基金设立募集期共募集500,085,413.82份基金份额，有效认购户数为258户。</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10" w:name="_Toc240644246"/>
      <w:r>
        <w:rPr>
          <w:rFonts w:ascii="Times New Roman" w:hAnsi="Times New Roman"/>
          <w:sz w:val="30"/>
        </w:rPr>
        <w:lastRenderedPageBreak/>
        <w:t>七、基金合同的生效</w:t>
      </w:r>
      <w:bookmarkEnd w:id="10"/>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根据有关规定，本基金满足基金合同生效条件，基金合同已于2016年4月22日正式生效。自基金合同生效之日起，本基金管理人正式开始管理本基金。</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按照相关法律法规和基金合同的约定进入清算程序，不需召开基金份额持有人大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法律法规另有规定时，从其规定。</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11" w:name="_Toc240644247"/>
      <w:r>
        <w:rPr>
          <w:rFonts w:ascii="Times New Roman" w:hAnsi="Times New Roman"/>
          <w:sz w:val="30"/>
        </w:rPr>
        <w:lastRenderedPageBreak/>
        <w:t>八、基金份额的申购与赎回</w:t>
      </w:r>
      <w:bookmarkEnd w:id="11"/>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本基金直销机构为基金管理人以及基金管理人的网上直销交易平台。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个人投资者可以通过基金管理人网上直销交易平台办理开户、本基金的申购、赎回、转换及定期定额投资等业务，具体交易细则请参阅基金管理人网站。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投资人应当通过上述销售机构办理基金申购、赎回业务的营业场所或按上述销售机构提供的其他方式进行申购或赎回。本基金管理人可根据情况变更或增减基金销售机构，并在管理人网站公示。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若出现新的证券/期货交易市场、证券/期货交易所交易时间变更或其他特殊情况，基金管理人将视情况对前述开放日及开放时间进行相应的调整，但应在实施日前依照《信息披露办法》的有关规定在指定媒介上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本基金已于2016年7月21日起开放申购、赎回业务。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价格为下一开放日基金份额申购、赎回的价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基金管理人可在法律法规允许的情况下，对上述原则进行调整。基金管理人必须在新规则开始实施前依照《信息披露办法》的有关规定在指定媒介上公告。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2、赎回份额的限制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3、最低保留余额的限制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个工作日投资人在单个交易账户保留的本基金份额余额少于1份时，若当日该账户同时有基金份额减少类业务（如赎回、转换出等）被确认，则基金管理人有权将投资人在该账户保留的本基金份额一次性全部赎回。</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相关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根据市场情况，在法律法规允许的情况下，调整申购的金额和赎回的份额以及最低基金份额保留余额的数量限制，基金管理人必须在调整实施前依照《信息披露办法》的有关规定在指定媒介上刊登公告并报中国证监会备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投资人申购基金份额时，必须全额交付申购款项，若申购资金在规定时间内未全额到账则申购不成立。投资人全额交付申购款项，申购成立；登记机构确认基金份额时，申购生效。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递交赎回申请，赎回成立；登记机构确认赎回时，赎回生效。投资人赎回申请成功后，基金管理人将在T＋7日（包括该日）内支付赎回款项。在发生巨额赎回时，款项的支付办法参照基金合同有关条款处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w:t>
      </w:r>
      <w:r>
        <w:rPr>
          <w:rFonts w:ascii="宋体" w:hAnsi="宋体"/>
          <w:sz w:val="24"/>
        </w:rPr>
        <w:lastRenderedPageBreak/>
        <w:t>T+1日（包括该日）内对该交易的有效性进行确认。T日提交的有效申请，投资人应在T+2日后（包括该日）及时到销售网点柜台或以销售机构规定的其他方式查询申请的确认情况。若申购不成功，则申购款项退还给投资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基金管理人可在法律法规允许的范围内，依法对上述申购和赎回申请的确认时间进行调整，并必须在调整实施日前按照《信息披露办法》的有关规定在指定媒介上公告并报中国证监会备案。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（1）投资人T日申购基金成功后，正常情况下，登记机构在T＋1日为投资人增加权益并办理登记手续，投资人自T＋2日起（包括该日）有权赎回该部分基金份额。投资人应及时查询有关申请的确认情况。</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（3）基金管理人可在法律法规允许的范围内，对上述登记办理时间进行调整，并于开始实施前按照《信息披露办法》的有关规定在指定媒介上公告并报中国证监会备案。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本基金基金份额分为A类和C类基金份额。投资人申购A类基金份额支付申购费用，申购C类基金份额不支付申购费用，而是从该类别基金资产中计提销售服务费。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本基金A类基金份额的申购费用由A类基金份额申购人承担，不列入基金财产，主要用于本基金的市场推广、销售、登记等各项费用。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本基金A类基金份额的申购费率如下：</w:t>
      </w:r>
    </w:p>
    <w:tbl>
      <w:tblPr>
        <w:tblW w:w="5000" w:type="pct"/>
        <w:tblCellMar>
          <w:left w:w="0" w:type="dxa"/>
          <w:right w:w="0" w:type="dxa"/>
        </w:tblCellMar>
        <w:tblLook w:val="0000" w:firstRow="0" w:lastRow="0" w:firstColumn="0" w:lastColumn="0" w:noHBand="0" w:noVBand="0"/>
      </w:tblPr>
      <w:tblGrid>
        <w:gridCol w:w="2167"/>
        <w:gridCol w:w="6503"/>
      </w:tblGrid>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类基金份额申购费率</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0.8%</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0.3%</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持有A类基金份额的投资人因红利自动再投资而产生的A类基金份额，不收取相应的申购费用。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本基金对通过基金管理人直销柜台申购A类基金份额的养老金客户实施特定申购费率。</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如将来出现经养老基金监管部门认可的新的养老基金类型，基金管理人可在招募说明书更新或发布临时公告将其纳入养老金客户范围，并按规定向中国证监会备案。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通过基金管理人直销柜台申购本基金A类基金份额的养老金客户特定申购费率如下表：</w:t>
      </w:r>
    </w:p>
    <w:tbl>
      <w:tblPr>
        <w:tblW w:w="5000" w:type="pct"/>
        <w:tblCellMar>
          <w:left w:w="0" w:type="dxa"/>
          <w:right w:w="0" w:type="dxa"/>
        </w:tblCellMar>
        <w:tblLook w:val="0000" w:firstRow="0" w:lastRow="0" w:firstColumn="0" w:lastColumn="0" w:noHBand="0" w:noVBand="0"/>
      </w:tblPr>
      <w:tblGrid>
        <w:gridCol w:w="2167"/>
        <w:gridCol w:w="6503"/>
      </w:tblGrid>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类基金份额特定申购费率</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0.32%</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50</w:t>
            </w:r>
            <w:r>
              <w:rPr>
                <w:rFonts w:ascii="Times New Roman" w:hAnsi="Times New Roman"/>
                <w:color w:val="000000"/>
                <w:kern w:val="0"/>
                <w:sz w:val="25"/>
                <w:szCs w:val="24"/>
              </w:rPr>
              <w:t>万元（含）至</w:t>
            </w:r>
            <w:r>
              <w:rPr>
                <w:rFonts w:ascii="Times New Roman" w:hAnsi="Times New Roman"/>
                <w:color w:val="000000"/>
                <w:kern w:val="0"/>
                <w:sz w:val="25"/>
                <w:szCs w:val="24"/>
              </w:rPr>
              <w:t>100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0.18%</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100</w:t>
            </w:r>
            <w:r>
              <w:rPr>
                <w:rFonts w:ascii="Times New Roman" w:hAnsi="Times New Roman"/>
                <w:color w:val="000000"/>
                <w:kern w:val="0"/>
                <w:sz w:val="25"/>
                <w:szCs w:val="24"/>
              </w:rPr>
              <w:t>万元（含）至</w:t>
            </w:r>
            <w:r>
              <w:rPr>
                <w:rFonts w:ascii="Times New Roman" w:hAnsi="Times New Roman"/>
                <w:color w:val="000000"/>
                <w:kern w:val="0"/>
                <w:sz w:val="25"/>
                <w:szCs w:val="24"/>
              </w:rPr>
              <w:t>200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0.10%</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200</w:t>
            </w:r>
            <w:r>
              <w:rPr>
                <w:rFonts w:ascii="Times New Roman" w:hAnsi="Times New Roman"/>
                <w:color w:val="000000"/>
                <w:kern w:val="0"/>
                <w:sz w:val="25"/>
                <w:szCs w:val="24"/>
              </w:rPr>
              <w:t>万元（含）至</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0.06%</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F2195D">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F2195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2195D" w:rsidRDefault="00F2195D">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日以内</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F2195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2195D" w:rsidRDefault="00F2195D">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日（含）</w:t>
            </w:r>
            <w:r>
              <w:rPr>
                <w:rFonts w:ascii="Times New Roman" w:hAnsi="Times New Roman"/>
                <w:color w:val="000000"/>
                <w:kern w:val="0"/>
                <w:sz w:val="25"/>
                <w:szCs w:val="24"/>
              </w:rPr>
              <w:t>—30</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0.75%</w:t>
            </w:r>
          </w:p>
        </w:tc>
      </w:tr>
      <w:tr w:rsidR="00F2195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2195D" w:rsidRDefault="00F2195D">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日（含）</w:t>
            </w:r>
            <w:r>
              <w:rPr>
                <w:rFonts w:ascii="Times New Roman" w:hAnsi="Times New Roman"/>
                <w:color w:val="000000"/>
                <w:kern w:val="0"/>
                <w:sz w:val="25"/>
                <w:szCs w:val="24"/>
              </w:rPr>
              <w:t>—6</w:t>
            </w:r>
            <w:r>
              <w:rPr>
                <w:rFonts w:ascii="Times New Roman" w:hAnsi="Times New Roman"/>
                <w:color w:val="000000"/>
                <w:kern w:val="0"/>
                <w:sz w:val="25"/>
                <w:szCs w:val="24"/>
              </w:rPr>
              <w:t>个月</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F2195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2195D" w:rsidRDefault="00F2195D">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r>
              <w:rPr>
                <w:rFonts w:ascii="Times New Roman" w:hAnsi="Times New Roman"/>
                <w:color w:val="000000"/>
                <w:kern w:val="0"/>
                <w:sz w:val="25"/>
                <w:szCs w:val="24"/>
              </w:rPr>
              <w:t>个月以上（含）</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上表中的“月”指的是30个自然日。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的赎回费用由赎回A类基金份额的基金份额持有人承担，在基金份额持有人赎回基金份额时收取，对持续持有期少于7日的投资人收取1.5%的赎回费，对持续持有期大于等于7日但少于30日的投资人收取0.75%的赎回费，并将上述赎回费全额计入基金财产；对持续持有期大于等于30日但少于3个月的投资人收取0.5%的赎回费，并将赎回费总额的75%计入基金财产；对持续持有期大于等于3个月但少于6个月的投资人收取0.5%的赎回费，并将赎回费总额的50%计入基金财产；对持续持有期大于等于6个月的投资人，应当将赎回费总额的25%计入基金财产。上述“月”指的是30个自然日。其余用于支付登记费和其他必要的手续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（2）本基金C类基金份额的赎回费率如下：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F2195D">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r>
              <w:rPr>
                <w:rFonts w:ascii="Times New Roman" w:hAnsi="Times New Roman"/>
                <w:color w:val="000000"/>
                <w:kern w:val="0"/>
                <w:sz w:val="25"/>
                <w:szCs w:val="24"/>
              </w:rPr>
              <w:t>类基金份额的赎回费率</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持有期限</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赎回费率</w:t>
            </w:r>
          </w:p>
        </w:tc>
      </w:tr>
      <w:tr w:rsidR="00F2195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2195D" w:rsidRDefault="00F2195D">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天以内</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F2195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2195D" w:rsidRDefault="00F2195D">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r>
              <w:rPr>
                <w:rFonts w:ascii="Times New Roman" w:hAnsi="Times New Roman"/>
                <w:color w:val="000000"/>
                <w:kern w:val="0"/>
                <w:sz w:val="25"/>
                <w:szCs w:val="24"/>
              </w:rPr>
              <w:t>天（含）</w:t>
            </w:r>
            <w:r>
              <w:rPr>
                <w:rFonts w:ascii="Times New Roman" w:hAnsi="Times New Roman"/>
                <w:color w:val="000000"/>
                <w:kern w:val="0"/>
                <w:sz w:val="25"/>
                <w:szCs w:val="24"/>
              </w:rPr>
              <w:t>-30</w:t>
            </w:r>
            <w:r>
              <w:rPr>
                <w:rFonts w:ascii="Times New Roman" w:hAnsi="Times New Roman"/>
                <w:color w:val="000000"/>
                <w:kern w:val="0"/>
                <w:sz w:val="25"/>
                <w:szCs w:val="24"/>
              </w:rPr>
              <w:t>天</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0.5%</w:t>
            </w:r>
          </w:p>
        </w:tc>
      </w:tr>
      <w:tr w:rsidR="00F2195D">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F2195D" w:rsidRDefault="00F2195D">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30</w:t>
            </w:r>
            <w:r>
              <w:rPr>
                <w:rFonts w:ascii="Times New Roman" w:hAnsi="Times New Roman"/>
                <w:color w:val="000000"/>
                <w:kern w:val="0"/>
                <w:sz w:val="25"/>
                <w:szCs w:val="24"/>
              </w:rPr>
              <w:t>天以上（含）</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w:t>
            </w:r>
          </w:p>
        </w:tc>
      </w:tr>
    </w:tbl>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本基金C类基金份额的赎回费用由赎回C类基金份额的基金份额持有人承担，在基金份额持有人赎回C类基金份额时收取，对C类基金份额持有人收取的赎回费全额计入基金财产。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3、基金管理人可以在基金合同约定的范围内调整费率或收费方式，并最迟应于新的费率或收费方式实施日前依照《信息披露办法》的有关规定在指定媒介上公告。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4、基金管理人可以在不违背法律法规规定及基金合同约定的情况下根据市场情况制定基金促销计划，针对投资人定期和不定期地开展基金促销活动。在基金促</w:t>
      </w:r>
      <w:r>
        <w:rPr>
          <w:rFonts w:ascii="宋体" w:hAnsi="宋体"/>
          <w:sz w:val="24"/>
        </w:rPr>
        <w:lastRenderedPageBreak/>
        <w:t>销活动期间，基金管理人可以按中国证监会要求履行必要手续后，对投资人适当调低基金申购费率和赎回费率。</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A类基金份额和C类基金份额的申购有效份额为净申购金额除以当日的各类基金份额净值，有效份额单位为份，申购份额计算结果按四舍五入方法，保留到小数点后2位，由此产生的收益或损失由基金财产承担。</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A类基金份额和C类基金份额的赎回金额为按实际确认的有效赎回份额乘以当日各类基金份额净值并扣除相应的费用（如有），赎回金额单位为元。赎回金额计算结果按四舍五入方法，保留到小数点后2位，由此产生的收益或损失由基金财产承担。</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（1）A类基金份额的申购</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 T日A类基金份额净值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例一：某投资者（非养老金客户）投资100,000元申购本基金的A类基金份额，假设申购当日A类基金份额净值为1.0400元，申购费率为0.8%，则其可得到的申购份额为：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净申购金额=100,000/（1+0.8%）=99,206.35元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申购费用=100,000-99,206.35=793.65元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申购份额=（100,000-793.65）/1.0400=95,390.72份</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即：某投资者（非养老金客户）投资100,000元申购本基金A类基金份额，假设申购当日A类基金份额净值为1.0400元，如果其选择申购A类基金份额，则其可得到95,390.72份A类基金份额。</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例二：某养老金客户投资100,000元通过基金管理人的直销柜台申购本基金的A类基金份额，假设申购当日A类基金份额净值为1.0400元，申购费率为0.32%，则其可得到的申购份额为：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申购总金额＝100,000元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净申购金额=100,000/（1+0.32%）=99,681.02元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申购费用=100,000-99,681.02=318.98元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申购份额=（100,000-318.98）/1.0400=95,847.13份</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即：该养老金客户投资100,000元通过基金管理人的直销柜台申购本基金的A类基金份额，假设申购当日A类基金份额净值为1.0400元，则其可得到95,847.13份A类基金份额。</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（2）C类基金份额的申购</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如果投资者选择申购C类基金份额，则申购份额的计算方法如下：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申购份额=申购总金额/T日C类基金份额净值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例三：某投资者投资100,000元申购本基金的C类基金份额，假设申购当日C类基金份额净值为1.0400元，则其可得到的申购份额为：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申购份额＝100,000/1.0400＝96,153.85份</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即：投资者投资100,000元申购本基金的C类基金份额，假设申购当日C类基金份额净值为1.0400元，则其可得到96,153.85份C类基金份额。</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赎回金额为按实际确认的有效赎回份额乘以当日各类基金份额净值并扣除相应的费用，赎回金额单位为元，计算结果保留到小数点后两位，第三位四舍五入，由此产生的收益或损失由基金财产承担。</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（1）A类基金份额的赎回</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如果投资者赎回A类基金份额，则赎回金额的计算方法如下：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赎回费用=赎回份额×T日A类基金份额净值×赎回费率</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赎回金额=赎回份额×T日A类基金份额净值—赎回费用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例四：某投资者赎回持有的10,000份A类基金份额，持有时间为30日，对应的赎回费率为0.5%，假设赎回当日A类基金份额净值是1.0160元，则其可得到的赎回金额为：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赎回费用 = 10,000×1.0160×0.5% ＝ 50.80元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 10,109.20元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即：投资者赎回本基金10,000份A类基金份额，持有时间为30日，对应的赎回费率为0.5%，假设赎回当日A类基金份额净值是1.0160元，则其可得到的赎回金额为10,109.20元。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（2）C类基金份额的赎回</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投资者赎回C类基金份额，赎回金额的计算方法如下：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赎回费用=赎回份额×T日C类基金份额净值×赎回费率</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赎回金额=赎回份额×T日C类基金份额净值—赎回费用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例五：某投资者赎回持有的10,000份C类基金份额，持有时间为20日，对应的赎回费率为0.5%，假设赎回当日C类基金份额净值是1.0160元，则其可得到的赎回金额为：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 = 10,000×1.0160×0.5% ＝ 50.80元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 = 10,000×1.0160-50.80＝ 10,109.20元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即：投资者赎回本基金10,000份C类基金份额，持有时间为20日，对应的赎回费率为0.5%，假设赎回当日C类基金份额净值是1.0160元，则其可得到的赎回金额为10,109.20元。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A类基金份额净值＝A类基金份额的基金资产净值总额/发行在外的A类基金份额总数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C类基金份额净值＝C类基金份额的基金资产净值总额/发行在外的C类基金份额总数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中国证监会同意，可以适当延迟计算或公告。本基金A类基金份额和C类基金份额的基金份额净值的计算，保留到小数点后4位，小数点后第5位四舍五入，由此误差产生的收益或损失由基金财产承担。</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w:t>
      </w:r>
      <w:r>
        <w:rPr>
          <w:rFonts w:ascii="宋体" w:hAnsi="宋体"/>
          <w:sz w:val="24"/>
        </w:rPr>
        <w:lastRenderedPageBreak/>
        <w:t>资人的申购申请。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4、接受某笔或某些申购申请可能会影响或损害现有基金份额持有人利益时。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6、基金管理人、基金托管人、基金销售机构、基金销售支付结算机构或登记机构的异常情况导致基金销售系统、基金销售支付结算系统、基金注册登记系统或基金会计系统无法正常运行。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7、当前一估值日基金资产净值50%以上的资产出现无可参考的活跃市场价格且采用估值技术仍导致公允价值存在重大不确定性时，经与基金托管人协商确认后，基金管理人应当暂停接受基金申购申请。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8、基金管理人接受某笔或者某些申购申请有可能导致单一投资者持有基金份额的比例超过50%，或者变相规避50%集中度的情形时。出现上述情形时，基金管理人有权将上述申购申请全部或部分确认失败。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9、基金合同约定、法律法规规定或中国证监会认定的其他情形。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第1、2、3、5、6、7、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3、证券、期货交易所交易时间非正常停市，导致基金管理人无法计算当日基金资产净值。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5、继续接受赎回申请将损害现有基金份额持有人利益的情形时，可暂停接受</w:t>
      </w:r>
      <w:r>
        <w:rPr>
          <w:rFonts w:ascii="宋体" w:hAnsi="宋体"/>
          <w:sz w:val="24"/>
        </w:rPr>
        <w:lastRenderedPageBreak/>
        <w:t>投资人的赎回申请。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赎回申请或延缓支付赎回款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7、基金合同约定、法律法规规定或中国证监会认定的其他情形。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w:t>
      </w:r>
      <w:r>
        <w:rPr>
          <w:rFonts w:ascii="宋体" w:hAnsi="宋体"/>
          <w:sz w:val="24"/>
        </w:rPr>
        <w:lastRenderedPageBreak/>
        <w:t>以下一开放日的基金份额净值为基础计算赎回金额，以此类推，直到全部赎回为止。如投资人在提交赎回申请时未作明确选择，投资人未能赎回部分作自动延期赎回处理。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当发生上述延期赎回并延期办理时，基金管理人应当通过邮寄、传真、刊登公告或者通知销售机构代为告知等方式在3个交易日内通知基金份额持有人，说明有关处理方法，并在2日内在指定媒介上刊登公告。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1、发生上述暂停申购或赎回情况的，基金管理人应在规定期限内在指定媒介上刊登暂停公告。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2、暂停结束，基金重新开放申购或赎回时，基金管理人应依照《信息披露办法》的有关规定，不迟于重新开放日，在指定媒介上刊登基金重新开放申购或赎回公告，并公布最近一个开放日的基金份额净值。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w:t>
      </w:r>
      <w:r>
        <w:rPr>
          <w:rFonts w:ascii="宋体" w:hAnsi="宋体"/>
          <w:sz w:val="24"/>
        </w:rPr>
        <w:lastRenderedPageBreak/>
        <w:t>构要求提供的相关资料，对于符合条件的非交易过户申请按基金登记机构的规定办理，并按基金登记机构规定的标准收费。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本基金2016年7月18日刊登公告自2016年7月21日起开通定期定额投资计划业务，具体开通销售机构名单和业务规则参见相关公告。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登记机构只受理国家有权机关依法要求的基金份额的冻结与解冻，以及登记机构认可、符合法律法规的其他情况下的冻结与解冻。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（十六）基金上市交易和场内申购赎回业务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未来系统条件允许的情况下，基金管理人可以根据相关证券交易所上市交易规则，安排本基金上市交易和/或开通场内申购赎回业务事宜。具体上市交易和/或开通场内申购赎回的安排由基金管理人届时提前发布公告，并告知基金托管人与相关机构。场内申购赎回业务按照证券交易所及登记机构的相关业务规则办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（十七）基金份额的转让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符合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F2195D" w:rsidRDefault="00FC00B2">
      <w:pPr>
        <w:pStyle w:val="1"/>
        <w:snapToGrid w:val="0"/>
        <w:spacing w:beforeLines="0" w:before="240" w:after="240"/>
        <w:rPr>
          <w:rFonts w:ascii="宋体" w:hAnsi="宋体"/>
          <w:szCs w:val="30"/>
        </w:rPr>
      </w:pPr>
      <w:bookmarkStart w:id="12" w:name="_Toc240644248"/>
      <w:r>
        <w:rPr>
          <w:rFonts w:ascii="Times New Roman" w:hAnsi="Times New Roman"/>
          <w:sz w:val="30"/>
        </w:rPr>
        <w:lastRenderedPageBreak/>
        <w:t>九、基金的转换</w:t>
      </w:r>
      <w:bookmarkEnd w:id="12"/>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2020年5月26日刊登公告自2020年5月28日起开放日常转换业务。办理基金间转换的时间为上海证券交易所、深圳证券交易所交易日。若出现新的证券交易市场或交易所交易时间更改或其它原因，基金管理人将视情况进行相应的调整并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基金转换以份额为单位进行申请，申请转换份额精确到小数点后两位，小数点</w:t>
      </w:r>
      <w:r>
        <w:rPr>
          <w:rFonts w:ascii="宋体" w:hAnsi="宋体"/>
          <w:sz w:val="24"/>
        </w:rPr>
        <w:lastRenderedPageBreak/>
        <w:t>后两位以后的部分四舍五入，误差部分归基金财产。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w:t>
      </w:r>
      <w:r>
        <w:rPr>
          <w:rFonts w:ascii="宋体" w:hAnsi="宋体"/>
          <w:sz w:val="24"/>
        </w:rPr>
        <w:lastRenderedPageBreak/>
        <w:t>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w:t>
      </w:r>
      <w:r>
        <w:rPr>
          <w:rFonts w:ascii="宋体" w:hAnsi="宋体"/>
          <w:sz w:val="24"/>
        </w:rPr>
        <w:lastRenderedPageBreak/>
        <w:t>份额转换为交银增利A类基金份额，则转入确认的交银增利A类基金份额为：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例六：某投资者持有交银先锋后端收费模式的A类基金份额100,000份，持有期一年半，转换申请当日交银先锋的A类基金份额净值为1.2500元，交银货币的基金</w:t>
      </w:r>
      <w:r>
        <w:rPr>
          <w:rFonts w:ascii="宋体" w:hAnsi="宋体"/>
          <w:sz w:val="24"/>
        </w:rPr>
        <w:lastRenderedPageBreak/>
        <w:t>份额净值为1.00元。若该投资者将100,000份交银先锋后端A类基金份额转换为交银货币，则转入交银货币的基金份额为：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13" w:name="_Toc240644249"/>
      <w:r>
        <w:rPr>
          <w:rFonts w:ascii="Times New Roman" w:hAnsi="Times New Roman"/>
          <w:sz w:val="30"/>
        </w:rPr>
        <w:lastRenderedPageBreak/>
        <w:t>十、基金的投资</w:t>
      </w:r>
      <w:bookmarkEnd w:id="13"/>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本基金在控制风险并保持基金资产良好的流动性的前提下，通过灵活的资产配置策略和积极主动的投资管理，力争为投资者提供长期稳健的投资回报。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（三）投资策略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在保持总体风险水平相对稳定的基础上，力争获取</w:t>
      </w:r>
      <w:r>
        <w:rPr>
          <w:rFonts w:ascii="宋体" w:hAnsi="宋体"/>
          <w:sz w:val="24"/>
        </w:rPr>
        <w:lastRenderedPageBreak/>
        <w:t>投资组合的较高回报。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分析和判断国内外宏观经济形势的基础上，通过“自上而下”的定性分析和定量分析相结合，形成对不同大类资产市场的预测和判断，在基金合同约定的范围内确定固定收益类资产、权益类资产和现金的配置比例，并随着市场运行状况以及各类证券风险收益特征的相对变化，动态调整大类资产的投资比例，有效控制基金资产运作风险，提高基金资产风险调整后收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利用公司股票研究团队“自下而上”的主动选股能力，从有着良好增长前景的行业中精选具有投资潜力的股票构建投资组合。具体分以下两个层次进行股票挑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（1）行业选择和配置</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采用多因素的定性与定量相结合的分析和预测方法，确定宏观及行业经济变量的变动对不同行业的潜在影响，得出各行业的相对投资价值与投资时机，据此挑选出预期具有良好增长前景的优势行业，把握行业景气轮换带来的投资机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（2）个股精选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本基金在前述行业优选的基础上，根据下述标准挑选出其中具有投资潜力的上市公司构建股票池并从中精选个股，且需满足以下要求：</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1）主业清晰并在产品、技术、营销、营运、成本控制等某一方面具有较强竞争优势，销售收入或利润超过行业平均水平；</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2）根据波特五要素分析，行业发展环境良好；</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3）具有较强或可预期的盈利增长前景；</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4）盈利质量较高，经营性现金流加投资收益应该超过净利润（特殊理由除外）；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5）较好的公司治理结构，财务报表和信息披露较为透明、规范；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6）股票估值具有吸引力，或符合一定时期内的投资主题。</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对上述重点上市公司进行内在价值的评估和成长性跟踪研究，在明确的价值评估基础上精选优秀质地的投资标的构建股票组合。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本基金投资存托凭证的策略依照境内上市交易的股票投资策略执行。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将灵活运用久期控制策略、类属配置策略、收益率曲线配置策略、杠杆放大策略以及信用债、可转债、资产支持证券投资等多种策略，获取债券市场的长期稳定收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（1）久期管理策略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做出判断，密切跟踪CPI、PPI、汇率、M2等利率敏感指标，运用数量化工具，对未来市场利率趋势进行分析与预测，并据此确定合理的债券组合目标久期。</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（2）债券的类属配置</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定性和定量地分析不同类属债券类资产的信用风险、流动性风险及其经风险调整后的收益率水平或盈利能力，通过比较或合理预期不同类属债券类资产的风险与收益率变化，确定并动态地调整不同类属债券类资产间的配置比例。在控制信用风险和流动性风险为主的基金总体风险水平的前提下，谋求更高的经风险调整后的稳定收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（3）收益率曲线配置策略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本基金将通过预期收益率曲线形态变化来调整投资组合的头寸。在考察收益率曲线的基础上，将确定采用子弹策略、哑铃策略或梯形策略等，以从收益率曲线的形变中获利。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（4）杠杆放大策略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当回购利率低于债券收益率时，本基金将通过正回购融入资金并投资于信用债券等可投资标的，从而获取收益率超出回购资金成本（即回购利率）的套利价值。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（5）信用债券投资策略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本基金通过交银施罗德的信用债券信用评级指标体系，对信用债券进行信用评级，并在信用评级的基础上，建立本基金的信用债券池。基金经理从信用债券池中</w:t>
      </w:r>
      <w:r>
        <w:rPr>
          <w:rFonts w:ascii="宋体" w:hAnsi="宋体"/>
          <w:sz w:val="24"/>
        </w:rPr>
        <w:lastRenderedPageBreak/>
        <w:t>精选债券构建信用债券投资组合。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（6）资产支持证券（含资产收益计划）投资策略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综合运用久期管理、收益率曲线、个券选择和把握市场交易机会等积极策略，在严格控制风险的情况下，通过信用研究和流动性管理，选择风险调整后的收益高的品种进行投资，以期获得长期稳定收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（7）可转换债券投资策略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于可转换债券股性的研究将完全依托于公司投研团队对标的股票的研究，在此基础上利用可转换债券定价模型，充分考虑转债发行后目标转债标的股票股价波动率可能出现的变化，对目标转债的股性进行合理定价。通过对标的转债股性与债性的合理定价，力求寻找出被市场低估的品种，构建本基金可转换债券的投资组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（8）中小企业私募债券投资策略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中小企业私募债将重点关注其信用风险和流动性风险，综合考虑信用基本面、债券收益率和流动性等要素，在信用风险可控的前提下，追求合理回报。本基金采取自下而上的方法建立适合中小企业私募债的信用评级体系，对个券进行信用分析，根据内部的信用分析方法对可选的中小企业私募债券个券进行严格筛选过滤：重点分析发行主体的公司背景、竞争地位、治理结构、盈利能力、偿债能力、现金流水平等诸多因素，对主体所发行债券进行打分和投资价值评估，分数高于内部投资级要求才能入库投资。在投资是综合考虑虑信用基本面、债券收益率和流动性，选择发行主体资质优良，估值合理且流通相对充分的品种进行适度投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4、权证投资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权证投资以权证的市场价值分析为基础，配以权证定价模型寻求其合理估值水平，以主动式的科学投资管理为手段，充分考虑权证资产的收益性、流动性及风险性特征，通过资产配置、品种与类属选择，追求基金资产稳定的当期收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w:t>
      </w:r>
      <w:r>
        <w:rPr>
          <w:rFonts w:ascii="宋体" w:hAnsi="宋体"/>
          <w:sz w:val="24"/>
        </w:rPr>
        <w:lastRenderedPageBreak/>
        <w:t>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（四）投资限制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1、组合限制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（1）股票资产（含存托凭证）占基金资产的0%-95%，股票资产按照基金所持有的股票市值以及买入、卖出股指期货合约价值合计（轧差计算)；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（2）每个交易日日终在扣除股指期货合约需缴纳的交易保证金后，保持不低于基金资产净值5％的现金或者到期日在一年以内的政府债券，其中现金不包括结算备付金、存出保证金、应收申购款等；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（12）本基金应投资于信用级别评级为BBB以上(含BBB)的资产支持证券。基金持有资产支持证券期间，如果其信用等级下降、不再符合投资标准，应在评级报告发布之日起3个月内予以全部卖出；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 年，债券回购到期后不得展期；</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期货合约价值与有价证券市值之和，不得超过基金资产净值的95%。其中，有价证券指股票、债券（不含到期日在一年以内的政府债券）、权证、资产支持证券、买入返售金融资产（不含质押式回购）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3）本基金在任何交易日日终，持有的卖出期货合约价值不得超过基金持有的股票总市值的20%；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4）本基金所持有的股票市值和买入、卖出股指期货合约价值，合计（轧差计算）应当符合基金合同关于股票投资比例的有关约定，即占基金资产的0%-95%；</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6）本基金每个交易日日终在扣除股指期货合约需缴纳的交易保证金后，应当保持不低于基金资产净值5%的现金或到期日在一年以内的政府债券，其中现金不包括结算备付金、存出保证金、应收申购款等；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（16）本基金的基金资产总值不得超过基金资产净值的140%；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（17）本基金持有单只中小企业私募债券，其市值不得超过基金资产净值的10%；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投资流通受限证券，基金管理人应事先根据中国证监会相关规定，与基金托管人在基金托管协议中明确基金投资流通受限证券的比例，根据比例进行投资。基金管理人应制订严格的投资决策流程和风险控制制度，防范流动性风</w:t>
      </w:r>
      <w:r>
        <w:rPr>
          <w:rFonts w:ascii="宋体" w:hAnsi="宋体"/>
          <w:sz w:val="24"/>
        </w:rPr>
        <w:lastRenderedPageBreak/>
        <w:t>险、法律风险和操作风险等各种风险；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15）项第6）目、（20）、（21）项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w:t>
      </w:r>
      <w:r>
        <w:rPr>
          <w:rFonts w:ascii="宋体" w:hAnsi="宋体"/>
          <w:sz w:val="24"/>
        </w:rPr>
        <w:lastRenderedPageBreak/>
        <w:t>本基金投资不再受相关限制。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（五）业绩比较基准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本基金业绩比较基准：沪深300指数收益率×75%+中债-国债总全价(1-3年)指数收益率×25%</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1、业绩比较基准设定的原因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于基金投资范围以及预期投资的主要资产类别，本基金主要投资于股票、债券等资产，相应选取与之匹配的股票指数、债券指数作为基准要素。同时基于基金投资股票资产（含存托凭证）占基金资产的比例为0%-95%等投资比例限制，以及预期的资产配置比例，本基金将股票资产与债券资产所对应的基准要素权重分别设置为75%与25%。</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于基金投资目标、投资范围和投资策略，本基金精选在公司治理、财务及管理品质上符合基本品质要求、估值具有吸引力的优质公司，从而力争在控制风险的基础上追求超越业绩比较基准的投资回报。综合考虑基准指数与产品定位和投资风格的匹配度，同时兼顾考虑基准指数的表征性、认可度，本基金选取沪深300指数作为股票部分的业绩比较基准要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由沪深市场中规模大、流动性好的最具代表性的300只证券组成，以反映沪深市场上市公司证券的整体表现。该指数样本对沪深市场的覆盖度高，具有良好的市场代表性，与市场整体表现具有较高的相关度，适合作为本基金股票部分的业绩比较基准要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于基金投资目标、投资范围和投资策略，本基金的债券资产采用全市场策略，主要通过类属配置、久期配置、个券选择等进行投资管理。综合考虑基准指数与产品定位和投资风格的匹配度，同时兼顾考虑基准指数的表征性、认可度，以及基准指数券种、久期、信用等级分布特征等，本基金选取中债-国债总全价(1-3年)指数作为债券部分的业绩比较基准要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中债-国债总全价(1-3年)指数隶属于中债-国债总指数，该指数成份券由在境内公开发行且上市流通的记账式国债组成，成份券待偿期在1-3年（含1年），适合作为本基金债券部分的业绩比较基准要素。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综上，本基金选取的业绩比较基准与基金投资目标、投资范围、投资策略、投资比例限制相匹配。</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2、业绩比较基准要素的基本信息</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沪深300指数由中证指数有限公司编制发布，指数代码为000300，指数具体信息详见中证指数有限公司网站，网址：www.csindex.com.cn。</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中债-国债总全价(1-3年)指数由中债金融估值中心有限公司编制发布，指数代码为CBA00623，指数具体信息详见中国债券信息网，网址：www.chinabond.com.cn。</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3、业绩比较基准的计算方法</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业绩比较基准收益率的计算方法以每日收益率为基础，以时间加权为计算原则。本基金先分别计算业绩比较基准中沪深300指数、中债-国债总全价(1-3年)指数的每日收益率，再按照预设权重比例计算当日组合要素基准的日收益率，并连乘每日收益率。</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4、管理投资偏离业绩比较基准的定性或定量方法</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对基金实际投资与业绩比较基准的偏离情况进行动态跟踪与监测评估，监测指标主要包括超额收益、信息比率、跟踪误差、股票配置偏离度、基准覆盖率等，以更好管理基金实际投资与业绩比较基准的偏离情况，从而力争在控制风险的基础上追求超越业绩比较基准的投资回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主动管理型基金，其业绩比较基准是表征产品风格、衡量产品业绩、约束投资行为的参考标准，并非本基金的跟踪标的，也不构成对产品收益的承诺。基金管理人在基金合同约定的投资范围、投资限制内享有充分的投资决策自主权，可根据投资策略、市场研判等综合因素，自主构建投资组合，包括酌情投资于业绩</w:t>
      </w:r>
      <w:r>
        <w:rPr>
          <w:rFonts w:ascii="宋体" w:hAnsi="宋体"/>
          <w:sz w:val="24"/>
        </w:rPr>
        <w:lastRenderedPageBreak/>
        <w:t>比较基准要素成份证券外的证券。本基金投资组合相对业绩比较基准要素成份证券和权重可能存在偏离。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5、未来可能变更业绩比较基准的情况和程序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符合下列条件之一且对基金份额持有人利益无实质性不利影响的，基金管理人应当与基金托管人协商，在新业绩比较基准生效前三十日公告并充分说明变更原因、差异及影响，无需召开基金份额持有人大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原有业绩比较基准的要素无法持续运作、编制方案发生重大修订等客观因素导致业绩比较基准无法再表征基金产品投资风格，或不再符合基金合同关于投资目标、投资范围、投资策略、投资比例限制等的约定，或与主要的资产类别、国别或地区、市场板块、货币类型等不再匹配；或业绩比较基准的要素不再具备市场代表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（2）调整业绩比较基准的要素权重、更换相同或相近特征的要素等，使新业绩比较基准代表性更强，且符合相关法律法规规定的；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（3）中国证监会认可的其他情形。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业绩比较基准变更涉及以下情形的，基金管理人应当按照规定履行变更注册、召开基金份额持有人大会等程序，法律法规、中国证监会另有规定的除外：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（1）基金投资目标、投资范围、投资策略、投资比例等拟进行重大调整，并变更业绩比较基准的；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（2）其他对基金份额持有人利益产生重大实质性影响的情形。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（六）风险收益特征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（七）基金管理人代表基金行使股东及债权人权利的处理原则及方法</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1、基金管理人按照国家有关规定代表基金独立行使股东及债权人权利，保护基金份额持有人的利益；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2、不谋求对上市公司的控股，不参与所投资上市公司的经营管理；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3、有利于基金财产的安全与增值；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（八）基金投资组合报告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基金管理人的董事会及董事保证本报告所载资料不存在虚假记载、误导性陈述或重大遗漏，并对其内容的真实性、准确性和完整性承担个别及连带责任。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基金托管人中信银行股份有限公司根据本基金合同规定，于2026年04月20日复核了本报告中的财务指标、净值表现和投资组合报告等内容，保证复核内容不存在虚假记载、误导性陈述或者重大遗漏。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本投资组合报告期为2026年01月01日至03月31日，所载财务数据未经审计师审计。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2,866,802,913.70</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92.55</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2,866,802,913.70</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92.55</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198,161,593.43</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6.40</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198,161,593.43</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6.40</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21,711,073.67</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0.70</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10,971,122.81</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3,097,646,703.61</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321,670.57</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C</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2,696,212,169.65</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89.33</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21,739.80</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170,244,479.84</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5.64</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2,853.84</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2,866,802,913.70</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94.98</w:t>
            </w:r>
          </w:p>
        </w:tc>
      </w:tr>
    </w:tbl>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527,207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300,196,937.87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9.95</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300394</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天孚通信</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860,890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259,644,424.00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8.60</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563,940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249,735,189.60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8.27</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600487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亨通光电</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3,558,187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187,374,127.42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6.21</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688072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拓荆科技</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460,206</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170,276,220.00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5.64</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002916</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深南电路</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538,310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118,164,428.10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3.91</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688167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炬光科技</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289,507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94,086,879.93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3.12</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002851</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麦格米特</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918,828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89,310,081.60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2.96</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688002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睿创微纳</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849,572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85,976,686.40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2.85</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lastRenderedPageBreak/>
              <w:t>10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688702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盛科通信</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506,968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84,602,819.84</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2.80</w:t>
            </w:r>
          </w:p>
        </w:tc>
      </w:tr>
    </w:tbl>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198,161,593.43</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6.57</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198,161,593.43</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6.57</w:t>
            </w:r>
          </w:p>
        </w:tc>
      </w:tr>
    </w:tbl>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019785</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1,813,240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183,048,316.72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6.06</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019792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国债</w:t>
            </w: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150,000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15,113,276.71</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0.50</w:t>
            </w:r>
          </w:p>
        </w:tc>
      </w:tr>
    </w:tbl>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10.1 本期国债期货投资政策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报告期内本基金投资的前十名证券的发行主体未被监管部门立案调查，在本报告编制日前一年内本基金投资的前十名证券的发行主体未受到公开谴责和处罚。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1,513,241.36</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9,457,881.45</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right"/>
              <w:rPr>
                <w:rFonts w:ascii="宋体" w:hAnsi="宋体"/>
                <w:color w:val="000000"/>
                <w:kern w:val="0"/>
                <w:sz w:val="25"/>
                <w:szCs w:val="24"/>
              </w:rPr>
            </w:pPr>
            <w:r>
              <w:rPr>
                <w:rFonts w:ascii="Times New Roman" w:hAnsi="Times New Roman"/>
                <w:color w:val="000000"/>
                <w:kern w:val="0"/>
                <w:sz w:val="25"/>
                <w:szCs w:val="24"/>
              </w:rPr>
              <w:t>10,971,122.81</w:t>
            </w:r>
          </w:p>
        </w:tc>
      </w:tr>
    </w:tbl>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14" w:name="_Toc240644250"/>
      <w:r>
        <w:rPr>
          <w:rFonts w:ascii="Times New Roman" w:hAnsi="Times New Roman"/>
          <w:sz w:val="30"/>
        </w:rPr>
        <w:lastRenderedPageBreak/>
        <w:t>十一、基金的业绩</w:t>
      </w:r>
      <w:bookmarkEnd w:id="14"/>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下述基金业绩指标不包括持有人认购或交易基金的各项费用，计入费用后实际收益水平要低于所列数字。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（1）交银优择回报灵活配置混合A：</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4.90%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2.49%</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6.66%</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2.01%</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141.27%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2.43%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133.33%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1.96%</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2.82%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-7.53%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4.61%</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-3.48%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0.25%</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-10.80%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7.32%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8.54%</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0.21%</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9.75%</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15.55%</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13.50%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2.05%</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8.53%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17.99%</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-9.46%</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4.41%</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15.43%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-0.54%</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6.07%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0.09%</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8.60%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-2.53%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-0.23%</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4</w:t>
            </w:r>
            <w:r>
              <w:rPr>
                <w:rFonts w:ascii="Times New Roman" w:hAnsi="Times New Roman"/>
                <w:color w:val="000000"/>
                <w:kern w:val="0"/>
                <w:sz w:val="25"/>
                <w:szCs w:val="24"/>
              </w:rPr>
              <w:t>月</w:t>
            </w:r>
            <w:r>
              <w:rPr>
                <w:rFonts w:ascii="Times New Roman" w:hAnsi="Times New Roman"/>
                <w:color w:val="000000"/>
                <w:kern w:val="0"/>
                <w:sz w:val="25"/>
                <w:szCs w:val="24"/>
              </w:rPr>
              <w:t>22</w:t>
            </w:r>
            <w:r>
              <w:rPr>
                <w:rFonts w:ascii="Times New Roman" w:hAnsi="Times New Roman"/>
                <w:color w:val="000000"/>
                <w:kern w:val="0"/>
                <w:sz w:val="25"/>
                <w:szCs w:val="24"/>
              </w:rPr>
              <w:t>日到</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2.20%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0.07%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1.88%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-0.36%</w:t>
            </w:r>
          </w:p>
        </w:tc>
      </w:tr>
    </w:tbl>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（2）交银优择回报灵活配置混合C：</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w:t>
            </w:r>
            <w:r>
              <w:rPr>
                <w:rFonts w:ascii="Times New Roman" w:hAnsi="Times New Roman"/>
                <w:color w:val="000000"/>
                <w:kern w:val="0"/>
                <w:sz w:val="25"/>
                <w:szCs w:val="24"/>
              </w:rPr>
              <w:t>－</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w:t>
            </w:r>
            <w:r>
              <w:rPr>
                <w:rFonts w:ascii="Times New Roman" w:hAnsi="Times New Roman"/>
                <w:color w:val="000000"/>
                <w:kern w:val="0"/>
                <w:sz w:val="25"/>
                <w:szCs w:val="24"/>
              </w:rPr>
              <w:t>－</w:t>
            </w:r>
            <w:r>
              <w:rPr>
                <w:rFonts w:ascii="Times New Roman" w:hAnsi="Times New Roman"/>
                <w:color w:val="000000"/>
                <w:kern w:val="0"/>
                <w:sz w:val="25"/>
                <w:szCs w:val="24"/>
              </w:rPr>
              <w:t>④</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4.84%</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2.49%</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-1.76%</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6.60%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2.01%</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140.77%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2.43%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7.94%</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0.47%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132.83%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1.96%</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2.67%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0.28%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10.35%</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-7.68%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-0.38%</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0.13%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-4.68%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4.39%</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-0.29%</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-3.67%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-10.80%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7.13%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-0.40%</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8.25%</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0.20%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-1.21%</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0.59%</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9.46%</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-0.39%</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2020</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15.40%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13.50%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0.70%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1.90%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-0.48%</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2019</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8.34%</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0.12%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17.99%</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0.62%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-9.65%</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2018</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6.01%</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0.16%</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-11.02%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0.66%</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17.03%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-0.50%</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2017</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5.78%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8.60%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0.32%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-2.82%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-0.24%</w:t>
            </w:r>
          </w:p>
        </w:tc>
      </w:tr>
      <w:tr w:rsidR="00F2195D">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2016</w:t>
            </w:r>
            <w:r>
              <w:rPr>
                <w:rFonts w:ascii="Times New Roman" w:hAnsi="Times New Roman"/>
                <w:color w:val="000000"/>
                <w:kern w:val="0"/>
                <w:sz w:val="25"/>
                <w:szCs w:val="24"/>
              </w:rPr>
              <w:t>年度（</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4</w:t>
            </w:r>
            <w:r>
              <w:rPr>
                <w:rFonts w:ascii="Times New Roman" w:hAnsi="Times New Roman"/>
                <w:color w:val="000000"/>
                <w:kern w:val="0"/>
                <w:sz w:val="25"/>
                <w:szCs w:val="24"/>
              </w:rPr>
              <w:t>月</w:t>
            </w:r>
            <w:r>
              <w:rPr>
                <w:rFonts w:ascii="Times New Roman" w:hAnsi="Times New Roman"/>
                <w:color w:val="000000"/>
                <w:kern w:val="0"/>
                <w:sz w:val="25"/>
                <w:szCs w:val="24"/>
              </w:rPr>
              <w:t>22</w:t>
            </w:r>
            <w:r>
              <w:rPr>
                <w:rFonts w:ascii="Times New Roman" w:hAnsi="Times New Roman"/>
                <w:color w:val="000000"/>
                <w:kern w:val="0"/>
                <w:sz w:val="25"/>
                <w:szCs w:val="24"/>
              </w:rPr>
              <w:t>日到</w:t>
            </w:r>
            <w:r>
              <w:rPr>
                <w:rFonts w:ascii="Times New Roman" w:hAnsi="Times New Roman"/>
                <w:color w:val="000000"/>
                <w:kern w:val="0"/>
                <w:sz w:val="25"/>
                <w:szCs w:val="24"/>
              </w:rPr>
              <w:t>2016</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2.10%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1.88%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0.43%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-0.35%</w:t>
            </w:r>
          </w:p>
        </w:tc>
      </w:tr>
    </w:tbl>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注：本基金的业绩比较基准为50%×沪深300指数收益率+50%×中债综合全价指数收益率，每日进行再平衡过程。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F2195D" w:rsidRDefault="00FC00B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交银施罗德优择回报灵活配置混合型证券投资基金</w:t>
      </w:r>
    </w:p>
    <w:p w:rsidR="00F2195D" w:rsidRDefault="00FC00B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F2195D" w:rsidRDefault="00FC00B2">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（2016年4月22日至2026年03月31日）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（1）交银优择回报灵活配置混合A</w:t>
      </w:r>
    </w:p>
    <w:p w:rsidR="00F2195D" w:rsidRDefault="0097056D">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（2）交银优择回报灵活配置混合C</w:t>
      </w:r>
    </w:p>
    <w:p w:rsidR="00F2195D" w:rsidRDefault="0097056D">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 id="_x0000_i1026" type="#_x0000_t75" style="width:439.5pt;height:268.5pt">
            <v:imagedata r:id="rId16" o:title="1521256610242020828"/>
          </v:shape>
        </w:pic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15" w:name="_Toc240644251"/>
      <w:r>
        <w:rPr>
          <w:rFonts w:ascii="Times New Roman" w:hAnsi="Times New Roman"/>
          <w:sz w:val="30"/>
        </w:rPr>
        <w:lastRenderedPageBreak/>
        <w:t>十二、基金的财产</w:t>
      </w:r>
      <w:bookmarkEnd w:id="15"/>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基金资产总值是指基金拥有的各类有价证券、股指期货合约、银行存款本息、基金应收申购款及其他资产的价值总和。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期货账户以及投资所需的其他专用账户。开立的基金专用账户与基金管理人、基金托管人、基金销售机构和基金登记机构自有的财产账户以及其他基金财产账户相独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16" w:name="_Toc240644252"/>
      <w:r>
        <w:rPr>
          <w:rFonts w:ascii="Times New Roman" w:hAnsi="Times New Roman"/>
          <w:sz w:val="30"/>
        </w:rPr>
        <w:lastRenderedPageBreak/>
        <w:t>十三、基金资产的估值</w:t>
      </w:r>
      <w:bookmarkEnd w:id="16"/>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（三）估值方法</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的投资品种，如估值日有市价的，采用市价确定公允价值；估值日无市价，但最近交易日后经济环境未发生重大变化且证券发行机构未发生影响证券价格的重大事件的，采用最近交易市价确定公允价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存在活跃市场的投资品种，如估值日无市价，且最近交易日后经济环境发生了重大变化或证券发行机构发生了影响证券价格的重大事件的，可参考类似投资品种的现行市价及重大变化等因素，调整最近交易市价，确定公允价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（3）当投资品种不存在活跃市场，采用市场参与者普遍认同，且被以往市场实际交易价格验证具有可靠性的估值技术，确定投资品种的公允价值。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（4）如有充足理由认为按原有方法进行估值不能客观反映上述资产或负债公允价值的，基金管理人可根据具体情况与基金托管人商定后，按最能反映公允价值的方法估值。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（5）本基金投资存托凭证的估值核算依照境内上市交易的股票执行。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（6）存在相关法律法规以及监管部门有相关规范的，从其规定。如有新增事项，按监管部门最新规定估值。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（四）估值程序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1、基金份额净值是按照每个工作日闭市后，基金资产净值除以当日基金份额的余额数量计算，精确到0.0001元，小数点后第五位四舍五入。国家另有规定的，从其规定。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基金管理人于每个工作日分别计算A类基金份额、C类基金份额的基金资产净值及基金份额净值，并按规定公告。如遇特殊情况，经中国证监会同意，可以适当延迟计算或公告。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（五）估值错误的处理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基金管理人和基金托管人将采取必要、适当、合理的措施确保基金资产估值的准确性、及时性。当基金份额净值小数点后第4位以内（含第4位) 发生估值错误时，视为基金份额净值错误。</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一方当事人提供的信息错误，另一方当事人在采取了必要合理的措施后仍不能发现该错误，进而导致基金资产净值计算错误造成投资人或基金的损失，以及由此造成以后交易日基金资产净值计算顺延错误而引起的投资人或基金的损失，由提供错误信息的当事人一方负责赔偿。</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 的直接损失按下述“估值错误处理原则”给予赔偿，承担赔偿责任。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w:t>
      </w:r>
      <w:r>
        <w:rPr>
          <w:rFonts w:ascii="宋体" w:hAnsi="宋体"/>
          <w:sz w:val="24"/>
        </w:rPr>
        <w:lastRenderedPageBreak/>
        <w:t>等，因不可抗力原因出现估值错误的当事人不对其他当事人承担赔偿责任，但因该估值错误取得不当得利的当事人仍应负有返还不当得利的义务。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4、基金份额净值估值错误处理的方法如下：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（六）暂停估值的情形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4、当前一估值日基金资产净值50%以上的资产出现无可参考的活跃市场价格且采用估值技术仍导致公允价值存在重大不确定性时，经与基金托管人协商确认后，基金管理人应当暂停估值；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5、中国证监会和基金合同认定的其它情形。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（七）基金净值的确认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用于基金信息披露的各类别基金资产净值和基金份额净值由基金管理人负责计算，基金托管人负责进行复核。基金管理人应于每个开放日交易结束后计算当日的各类别基金资产净值和基金份额净值并发送给基金托管人。基金托管人对净值计算结果复核确认后发送给基金管理人，由基金管理人依据基金合同和相关法律法规的规定对基金净值予以公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（八）特殊情形的处理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1、基金管理人或基金托管人按估值方法的第（4）项进行估值时，所造成的误差不作为基金资产估值错误处理。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等，基金管理人和基金托管人虽然已经采取必要、适当、合理的措施进行检查，但是未能发现该错误而造成的基金份额净值计算错误，基金管理人、基金托管人免除赔偿责任。但基金管理人、基金托管人应积极采</w:t>
      </w:r>
      <w:r>
        <w:rPr>
          <w:rFonts w:ascii="宋体" w:hAnsi="宋体"/>
          <w:sz w:val="24"/>
        </w:rPr>
        <w:lastRenderedPageBreak/>
        <w:t>取必要的措施减轻或消除由此造成的影响。</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17" w:name="_Toc240644253"/>
      <w:r>
        <w:rPr>
          <w:rFonts w:ascii="Times New Roman" w:hAnsi="Times New Roman"/>
          <w:sz w:val="30"/>
        </w:rPr>
        <w:lastRenderedPageBreak/>
        <w:t>十四、基金收益与分配</w:t>
      </w:r>
      <w:bookmarkEnd w:id="17"/>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1、若《基金合同》生效不满3个月可不进行收益分配；</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该类基金份额进行再投资；若投资者不选择，本基金默认的收益分配方式是现金分红；基金份额持有人可对其持有的A类、C类基金份额分别选择不同的收益分配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3、基金收益分配后任一类基金份额净值不能低于面值，即基金收益分配基准日的任一类基金份额净值减去该类每单位基金份额收益分配金额后不能低于面值；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4、由于本基金A类基金份额不收取销售服务费，C类基金份额收取销售服务费，各基金份额类别对应的可供分配利润将有所不同，本基金同一类别的每份基金份额享有同等分配权；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本基金收益分配方案由基金管理人拟定，并由基金托管人复核，依照《信息披露办法》的有关规定在指定媒介公告。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基金红利发放日距离收益分配基准日（即可供分配利润计算截止日）的时间不得超过15个工作日。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收益分配时所发生的银行转账或其他手续费用由投资者自行承担。当投资者的现金红利小于一定金额，不足以支付银行转账或其他手续费用时，登记机构可将基金份额持有人的现金红利自动转为基金份额。红利再投资的计算方法，依照《业务规则》执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18" w:name="_Toc240644254"/>
      <w:r>
        <w:rPr>
          <w:rFonts w:ascii="Times New Roman" w:hAnsi="Times New Roman"/>
          <w:sz w:val="30"/>
        </w:rPr>
        <w:lastRenderedPageBreak/>
        <w:t>十五、基金的费用与税收</w:t>
      </w:r>
      <w:bookmarkEnd w:id="18"/>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（一）基金费用的种类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4、《基金合同》生效后与基金相关的会计师费、律师费和诉讼费；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9、本基金从C类基金份额的基金财产中计提的销售服务费；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本基金的管理费按前一日基金资产净值的0.6%年费率计提。管理费的计算方法如下：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H＝E×0.6%÷当年天数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费每日计提，按月支付。由基金管理人与基金托管人核对一致后，由基金托管人于次月首日起第3个工作日从基金财产中一次性支付给基金管理人，若遇法定节假日、休息日或不可抗力致使无法按时支付的，支付日期顺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本基金的托管费按前一日基金资产净值的0.2%的年费率计提。托管费的计算方法如下：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E为前一日的基金资产净值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费每日计提，按月支付。由基金管理人与基金托管人核对一致后，由基金托管人复核后于次月首日起第3个工作日从基金财产中一次性支付给基金托管人，若遇法定节假日、休息日或不可抗力致使无法按时支付的，支付日期顺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（3）C类基金份额的销售服务费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本基金A类基金份额不收取销售服务费，C类基金份额的销售服务费按前一日C类基金资产净值的0.2%年费率计提。计算方法如下：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H=E×0.2%÷当年天数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H为C类基金份额每日应计提的销售服务费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E为C类基金份额前一日的基金资产净值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销售服务费每日计算，逐日累计至每月月末，按月支付，由基金管理人向基金托管人发送C类基金份额销售服务费划款指令，基金托管人复核后于次月前5个工作日内从基金财产中一次性支付给基金管理人，由基金管理人代付给销售机构。若遇法定节假日、休息日或不可抗力致使无法按时支付的，支付日期顺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C类基金份额的销售服务费将专门用于本基金的推广、销售与基金份额持有人服务。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（4）上述“（一）基金费用的种类”中第3－8项、第10项费用，根据有关法规及相应协议规定，按费用实际支出金额列入当期费用，由基金托管人从基金财产中支付。</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w:t>
      </w:r>
      <w:r>
        <w:rPr>
          <w:rFonts w:ascii="宋体" w:hAnsi="宋体"/>
          <w:sz w:val="24"/>
        </w:rPr>
        <w:lastRenderedPageBreak/>
        <w:t>金财产的损失；</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管理人和基金托管人可根据基金发展情况调整基金管理费率、基金托管费率和C类基金份额销售服务费率等相关费率。降低基金管理费率、基金托管费率和C类基金份额销售服务费率，无须召开基金份额持有人大会。基金管理人必须依照有关规定于新的费率实施日前在指定媒介上刊登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本基金运作过程中涉及的各纳税主体，其纳税义务按国家税收法律、法规执行。</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19" w:name="_Toc240644255"/>
      <w:r>
        <w:rPr>
          <w:rFonts w:ascii="Times New Roman" w:hAnsi="Times New Roman"/>
          <w:sz w:val="30"/>
        </w:rPr>
        <w:lastRenderedPageBreak/>
        <w:t>十六、基金的会计与审计</w:t>
      </w:r>
      <w:bookmarkEnd w:id="19"/>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1、基金管理人聘请与基金管理人、基金托管人相互独立的具有证券、期货相关业务资格的会计师事务所及其注册会计师对本基金的年度财务报表进行审计。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3、基金管理人认为有充足理由更换会计师事务所，须通报基金托管人。更换会计师事务所需依照《信息披露办法》的有关规定在指定媒介公告。</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20" w:name="_Toc240644256"/>
      <w:r>
        <w:rPr>
          <w:rFonts w:ascii="Times New Roman" w:hAnsi="Times New Roman"/>
          <w:sz w:val="30"/>
        </w:rPr>
        <w:lastRenderedPageBreak/>
        <w:t>十七、基金的信息披露</w:t>
      </w:r>
      <w:bookmarkEnd w:id="20"/>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（一）本基金的信息披露应符合《基金法》、《运作办法》、《信息披露办法》、《流动性规定》、《基金合同》及其他有关规定。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本基金信息披露义务人包括基金管理人、基金托管人、召集基金份额持有人大会的基金份额持有人等法律法规和中国证监会规定的自然人、法人和非法人组织。</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（四）本基金公开披露的信息应采用中文文本。如同时采用外文文本的，基金信息披露义务人应保证不同文本的内容一致。不同文本之间发生歧义的，以中文文本为准。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公开披露的基金信息包括：</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（1）《基金合同》是界定《基金合同》当事人的各项权利、义务关系，明确基</w:t>
      </w:r>
      <w:r>
        <w:rPr>
          <w:rFonts w:ascii="宋体" w:hAnsi="宋体"/>
          <w:sz w:val="24"/>
        </w:rPr>
        <w:lastRenderedPageBreak/>
        <w:t>金份额持有人大会召开的规则及具体程序，说明基金产品的特性等涉及基金投资者重大利益的事项的法律文件。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基金募集申请经中国证监会注册后，基金管理人在基金份额发售的3日前，将基金招募说明书、《基金合同》摘要登载在指定媒介上；基金管理人、基金托管人应当将《基金合同》、基金托管协议登载在网站上。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基金管理人应当就基金份额发售的具体事宜编制基金份额发售公告，并在披露招募说明书的当日登载于指定媒介上。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基金管理人应当在收到中国证监会确认文件的次日在指定媒介上登载《基金合同》生效公告。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《基金合同》生效后，在开始办理基金份额申购或者赎回前，基金管理人应当至少每周在指定网站披露一次A类基金份额和C类基金份额所对应的基金份额净值和基金份额累计净值。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w:t>
      </w:r>
      <w:r>
        <w:rPr>
          <w:rFonts w:ascii="宋体" w:hAnsi="宋体"/>
          <w:sz w:val="24"/>
        </w:rPr>
        <w:lastRenderedPageBreak/>
        <w:t>次日，通过指定网站、销售机构网站或者营业网点披露开放日的A类基金份额和C类基金份额所对应的基金份额净值和基金份额累计净值。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基金管理人应当在不晚于半年度和年度最后一日的次日，在指定网站披露半年度和年度最后一日的A类基金份额和C类基金份额所对应的基金份额净值和基金份额累计净值。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基金管理人应当在上半年结束之日起两个月内，编制完成基金中期报告，将中期报告登载在指定网站上，并将中期报告提示性公告登载在指定报刊上。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基金管理人应当在季度结束之日起15个工作日内，编制完成基金季度报告，将季度报告登载在指定网站上，并将季度报告提示性公告登载在指定报刊上。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本基金发生重大事件，有关信息披露义务人应当在2日内编制临时报告书，并登载在指定报刊和指定网站上。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（1）基金份额持有人大会的召开及决定的事项；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（15）管理费、托管费、销售服务费、申购费、赎回费等费用计提标准、计提方式和费率发生变更；</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（16）任一类基金份额净值计价错误达该类基金份额净值百分之零点五；</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（17）本基金开始办理申购、赎回；</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（20）本基金暂停接受申购、赎回申请或重新接受申购、赎回申请；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（22）调整基金份额类别；</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（23）基金信息披露义务人认为可能对基金份额持有人权益或者基金份额的价格产生重大影响的其他事项或中国证监会规定的其他事项。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10、清算报告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13、中国证监会规定的其他信息。</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基金信息披露义务人公开披露基金信息，应当符合中国证监会相关基金信息披露内容与格式准则等法规规定。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依法必须披露的信息发布后，基金管理人、基金托管人应当按照相关法律法规规定将信息置备于各自住所，供社会公众查阅、复制。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（八）本基金信息披露事项以法律法规规定及本章节约定的内容为准。</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21" w:name="_Toc240644257"/>
      <w:r>
        <w:rPr>
          <w:rFonts w:ascii="Times New Roman" w:hAnsi="Times New Roman"/>
          <w:sz w:val="30"/>
        </w:rPr>
        <w:lastRenderedPageBreak/>
        <w:t>十八、风险揭示</w:t>
      </w:r>
      <w:bookmarkEnd w:id="21"/>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交易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w:t>
      </w:r>
      <w:r>
        <w:rPr>
          <w:rFonts w:ascii="宋体" w:hAnsi="宋体"/>
          <w:sz w:val="24"/>
        </w:rPr>
        <w:lastRenderedPageBreak/>
        <w:t>做出投资决策后，基金运营状况与基金净值变化引致的投资风险，由投资人自行负担。</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基金份额持有人须了解并承受以下风险：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本基金属于开放式基金，在基金的所有开放日，基金管理人都有义务接受投资人的赎回。如果基金资产不能迅速转变成现金，或者变现为现金时使资金净值产生</w:t>
      </w:r>
      <w:r>
        <w:rPr>
          <w:rFonts w:ascii="宋体" w:hAnsi="宋体"/>
          <w:sz w:val="24"/>
        </w:rPr>
        <w:lastRenderedPageBreak/>
        <w:t>不利的影响，都会影响基金运作和收益水平。尤其是在发生巨额赎回时，如果基金资产变现能力差，可能会产生基金仓位调整的困难，导致流动性风险，可能影响基金份额净值。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w:t>
      </w:r>
      <w:r>
        <w:rPr>
          <w:rFonts w:ascii="宋体" w:hAnsi="宋体"/>
          <w:sz w:val="24"/>
        </w:rPr>
        <w:lastRenderedPageBreak/>
        <w:t>止。如投资人在提交赎回申请时未作明确选择，投资人未能赎回部分作自动延期赎回处理。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暂停赎回：连续2日以上（含本数）发生巨额赎回，如基金管理人认为有必要，可暂停接受基金的赎回申请；已经接受的赎回申请可以延缓支付赎回款项，但不得超过20个工作日，并应当在指定媒介上进行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暂停基金估值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基金在交易过程发生交收违约，或者基金所投资债券之发行人出现违约、拒绝支付到期本息，都可能导致基金资产损失和收益变化，从而产生风险。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（五）本基金投资策略所特有的风险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本基金投资中小企业私募债，中小企业私募债是根据相关法律法规由非上市中</w:t>
      </w:r>
      <w:r>
        <w:rPr>
          <w:rFonts w:ascii="宋体" w:hAnsi="宋体"/>
          <w:sz w:val="24"/>
        </w:rPr>
        <w:lastRenderedPageBreak/>
        <w:t>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本基金可投资创业板股票，创业板个股上市后的前五个交易日不设价格涨跌幅限制，第六个交易日开始涨跌幅限制比例为20%。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（七）基金合同提前终止风险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连续六十个工作日出现基金份额持有人数量不满200人或者基金资产净值低于5000万元情形的，基金管理人将提前终止基金合同，按照相关法律法规和基金合同的约定进入清算程序，不需召开基金份额持有人大会。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（八）投资科创板股票的特定风险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w:t>
      </w:r>
      <w:r>
        <w:rPr>
          <w:rFonts w:ascii="宋体" w:hAnsi="宋体"/>
          <w:sz w:val="24"/>
        </w:rPr>
        <w:lastRenderedPageBreak/>
        <w:t>股票。基金资产投资于科创板股票，会面临科创板机制下因投资标的、市场制度以及交易规则等差异带来的特有风险，包括但不限于市场风险、流动性风险、退市风险、系统性风险、政策风险等。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（4）系统性风险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（九）投资存托凭证的特定风险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w:t>
      </w:r>
      <w:r>
        <w:rPr>
          <w:rFonts w:ascii="宋体" w:hAnsi="宋体"/>
          <w:sz w:val="24"/>
        </w:rPr>
        <w:lastRenderedPageBreak/>
        <w:t>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（十）本基金法律文件风险收益特征表述与销售机构基金风险评价可能不一致的风险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（十一）其他风险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2、因基金业务快速发展，在制度建设、人员配备、内控制度建立等方面的不完善产生的风险；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22" w:name="_Toc240644258"/>
      <w:r>
        <w:rPr>
          <w:rFonts w:ascii="Times New Roman" w:hAnsi="Times New Roman"/>
          <w:sz w:val="30"/>
        </w:rPr>
        <w:lastRenderedPageBreak/>
        <w:t>十九、基金合同的变更、终止与基金财产的清算</w:t>
      </w:r>
      <w:bookmarkEnd w:id="22"/>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23" w:name="_Toc240644259"/>
      <w:r>
        <w:rPr>
          <w:rFonts w:ascii="Times New Roman" w:hAnsi="Times New Roman"/>
          <w:sz w:val="30"/>
        </w:rPr>
        <w:lastRenderedPageBreak/>
        <w:t>二十、基金合同内容摘要</w:t>
      </w:r>
      <w:bookmarkEnd w:id="23"/>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（1）根据《基金法》、《运作办法》及其他有关规定，基金管理人的权利包括但不限于：</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16）在符合有关法律、法规的前提下，制定和调整有关基金认购、申购、赎</w:t>
      </w:r>
      <w:r>
        <w:rPr>
          <w:rFonts w:ascii="宋体" w:hAnsi="宋体"/>
          <w:sz w:val="24"/>
        </w:rPr>
        <w:lastRenderedPageBreak/>
        <w:t>回、转换等的业务规则；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（2）根据《基金法》、《运作办法》及其他有关规定，基金管理人的义务包括但不限于：</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14）按规定受理申购与赎回申请，及时、足额支付赎回款项；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15）依据《基金法》、《基金合同》及其他有关规定召集基金份额持有人大会或配合基金托管人、基金份额持有人依法召集基金份额持有人大会；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16）按规定保存基金财产管理业务活动的会计账册、报表、记录和其他相关资料15年以上；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（1）根据《基金法》、《运作办法》及其他有关规定，基金托管人的权利包括但不限于：</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1）自《基金合同》生效之日起，依法律法规和《基金合同》的规定安全保管</w:t>
      </w:r>
      <w:r>
        <w:rPr>
          <w:rFonts w:ascii="宋体" w:hAnsi="宋体"/>
          <w:sz w:val="24"/>
        </w:rPr>
        <w:lastRenderedPageBreak/>
        <w:t>基金财产；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4）根据相关市场规则，为基金开设资金账户、证券账户等投资所需账户、协助开立股指期货业务相关账户及交易编码、为基金办理证券、期货交易资金清算；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（2）根据《基金法》、《运作办法》及其他有关规定，基金托管人的义务包括但不限于：</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6）按规定开设基金财产的资金账户和证券账户等投资所需账户，协助开立股指期货业务相关账户及交易编码，按照《基金合同》的约定，根据基金管理人的投资指令，及时办理清算、交割事宜；</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8）复核、审查基金管理人计算的基金净值信息、基金份额申购、赎回价格；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9）办理与基金托管业务活动有关的信息披露事项；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11）保存基金托管业务活动的记录、账册、报表和其他相关资料15年以上；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同一类别每份基金份额具有同等的合法权益。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（1）根据《基金法》、《运作办法》及其他有关规定，基金份额持有人的权利</w:t>
      </w:r>
      <w:r>
        <w:rPr>
          <w:rFonts w:ascii="宋体" w:hAnsi="宋体"/>
          <w:sz w:val="24"/>
        </w:rPr>
        <w:lastRenderedPageBreak/>
        <w:t>包括但不限于：</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3）依法并按照基金合同和招募说明书的规定申请赎回或转让其持有的基金份额；</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（2）根据《基金法》、《运作办法》及其他有关规定，基金份额持有人的义务包括但不限于：</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4）缴纳基金认购、申购款项及法律法规和《基金合同》所规定的费用；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10）提供基金管理人和监管机构依法要求提供的信息，以及不时的更新和补充，并保证其真实性；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（二）基金份额持有人大会召集、议事及表决的程序和规则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5）提高基金管理人、基金托管人的报酬标准和提高销售服务费；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（2）以下情况可由基金管理人和基金托管人协商后修改，不需召开基金份额持有人大会：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1）调低基金管理费、基金托管费、销售服务费和其他应由本基金或基金份额持有人承担的费用；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2）法律法规要求增加的基金费用的收取；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3）在法律法规和《基金合同》规定的范围内且在对现有基金份额持有人利益</w:t>
      </w:r>
      <w:r>
        <w:rPr>
          <w:rFonts w:ascii="宋体" w:hAnsi="宋体"/>
          <w:sz w:val="24"/>
        </w:rPr>
        <w:lastRenderedPageBreak/>
        <w:t>无实质性不利影响的前提下调整本基金的申购费率、调低赎回费率、变更或增加收费方式、调整基金份额类别；</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4）因相应的法律法规、登记机构的相关业务规则发生变动而应当对《基金合同》进行修改；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5）对《基金合同》的修改对基金份额持有人利益无实质性不利影响或修改不涉及《基金合同》当事人权利义务关系发生重大变化；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6）在法律法规允许及对基金份额持有人利益无实质性不利影响的前提下，基金推出新业务或服务；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8）按照法律法规和《基金合同》规定不需召开基金份额持有人大会的以外的其他情形。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的存续期内，若基金份额持有人数量连续60个工作日达不到200人或基金资产净值连续60个工作日低于5000万元，本基金管理人将提前终止本基金合同，按照相关法律法规和基金合同的约定进入清算程序，不需召开基金份额持有人大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w:t>
      </w:r>
      <w:r>
        <w:rPr>
          <w:rFonts w:ascii="宋体" w:hAnsi="宋体"/>
          <w:sz w:val="24"/>
        </w:rPr>
        <w:lastRenderedPageBreak/>
        <w:t>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（1）召开基金份额持有人大会，召集人应于会议召开前30日，在指定媒介公告。基金份额持有人大会通知应至少载明以下内容：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书面表决意见寄交的截止时间和收取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w:t>
      </w:r>
      <w:r>
        <w:rPr>
          <w:rFonts w:ascii="宋体" w:hAnsi="宋体"/>
          <w:sz w:val="24"/>
        </w:rPr>
        <w:lastRenderedPageBreak/>
        <w:t>通知基金管理人和基金托管人到指定地点对表决意见的计票进行监督。基金管理人或基金托管人拒不派代表对表决意见的计票进行监督的，不影响表决意见的计票效力。</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基金份额持有人大会可通过现场开会方式、通讯开会方式或法律法规和监管机关允许的其他方式召开，会议的召开方式由会议召集人确定。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（2）通讯开会。通讯开会系指基金份额持有人将其对表决事项的投票以书面形式在表决截至日以前送达至召集人指定的地址。通讯开会应以书面方式进行表决。</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书面表决意见的计票进行监督。会议召集人在基金托管人（如果基金托管人为召集人，则为基金管理人）和公证机关的监督下按照会议通知规定的方式收取基金份额持有人的书面表决意见；基金托管人或基金管理人经通</w:t>
      </w:r>
      <w:r>
        <w:rPr>
          <w:rFonts w:ascii="宋体" w:hAnsi="宋体"/>
          <w:sz w:val="24"/>
        </w:rPr>
        <w:lastRenderedPageBreak/>
        <w:t>知不参加收取书面表决意见的，不影响表决效力；</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书面意见或授权他人代表出具书面意见的，基金份额持有人所持有的基金份额不小于在权益登记日基金总份额的二分之一（含二分之一）；若本人直接出具书面意见或授权他人代表出具书面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书面意见或授权他人代表出具书面意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书面意见的基金份额持有人或受托代表他人出具书面意见的代理人，同时提交的持有基金份额的凭证、受托出具书面意见的代理人出具的委托人持有基金份额的凭证及委托人的代理投票授权委托证明符合法律法规、《基金合同》和会议通知的规定，并与基金登记机构记录相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w:t>
      </w:r>
      <w:r>
        <w:rPr>
          <w:rFonts w:ascii="宋体" w:hAnsi="宋体"/>
          <w:sz w:val="24"/>
        </w:rPr>
        <w:lastRenderedPageBreak/>
        <w:t>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作为该次基金份额持有人大会的主持人。基金管理人和基金托管人拒不出席或主持基金份额持有人大会，不影响基金份额持有人大会作出的决议的效力。</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w:t>
      </w:r>
      <w:r>
        <w:rPr>
          <w:rFonts w:ascii="宋体" w:hAnsi="宋体"/>
          <w:sz w:val="24"/>
        </w:rPr>
        <w:lastRenderedPageBreak/>
        <w:t>议、逐项表决。</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基金份额持有人大会的决定的事项自表决通过之日起生效，召集人应当自通过之日起5日内报中国证监会备案。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基金份额持有人大会决议自生效之日起2日内在指定媒介上公告。如果采用通讯方式进行表决，在公告基金份额持有人大会决议时，必须将公证书全文、公证机构、公证员姓名等一同公告。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w:t>
      </w:r>
      <w:r>
        <w:rPr>
          <w:rFonts w:ascii="宋体" w:hAnsi="宋体"/>
          <w:sz w:val="24"/>
        </w:rPr>
        <w:lastRenderedPageBreak/>
        <w:t>基金托管人均有约束力。</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部分对基金份额持有人大会召开事由、召开条件、议事程序、表决条件等规定，凡是直接引用法律法规的部分，如将来法律法规修改导致相关内容被取消或变更的，基金管理人提前公告后，可直接对本部分内容进行修改和调整，无需召开基金份额持有人大会审议。</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（三）基金合同解除和终止的事由、程序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（2）关于《基金合同》变更的基金份额持有人大会决议生效后方可执行，并自决议生效后依照《信息披露办法》的规定在指定媒介公告。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有下列情形之一的，《基金合同》应当终止：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（3）连续60个工作日出现基金份额持有人数量不满200人或者基金资产净值低于5000万元情形的；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w:t>
      </w:r>
      <w:r>
        <w:rPr>
          <w:rFonts w:ascii="宋体" w:hAnsi="宋体"/>
          <w:sz w:val="24"/>
        </w:rPr>
        <w:lastRenderedPageBreak/>
        <w:t>理、估价、变现和分配。基金财产清算小组可以依法进行必要的民事活动。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1）《基金合同》终止情形出现时，由基金财产清算小组统一接管基金财产；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（5）基金财产清算的期限为6个月，若遇基金持有的有价证券出现长期休市、停牌或其他流通受限的情形除外。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各类基金份额在基金合同终止事由发生时各自基金份额资产净值的比例确定剩余财产在各类基金份额中的分配比例，并在各类基金份额可分配的剩余财产范围内按各份额类别内基金份额持有人持有的基金份额比例进行分配。</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基金财产清算账册及有关文件由基金托管人保存15年以上。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w:t>
      </w:r>
      <w:r>
        <w:rPr>
          <w:rFonts w:ascii="宋体" w:hAnsi="宋体"/>
          <w:sz w:val="24"/>
        </w:rPr>
        <w:lastRenderedPageBreak/>
        <w:t>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《基金合同》受中国法律管辖。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（五）基金合同存放地及投资者取得基金合同的方式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24" w:name="_Toc240644260"/>
      <w:r>
        <w:rPr>
          <w:rFonts w:ascii="Times New Roman" w:hAnsi="Times New Roman"/>
          <w:sz w:val="30"/>
        </w:rPr>
        <w:lastRenderedPageBreak/>
        <w:t>二十一、托管协议的内容摘要</w:t>
      </w:r>
      <w:bookmarkEnd w:id="24"/>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批准设立机关：中国证监会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批准设立文号：证监基金字[2005]128号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名称：中信银行股份有限公司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法定代表人：李庆萍</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成立时间：1987年4月20日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批准设立文号：国办函[1987]14号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基金托管业务批准文号：证监基金字[2004]125号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注册资本：489.35亿元人民币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和长期贷款；办理国内外结算；办理票据承兑与贴现；发行金融债券；代理发行、代理兑付、承销政府债券；买卖政府债券、金融债券；从事同业拆借；买卖、代理买卖外汇；从事银行卡业务；提供信用证服务及担保；代理收付款项；提供保管箱服务；结汇、售汇业务；代理开放式基金业务；办理黄金业务；黄金进出口；开展证券投资基金、企业年金基金、保险资金、合格境外机构投资者托管业务；经国务院银行业监督管理机构批准的其他</w:t>
      </w:r>
      <w:r>
        <w:rPr>
          <w:rFonts w:ascii="宋体" w:hAnsi="宋体"/>
          <w:sz w:val="24"/>
        </w:rPr>
        <w:lastRenderedPageBreak/>
        <w:t>业务；保险兼业代理业务（有效期至2017年09月08日）。（依法须经批准的项目，经相关部门批准后依批准的内容开展经营活动。）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1、基金托管人对基金管理人的投资行为行使监督权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（1）基金托管人根据有关法律法规的规定和基金合同的约定，对下述基金投资范围、投资对象进行监督。本基金将投资于以下金融工具：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本基金各类资产的投资比例范围为：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资产（含存托凭证）占基金资产的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（2）基金托管人根据有关法律法规的规定及基金合同的约定对下述基金投融资比例进行监督：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1）股票资产（含存托凭证）占基金资产的0%-95%，股票资产按照基金所持有的股票市值以及买入、卖出股指期货合约价值合计（轧差计算)；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2）每个交易日日终在扣除股指期货合约需缴纳的交易保证金后，保持不低于基金资产净值5％的现金或者到期日在一年以内的政府债券，其中现金不包括结算备付金、存出保证金、应收申购款等；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3）本基金持有一家公司发行的证券，其市值不超过基金资产净值的10%；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4）本基金管理人管理的全部基金持有一家公司发行的证券，不超过该证券的10%；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5）本基金持有的全部权证，其市值不得超过基金资产净值的3%；</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6）本基金管理人管理的全部基金持有的同一权证，不得超过该权证的10%；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7）本基金在任何交易日买入权证的总金额，不得超过上一交易日基金资产净值的0.5%；</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8）本基金投资于同一原始权益人的各类资产支持证券的比例，不得超过基金资产净值的10%；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9）本基金持有的全部资产支持证券，其市值不得超过基金资产净值的20%；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10）本基金持有的同一(指同一信用级别)资产支持证券的比例，不得超过该资产支持证券规模的10%；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11）本基金管理人管理的全部基金投资于同一原始权益人的各类资产支持证券，不得超过其各类资产支持证券合计规模的10%；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12）本基金应投资于信用级别评级为BBB以上(含BBB)的资产支持证券。基金持有资产支持证券期间，如果其信用等级下降、不再符合投资标准，应在评级报告发布之日起3个月内予以全部卖出；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13）基金财产参与股票发行申购，本基金所申报的金额不超过本基金的总资产，本基金所申报的股票数量不超过拟发行股票公司本次发行股票的总量；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14）本基金进入全国银行间同业市场进行债券回购的资金余额不得超过基金资产净值的40%，本基金在全国银行间同业市场中的债券回购最长期限为1 年，债券回购到期后不得展期；</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15）本基金若投资股指期货，则：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a）本基金在任何交易日日终，持有的买入股指期货合约价值，不得超过基金资产净值的10%；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b）本基金在任何交易日日终，持有的买入期货合约价值与有价证券市值之和，不得超过基金资产净值的95%。其中，有价证券指股票、债券（不含到期日在</w:t>
      </w:r>
      <w:r>
        <w:rPr>
          <w:rFonts w:ascii="宋体" w:hAnsi="宋体"/>
          <w:sz w:val="24"/>
        </w:rPr>
        <w:lastRenderedPageBreak/>
        <w:t>一年以内的政府债券）、权证、资产支持证券、买入返售金融资产（不含质押式回购）等；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c）本基金在任何交易日日终，持有的卖出期货合约价值不得超过基金持有的股票总市值的20%；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d）本基金所持有的股票市值和买入、卖出股指期货合约价值，合计（轧差计算）应当符合基金合同关于股票投资比例的有关约定，即占基金资产的0%-95%；</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e）本基金在任何交易日内交易（不包括平仓）的股指期货合约的成交金额不得超过上一交易日基金资产净值的20%；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f）本基金每个交易日日终在扣除股指期货合约需缴纳的交易保证金后，应当保持不低于基金资产净值5%的现金或到期日在一年以内的政府债券，其中现金不包括结算备付金、存出保证金、应收申购款等；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16）本基金的基金资产总值不得超过基金资产净值的140%；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17）本基金持有单只中小企业私募债券，其市值不得超过基金资产净值的10%；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18）本基金持有的同一流通受限证券，其公允价值不得超过基金资产净值的10%；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管理人管理的全部开放式基金（包括开放式基金以及处于开放期的定期开放基金）持有一家上市公司发行的可流通股票，不得超过该上市公司可流通股票的15%；本基金管理人管理的全部投资组合持有一家上市公司发行的可流通股票，不得超过该上市公司可流通股票的30%；</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21）本基金与私募类证券资管产品及中国证监会认定的其他主体为交易对手开展逆回购交易的，可接受质押品的资质要求应当与基金合同约定的投资范围保持一致；</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22）本基金投资存托凭证的比例限制依照境内上市交易的股票执行；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23）法律法规及中国证监会规定的和《基金合同》约定的其他投资限制。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w:t>
      </w:r>
      <w:r>
        <w:rPr>
          <w:rFonts w:ascii="宋体" w:hAnsi="宋体"/>
          <w:sz w:val="24"/>
        </w:rPr>
        <w:lastRenderedPageBreak/>
        <w:t>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12）、（15）项第6）目、（20）、（21）项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（3）基金托管人根据有关法律法规的规定及基金合同的约定对下述基金投资禁止行为进行监督：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根据法律法规的规定及基金合同的约定，本基金禁止从事下列行为：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2）违反规定向他人贷款或提供担保；</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如法律、行政法规或监管部门取消上述禁止性规定，如适用于本基金，基金管理人在履行适当程序后，本基金可不受上述规定的限制。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（4）基金托管人依据有关法律法规的规定和基金合同的约定对于基金关联投资进行监督：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法律法规有关基金从事的关联交易的规定，基金管理人和基金托管人应事先相互提供与本机构有控股关系的股东或与本机构有其他重大利害关系的公司名单及有关关联方发行的证券名单及其更新，加盖公章并书面提交，并确保所提供名单的真实性、完整性、全面性。基金管理人或基金托管人在名单变更后应及时发送对方，收到方于2个工作日内进行回函确认已知名单的变更。名单变更时间以收到方回函确认的时间为准。如果基金托管人在运作中严格遵循了监督流程，基金管理人仍违规进行交易，并造成基金资产损失的，由基金管理人承担责任，基金托管人不承担任何损失和责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相关交易必须事先得到基金托管人的同意，若基金托管人发现基金管理人与关联方进行违反法律法规规定的关联交易时，基金托管人应及时提醒并协助基金管理人采取必要措施阻止该交易的发生，若基金托管人采取必要措施后仍无法阻止该交易发生时，基金托管人有权向中国证监会报告，由此造成的损失和责任由基金管理人承担。对于交易所场内已成交的违规交易，基金托管人应按相关法律法规和交易所规则的规定进行结算，同时向中国证监会报告，基金托管人不承担由此造成的损失和责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（5）基金托管人依据有关法律法规的规定和基金合同的约定对基金管理人参与银行间债券市场进行监督：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1）基金托管人依据有关法律法规的规定和基金合同的约定对于基金管理人参与银行间债券市场交易时面临的交易对手资信风险进行监督。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在基金投资运作之前向基金托管人提供符合法律法规及行业标准的银行间债券市场交易对手的名单。基金托管人在收到名单后2个工作日内回函确认收到该名单。基金管理人应定期或不定期对银行间债券市场现券及回购交易对手的名单进行更新，名单中增加或减少银行间债券市场交易对手时须及时通知基金托管人，基金托管人于2个工作日内回函确认收到后，对名单进行更新。基金管理人收到基金托管人书面确认后，被确认调整的名单开始生效，新名单生效前已与本次剔除的交易对手所进行但尚未结算的交易，仍应按照双方原定协议进行结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如果基金托管人发现基金管理人与不在名单内的银行间债券市场交易对手进行交易，应及时提醒基金管理人撤销交易，经提醒后基金管理人仍执行交易并造成基金资产损失的，基金托管人不承担责任。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2）基金管理人有责任控制交易对手的资信风险，按银行间债券市场的交易规</w:t>
      </w:r>
      <w:r>
        <w:rPr>
          <w:rFonts w:ascii="宋体" w:hAnsi="宋体"/>
          <w:sz w:val="24"/>
        </w:rPr>
        <w:lastRenderedPageBreak/>
        <w:t>则进行交易，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（6）基金托管人对基金投资流通受限证券的监督：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流通受限证券，应遵守有关法律法规规定。流通受限证券指由《上市公司证券发行管理办法》规范的非公开发行股票、公开发行股票网下配售部分等在发行时明确一定期限锁定期的可交易证券,不包括由于发布重大消息或其他原因而临时停牌的证券、已发行未上市证券、回购交易中的质押券等流通受限证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在基金首次投资流通受限证券前，向基金托管人提供经基金管理人董事会批准的有关基金投资流通受限证券的投资决策流程、风险控制制度。上述资料应包括但不限于基金投资流通受限证券的投资额度和投资比例控制情况。</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至少于首次执行投资指令之前2个工作日将上述资料书面发至基金托管人，保证基金托管人有足够的时间进行审核。基金托管人应在收到上述资料后2个工作日内，以书面或其他双方认可的方式确认收到上述资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3）基金投资流通受限证券前，基金管理人应向基金托管人提供符合法律法规要求的有关必要书面信息。基金管理人应保证上述信息的真实、完整，并应至少于拟执行投资指令前将上述信息书面发至基金托管人。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对基金管理人是否遵守法律法规、投资决策流程、风险控制制度情况进行监督，并审核基金管理人提供的有关书面信息。基金托管人认为上述资料可能导致基金出现风险的，有权要求基金管理人在投资流通受限证券前就该风险的消除或防范措施进行补充书面说明，否则，基金托管人有权拒绝执行有关指令并报告中国证监会。因拒绝执行该指令造成基金财产损失的，基金托管人不承担任何责任，但基金托管人未经提前告知基金管理人于合理时间内提供说明的除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和基金托管人无法达成一致，应及时上报中国证监会请求解决。如果基金托管人切实履行监督职责，则不承担任何责任。如果基金托管人没有切实履行监督职责，导致基金出现风险，基金托管人应承担连带责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（7）基金托管人对基金投资中期票据和中小企业私募债的监督：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1）基金管理人管理的基金在投资中期票据和中小企业私募债前，基金管理人须根据法律、法规、监管部门的规定，制定严格的关于投资中期票据和中小企业私</w:t>
      </w:r>
      <w:r>
        <w:rPr>
          <w:rFonts w:ascii="宋体" w:hAnsi="宋体"/>
          <w:sz w:val="24"/>
        </w:rPr>
        <w:lastRenderedPageBreak/>
        <w:t>募债的风险控制制度和流动性风险处置预案，并书面提供给基金托管人，基金托管人依据上述文件对基金管理人投资中期票据和中小企业私募债的额度和比例进行监督。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2）如未来有关监管部门发布的法律法规对证券投资基金投资中期票据和中小企业私募债另有规定的，从其约定。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有权监督基金管理人在相关基金投资中期票据和中小企业私募债时的法律法规遵守情况，有关制度、信用风险、流动性风险处置预案的完善情况，有关额度、比例限制的执行情况。基金托管人发现基金管理人的上述事项违反法律法规和基金合同以及本协议的规定，应及时以书面形式通知基金管理人纠正。基金管理人应积极配合和协助基金托管人的监督和核查。基金管理人应按相关托管协议要求向基金托管人及时发出回函，并及时改正。基金托管人有权随时对所通知事项进行复查,督促基金管理人改正。如果基金管理人违规事项未能在限期内纠正的，基金托管人应报告中国证监会。如果基金托管人未能切实履行监督职责，导致基金出现风险，基金托管人应承担连带责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（8）基金托管人根据有关法律法规的规定及基金合同的约定，对基金管理人选择存款银行进行监督：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本基金投资银行存款应符合如下规定：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1）基金管理人、基金托管人应当与存款银行建立定期对账机制，确保基金银行存款业务账目及核算的真实、准确。</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以确保基金财产的安全，保护基金份额持有人的合法权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3）基金托管人应加强对基金银行存款业务的监督与核查，严格审查、复核相关协议、账户资料、投资指令、存款证实书等有关文件，切实履行托管职责。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4）基金管理人与基金托管人在开展基金存款业务时，应严格遵守《基金法》、</w:t>
      </w:r>
      <w:r>
        <w:rPr>
          <w:rFonts w:ascii="宋体" w:hAnsi="宋体"/>
          <w:sz w:val="24"/>
        </w:rPr>
        <w:lastRenderedPageBreak/>
        <w:t>《运作办法》等有关法律法规，以及国家有关账户管理、利率管理、支付结算等的各项规定。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对基金管理人选择存款银行的监督应依据基金管理人向基金托管人提供的符合条件的存款银行的名单执行，如基金托管人发现基金管理人将基金资产投资于该名单之外的存款银行，有权拒绝执行。该名单如有变更，基金管理人应在启用新名单前提前及时将新名单发送给基金托管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2、基金托管人对基金管理人业务进行监督和核查的有关措施：</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根据有关法律法规的规定及基金合同的约定，对A类基金份额、C类基金份额的基金资产净值计算、A类基金份额、C类基金份额的基金份额净值计算、应收资金到账、基金费用开支及收入确定、基金收益分配、相关信息披露、基金宣传推介材料中登载基金业绩表现数据等进行监督和核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发现基金管理人的投资运作及其他运作违反《基金法》、基金合同、本托管协议及其他有关规定时，应及时以书面形式通知基金管理人限期纠正，基金管理人收到通知后应在下一个工作日及时核对，并以书面形式向基金托管人发出回函，进行解释或举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（3）在限期内，基金托管人有权随时对通知事项进行复查，督促基金管理人改正。基金管理人对基金托管人通知的违规事项未能在限期内纠正的，基金托管人应报告中国证监会。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（4）基金托管人发现基金管理人的投资指令违反关法律法规规定或者违反基金合同约定的，应当拒绝执行，立即通知基金管理人。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发现基金管理人依据交易程序已经生效的投资指令违反法律、行政法规和其他有关规定，或者违反基金合同约定的，应当立即通知基金管理人，并及时向中国证监会报告，基金管理人应依法承担相应责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应积极配合和协助基金托管人的监督和核查，必须在规定时间内答复基金托管人并改正，就基金托管人的疑义进行解释或举证，对基金托管人按照法规要求需向中国证监会报送基金监督报告的，基金管理人应积极配合提供相关数据资料和制度等。</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（7）基金托管人发现基金管理人有重大违规行为，应立即报告中国证监会，同时通知基金管理人限期纠正。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（8）基金管理人无正当理由，拒绝、阻挠基金托管人根据本协议规定行使监</w:t>
      </w:r>
      <w:r>
        <w:rPr>
          <w:rFonts w:ascii="宋体" w:hAnsi="宋体"/>
          <w:sz w:val="24"/>
        </w:rPr>
        <w:lastRenderedPageBreak/>
        <w:t>督权，或采取拖延、欺诈等手段妨碍基金托管人进行有效监督，情节严重或经基金托管人提出警告仍不改正的，基金托管人应报告中国证监会。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但不限于基金托管人安全保管基金财产、开设基金财产的资金账户、证券账户和期货账户等投资所需账户、复核基金管理人计算的A类基金份额、C类基金份额的基金资产净值和基金份额净值、根据基金管理人指令办理清算交收、相关信息披露和监督基金投资运作等行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托管协议及其他有关规定时，基金管理人应及时以书面形式通知基金托管人限期纠正，基金托管人收到通知后应及时核对确认并以书面形式向基金管理人发出回函。在限期内，基金管理人有权随时对通知事项进行复查，督促基金托管人改正，并予协助配合。基金托管人对基金管理人通知的违规事项未能在限期内纠正或未在合理期限内确认的，基金管理人应报告中国证监会。基金管理人有义务要求基金托管人赔偿基金、基金管理人因此所遭受的损失。</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3、基金管理人发现基金托管人有重大违规行为，应立即报告中国证监会和银行业监督管理机构，同时通知基金托管人限期纠正。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4、基金托管人应积极配合基金管理人的核查行为，包括但不限于：提交相关资料以供基金管理人核查托管财产的完整性和真实性，在规定时间内答复基金管理人并改正。</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无正当理由，拒绝、阻挠基金管理人根据本协议规定行使监督权，或采取拖延、欺诈等手段妨碍基金管理人进行有效监督，情节严重或经基金管理人提出警告仍不改正的，基金管理人应报告中国证监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（四）基金财产保管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（2）基金托管人应安全保管基金财产。除依据法律法规规定、基金合同和本托管协议约定及基金管理人的正当指令外，不得自行运用、处分、分配基金的任何财产。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（3）基金托管人按照规定开设基金财产的资金账户和证券账户，协助开立股指期货业务相关账户及交易编码。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（4）基金托管人对所托管的不同基金财产分别设置账户，与基金托管人的其他业务和其他基金的托管业务实行严格的分账管理，确保基金财产的完整与独立。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（5）基金托管人根据基金管理人的指令，按照基金合同和本协议的约定保管基金财产，如有特殊情况双方可另行协商解决。</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（6）除依据法律法规和基金合同的规定外，基金托管人不得委托第三人托管基金资产。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2、募集资金的验资</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（1）基金募集期间募集认购款项应存于基金认购专用账户，该账户由基金管理人或基金管理人委托的登记机构开立并管理。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满或基金提前结束募集时，募集的基金份额总额、基金募集金额、基金份额持有人人数符合《基金法》、《运作办法》等有关规定后，基金管理人应将募集的属于本基金财产的全部资金划入基金托管人为本基金开立的资产托管专户中，基金托管人在收到资金当日出具确认文件。同时，基金管理人应聘请具有从事证券业务资格的会计师事务所进行验资，出具验资报告，出具的验资报告应由参加验资的2名以上（含2名）中国注册会计师签字有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（3）若基金募集期限届满，未能达到基金备案条件，由基金管理人按规定办理退款事宜，基金托管人应提供充分协助。</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3、基金的银行账户的开立和管理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（1）基金托管人以本基金的名义在其营业机构开立基金的银行账户，并根据基金管理人合法合规的指令办理资金收付。本基金的银行预留印鉴由基金托管人刻制、保管和使用。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（2）基金银行账户的开立和使用，限于满足开展本基金业务的需要。基金托管人和基金管理人不得假借本基金的名义开立任何其他银行账户；亦不得使用本基金的任何账户进行本基金业务以外的活动。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（3）基金银行账户的开立和管理应符合有关法律法规以及银行业监督管理机构的有关规定。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4、基金证券账户和证券交易资金账户的开设和管理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（1）基金托管人以基金托管人和本基金联名的方式在中国证券登记结算有限</w:t>
      </w:r>
      <w:r>
        <w:rPr>
          <w:rFonts w:ascii="宋体" w:hAnsi="宋体"/>
          <w:sz w:val="24"/>
        </w:rPr>
        <w:lastRenderedPageBreak/>
        <w:t>责任公司上海分公司/深圳分公司开设证券账户。</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（2）基金托管人以基金托管人的名义在中国证券登记结算有限责任公司上海分公司/深圳分公司开立基金证券交易资金账户，用于证券清算。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（3）基金证券账户的开立和使用，限于满足开展本基金业务的需要。基金托管人和基金管理人不得出借和未经对方同意擅自转让基金的任何证券账户；亦不得使用基金的任何账户进行本基金业务以外的活动。</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5、债券托管账户的开立和管理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基金管理人负责以本基金的名义申请并取得进入全国银行间同业拆借市场的交易资格，并代表基金进行交易；基金托管人负责以本基金的名义在中央国债登记结算有限责任公司开设银行间债券市场债券托管账户，并由基金托管人负责本基金的债券的后台匹配及资金的清算。</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（2）基金管理人和基金托管人应一起负责为本基金对外签订全国银行间国债市场回购主协议，正本由基金托管人保管，基金管理人保存副本。</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6、其他账户的开设和管理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托管协议生效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7、基金财产投资的有关实物证券、银行定期存款存单等有价凭证的保管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由基金托管人存放于基金托管人的保管库；其中实物证券也可存入中央国债登记结算有限责任公司、银行间市场清算所股份有限公司或中国证券登记结算有限责任公司上海分公司/深圳分公司或票据营业中心的代保管库。实物证券的购买和转让，由基金托管人根据基金管理人的指令办理。属于基金托管人控制下的实物证券在基金托管人保管期间的损坏、灭失，由此产生的责任应由基金托管人承担。基金托管人对基金托管人以外机构实际有效控制的证券不承担保管责任，但应勤勉履行定期查询等合理注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本基金有关的重大合同的原件分别应由基金托管人、基金管理人保管。基金管理人在代表本基金签署与本基金有关的重大合同时应保证基金一方持有两份</w:t>
      </w:r>
      <w:r>
        <w:rPr>
          <w:rFonts w:ascii="宋体" w:hAnsi="宋体"/>
          <w:sz w:val="24"/>
        </w:rPr>
        <w:lastRenderedPageBreak/>
        <w:t>以上的正本原件，以便基金管理人和基金托管人至少各持有一份正本的原件。基金管理人在合同签署后30个工作日内通过专人送达、挂号邮寄等安全方式将合同送达基金托管人处。合同应存放于基金管理人和基金托管人各自文件保管部门15年以上。对于无法取得二份以上的正本的，基金管理人应向基金托管人提供加盖授权业务章的合同传真件，未经双方协商或未在合同约定范围内，合同原件不得转移，由基金管理人保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1、基金资产净值的计算、复核的时间和程序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价值。基金份额净值是按照每个工作日闭市后，基金资产净值除以当日基金份额的余额数量计算，精确到0.0001元，小数点后第五位四舍五入。国家另有规定的，从其规定。</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工作日对基金资产估值，但基金管理人根据法律法规或基金合同的规定暂停估值时除外。估值原则应符合基金合同及相关法律、法规的规定。用于基金信息披露的A类基金份额、C类基金份额的基金资产净值和基金份额净值由基金管理人负责计算，基金托管人复核。基金管理人应于每个工作日交易结束后计算当日的各类基金份额净值并以双方认可的方式发送给基金托管人。基金托管人对净值计算结果复核后以双方认可的方式发送给基金管理人，由基金管理人依据基金合同和相关法律法规的规定予以公布。月末、年中和年末估值复核与基金会计账目的核对同时进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基金法》，基金管理人每工作日分别计算并公告A类基金份额及C类基金份额的基金资产净值，基金托管人复核、审查基金管理人计算的基金资产净值。因此，本基金的会计责任方是基金管理人，就与本基金有关的会计问题，如经相关各方在平等基础上充分讨论后，仍无法达成一致的意见，按照基金管理人对基金资产净值的计算结果对外予以公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2、基金资产估值方法</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（1）估值对象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基金所拥有的股票、债券、衍生工具和其它投资等持续以公允价值计量的金融资产及负债。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（2）估值方法</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1）对存在活跃市场的投资品种，如估值日有市价的，采用市价确定公允价</w:t>
      </w:r>
      <w:r>
        <w:rPr>
          <w:rFonts w:ascii="宋体" w:hAnsi="宋体"/>
          <w:sz w:val="24"/>
        </w:rPr>
        <w:lastRenderedPageBreak/>
        <w:t>值；估值日无市价，但最近交易日后经济环境未发生重大变化且证券发行机构未发生影响证券价格的重大事件的，采用最近交易市价确定公允价值。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存在活跃市场的投资品种，如估值日无市价，且最近交易日后经济环境发生了重大变化或证券发行机构发生了影响证券价格的重大事件的，可参考类似投资品种的现行市价及重大变化等因素，调整最近交易市价，确定公允价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3）当投资品种不存在活跃市场，采用市场参与者普遍认同，且被以往市场实际交易价格验证具有可靠性的估值技术，确定投资品种的公允价值。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4）如有充足理由认为按原有方法进行估值不能客观反映上述资产或负债公允价值的，基金管理人可根据具体情况与基金托管人商定后，按最能反映公允价值的方法估值。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5）本基金投资存托凭证的估值核算依照境内上市交易的股票执行。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6）存在相关法律法规以及监管部门有相关规范的，从其规定。如有新增事项，按监管部门最新规定估值。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资产净值的计算结果对外予以公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（1）因基金估值错误给投资人造成损失的应先由基金管理人承担，基金管理人对不应由其承担的责任，有权向过错人追偿。</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当基金管理人计算的A类基金份额及C类基金份额的基金资产净值、基金份额净值已由基金托管人复核确认后公告的，由此造成的投资人或基金的损失，应根据法律法规的规定对投资人或基金支付赔偿金，就实际向投资人或基金支付的赔偿金额，由基金管理人与基金托管人按照管理费率和托管费率的比例各自承担相应的责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（3）由于一方当事人提供的信息错误，另一方当事人在采取了必要合理的措施后仍不能发现该错误，进而导致A类基金份额及C类基金份额的基金资产净值、基</w:t>
      </w:r>
      <w:r>
        <w:rPr>
          <w:rFonts w:ascii="宋体" w:hAnsi="宋体"/>
          <w:sz w:val="24"/>
        </w:rPr>
        <w:lastRenderedPageBreak/>
        <w:t>金份额净值计算错误造成投资人或基金的损失，以及由此造成以后交易日A类基金份额及C类基金份额的基金资产净值、基金份额净值计算顺延错误而引起的投资人或基金的损失，由提供错误信息的当事人一方负责赔偿。</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由于不可抗力原因，或由于证券、期货交易所、证券经纪机构、期货公司或登记结算公司发送的数据错误等，基金管理人和基金托管人虽然已经采取必要、适当、合理的措施进行检查，但是未能发现该错误的，由此造成的基金资产估值错误，基金管理人和基金托管人可以免除赔偿责任。但基金管理人和基金托管人应当积极采取必要的措施减轻或消除由此造成的影响。</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当基金管理人计算的基金资产净值与基金托管人的计算结果不一致时，相关各方应本着勤勉尽责的态度重新计算核对，如果最后仍无法达成一致，应以基金管理人的计算结果为准对外公布，由此造成的损失由基金管理人承担赔偿责任，基金托管人不负赔偿责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（6）基金管理人或基金托管人按估值方法的第4）项进行估值的，所造成的误差不作为基金资产估值错误处理。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估值错误责任方拒绝进行赔偿时，如果因基金管理人过错造成基金资产损失时，基金托管人应为基金的利益向基金管理人追偿，如果因基金托管人过错造成基金资产损失时，基金管理人应为基金的利益向基金托管人追偿。除基金管理人和基金托管人之外的第三方造成基金资产的损失，并拒绝进行赔偿时，由基金管理人负责向差错方追偿。</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4、基金账册的建立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在基金合同生效后，应按照相关各方约定的同一记账方法和会计处理原则，分别独立地设置、登录和保管本基金的全套账册，对相关各方各自的账册定期进行核对，互相监督，以保证基金资产的安全。若双方对会计处理方法存在分歧，应以基金管理人的处理方法为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对账发现相关各方的账目存在不符的，基金管理人和基金托管人必须及时查明原因并纠正，保证相关各方平行登录的账册记录完全相符。若当日核对不符，暂时无法查找到错账的原因而影响到基金资产净值的计算和公告的，以基金管理人的账册为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5、基金定期报告的编制和复核</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（1）基金财务报表由基金管理人和基金托管人每月分别独立编制。月度报表</w:t>
      </w:r>
      <w:r>
        <w:rPr>
          <w:rFonts w:ascii="宋体" w:hAnsi="宋体"/>
          <w:sz w:val="24"/>
        </w:rPr>
        <w:lastRenderedPageBreak/>
        <w:t>的编制，应于每月终了后5个工作日内完成。</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基金管理人在季度结束之日起15个工作日内完成季度报告编制并公告；在上半年终了后两个月内完成中期报告编制并公告；在每年结束后三个月内完成年度报告编制并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及时完成报表编制，将有关报表提供基金托管人复核；基金托管人应当在收到报告之日起2个工作日内完成月度报表的复核；在收到报告之日起7个工作日内完成基金季度报告的复核；在收到报告之日起20日内完成基金中期报告的复核；在收到报告之日起30日内完成基金年度报告的复核。基金托管人在复核过程中，发现双方的报表存在不符时，基金管理人和基金托管人应共同查明原因，进行调整，调整以国家有关规定为准。</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（4）核对无误后，基金托管人在基金管理人提供的报告上加盖业务印鉴或者出具加盖托管业务部门公章的复核意见书，相关各方各自留存一份。</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（5）基金托管人在对月度报表、季度、中期报告或年度报告复核完毕后，需盖章确认或出具相应的复核确认书，以备有权机构对相关文件审核时提示。</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6、暂停估值的情形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（1）基金投资所涉及的证券、期货交易场所遇法定节假日或因其他原因暂停营业时；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（3）占基金相当比例的投资品种的估值出现重大转变，而基金管理人为保障基金份额持有人的利益，决定延迟估值时；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（4）当前一估值日基金资产净值50%以上的资产出现无可参考的活跃市场价格且采用估值技术仍导致公允价值存在重大不确定性时，经与基金托管人协商确认后，基金管理人应当暂停估值；</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（5）中国证监会和基金合同认定的其他情形。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1、基金管理人和基金托管人须分别妥善保管的基金份额持有人名册，基金份</w:t>
      </w:r>
      <w:r>
        <w:rPr>
          <w:rFonts w:ascii="宋体" w:hAnsi="宋体"/>
          <w:sz w:val="24"/>
        </w:rPr>
        <w:lastRenderedPageBreak/>
        <w:t>额持有人名册的内容必须包括基金份额持有人的名称和持有的基金份额。</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持有人名册由基金的登记机构根据基金管理人的指令编制和保管，保管期限为20年。基金管理人和基金托管人应按照目前相关规则分别保管基金份额持有人名册。保管方式可以采用电子或文档的形式，保管期限为15年。</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应当及时向基金托管人定期或不定期提交下列日期的基金份额持有人名册。基金份额持有人名册的内容必须包括基金份额持有人的名称和持有的基金份额。基金托管人可以采用电子或文档的形式妥善保管基金份额持有人名册，保存期限为15年。基金托管人不得将所保管的基金份额持有人名册用于基金托管业务以外的其他用途，并应遵守保密义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4、若基金管理人或基金托管人由于自身原因无法妥善保管基金份额持有人名册，应按有关法规规定各自承担相应的责任。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本协议而产生的或与本协议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用、律师费由败诉方承担。</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本协议受中国法律管辖。</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（八）托管协议的修改与终止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本协议双方当事人经协商一致，可以对协议的内容进行变更。变更后的托管协议，其内容不得与基金合同的规定有任何冲突。本托管协议的变更报中国证监会备案。</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2、基金托管协议终止的情形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发生以下情况，本托管协议终止：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（4）发生法律法规或基金合同规定的终止事项。</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25" w:name="_Toc240644261"/>
      <w:r>
        <w:rPr>
          <w:rFonts w:ascii="Times New Roman" w:hAnsi="Times New Roman"/>
          <w:sz w:val="30"/>
        </w:rPr>
        <w:lastRenderedPageBreak/>
        <w:t>二十二、对基金份额持有人的服务</w:t>
      </w:r>
      <w:bookmarkEnd w:id="25"/>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每次交易结束后，可在T+2个工作日后通过销售机构的网点查询和打印确认单；</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本基金管理人将向持有人提供电子或纸质对账单，需要订阅或取消的客户可与本基金管理人客户服务中心（400-700-5000，021-61055000）联系。</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业务，个人投资者可以直接通过本基金管理人网站的网上直销交易平台办理开户和本基金的申购、赎回、定期定额投资、转换等业务。通过网上直销交易平台办理本基金A类基金份额的申购和定期定额投资业务的个人投资者将享受前端申购费率的优惠。具体优惠费率请参见公司网站列示的网上直销交易平台申购、定期定额投资费率表或相关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基金网上直销交易平台已开通的银行卡及各银行卡交易金额限额请参阅本基金管理人网站。</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（四）基金转换业务</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本基金已开通转换业务，具体实施方法请参见相关公告。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（五）定期定额投资计划</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（六）如本招募说明书存在任何您/贵机构无法理解的内容，请通过上述方式联系基金管理人。请确保投资前，您/贵机构已经全面理解了本招募说明书。</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26" w:name="_Toc240644262"/>
      <w:r>
        <w:rPr>
          <w:rFonts w:ascii="Times New Roman" w:hAnsi="Times New Roman"/>
          <w:sz w:val="30"/>
        </w:rPr>
        <w:lastRenderedPageBreak/>
        <w:t>二十三、其他应披露事项</w:t>
      </w:r>
      <w:bookmarkEnd w:id="26"/>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本招募说明书更新期间基金披露的其他重要事项</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2025-05-09</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2025-05-26</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交银施罗德基金管理有限公司关于增加中国邮政储蓄银行股份有限公司为旗下基金的销售机构的公告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2025-05-28</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2025-06-07</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交银施罗德基金管理有限公司关于增加华宝证券股份有限公司为旗下基金的销售机构的公告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2025-07-10</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11</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交银施罗德基金管理有限公司关于交银施罗德优择回报灵活配置混合型证券投资基金基金经理变更公告</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2025-12-27</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13</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A</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15</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C</w:t>
            </w:r>
            <w:r>
              <w:rPr>
                <w:rFonts w:ascii="Times New Roman" w:hAnsi="Times New Roman"/>
                <w:color w:val="000000"/>
                <w:kern w:val="0"/>
                <w:sz w:val="25"/>
                <w:szCs w:val="24"/>
              </w:rPr>
              <w:t>类份额）基金产品资料概要更新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2025-12-31</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16</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17</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18</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F2195D">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19</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交银施罗德优择回报灵活配置混合型证券投资基金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F2195D" w:rsidRDefault="00FC00B2">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bl>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27" w:name="_Toc240644263"/>
      <w:r>
        <w:rPr>
          <w:rFonts w:ascii="Times New Roman" w:hAnsi="Times New Roman"/>
          <w:sz w:val="30"/>
        </w:rPr>
        <w:lastRenderedPageBreak/>
        <w:t>二十四、招募说明书的存放及查阅方式</w:t>
      </w:r>
      <w:bookmarkEnd w:id="27"/>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FC00B2"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F2195D" w:rsidRDefault="00FC00B2">
      <w:pPr>
        <w:pStyle w:val="1"/>
        <w:snapToGrid w:val="0"/>
        <w:spacing w:beforeLines="0" w:before="240" w:after="240"/>
        <w:rPr>
          <w:rFonts w:ascii="宋体" w:hAnsi="宋体"/>
          <w:szCs w:val="30"/>
        </w:rPr>
      </w:pPr>
      <w:bookmarkStart w:id="28" w:name="_Toc240644264"/>
      <w:r>
        <w:rPr>
          <w:rFonts w:ascii="Times New Roman" w:hAnsi="Times New Roman"/>
          <w:sz w:val="30"/>
        </w:rPr>
        <w:lastRenderedPageBreak/>
        <w:t>二十五、备查文件</w:t>
      </w:r>
      <w:bookmarkEnd w:id="28"/>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（一）中国证监会准予交银施罗德优择回报灵活配置混合型证券投资基金募集注册的文件</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（二）《交银施罗德优择回报灵活配置混合型证券投资基金基金合同》</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（三）《交银施罗德优择回报灵活配置混合型证券投资基金托管协议》</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F2195D" w:rsidRDefault="00FC00B2">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（六）关于申请募集注册交银施罗德优择回报灵活配置混合型证券投资基金的法律意见书</w:t>
      </w:r>
    </w:p>
    <w:sectPr w:rsidR="00F2195D">
      <w:footerReference w:type="default" r:id="rId17"/>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42F9E" w:rsidRDefault="00FC00B2">
      <w:r>
        <w:separator/>
      </w:r>
    </w:p>
  </w:endnote>
  <w:endnote w:type="continuationSeparator" w:id="0">
    <w:p w:rsidR="00F42F9E" w:rsidRDefault="00FC0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195D" w:rsidRDefault="00F2195D">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195D" w:rsidRDefault="0097056D">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F2195D" w:rsidRDefault="00FC00B2">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97056D">
                  <w:rPr>
                    <w:rFonts w:ascii="Times New Roman" w:hAnsi="Times New Roman"/>
                    <w:noProof/>
                    <w:kern w:val="0"/>
                    <w:sz w:val="18"/>
                    <w:szCs w:val="18"/>
                  </w:rPr>
                  <w:t>3</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195D" w:rsidRDefault="00F2195D">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195D" w:rsidRDefault="0097056D">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F2195D" w:rsidRDefault="00FC00B2">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97056D">
                  <w:rPr>
                    <w:rFonts w:ascii="Times New Roman" w:hAnsi="Times New Roman"/>
                    <w:noProof/>
                    <w:kern w:val="0"/>
                    <w:sz w:val="18"/>
                    <w:szCs w:val="18"/>
                  </w:rPr>
                  <w:t>145</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42F9E" w:rsidRDefault="00FC00B2">
      <w:r>
        <w:separator/>
      </w:r>
    </w:p>
  </w:footnote>
  <w:footnote w:type="continuationSeparator" w:id="0">
    <w:p w:rsidR="00F42F9E" w:rsidRDefault="00FC00B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195D" w:rsidRDefault="00F2195D">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195D" w:rsidRDefault="00FC00B2">
    <w:pPr>
      <w:pStyle w:val="a3"/>
      <w:jc w:val="right"/>
      <w:rPr>
        <w:rFonts w:ascii="宋体" w:hAnsi="宋体"/>
      </w:rPr>
    </w:pPr>
    <w:r>
      <w:rPr>
        <w:rFonts w:ascii="宋体" w:hAnsi="宋体" w:hint="eastAsia"/>
      </w:rPr>
      <w:t>交银施罗德优择回报灵活配置混合型证券投资基金招募说明书更新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195D" w:rsidRDefault="00F2195D">
    <w:pPr>
      <w:pStyle w:val="10"/>
      <w:jc w:val="right"/>
    </w:pPr>
  </w:p>
  <w:p w:rsidR="00F2195D" w:rsidRDefault="00F2195D">
    <w:pPr>
      <w:pStyle w:val="10"/>
      <w:jc w:val="right"/>
    </w:pPr>
  </w:p>
  <w:p w:rsidR="00F2195D" w:rsidRDefault="00F2195D">
    <w:pPr>
      <w:pStyle w:val="a3"/>
      <w:jc w:val="right"/>
    </w:pPr>
  </w:p>
  <w:p w:rsidR="00F2195D" w:rsidRDefault="00FC00B2">
    <w:pPr>
      <w:pStyle w:val="a3"/>
      <w:jc w:val="right"/>
      <w:rPr>
        <w:rFonts w:ascii="宋体" w:hAnsi="宋体"/>
      </w:rPr>
    </w:pPr>
    <w:r>
      <w:rPr>
        <w:rFonts w:ascii="宋体" w:hAnsi="宋体" w:hint="eastAsia"/>
      </w:rPr>
      <w:t>交银施罗德优择回报灵活配置混合型证券投资基金招募说明书更新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2195D" w:rsidRDefault="00F2195D">
    <w:pPr>
      <w:pStyle w:val="a3"/>
      <w:jc w:val="right"/>
    </w:pPr>
  </w:p>
  <w:p w:rsidR="00F2195D" w:rsidRDefault="00F2195D">
    <w:pPr>
      <w:pStyle w:val="a3"/>
      <w:jc w:val="right"/>
    </w:pPr>
  </w:p>
  <w:p w:rsidR="00F2195D" w:rsidRDefault="00F2195D">
    <w:pPr>
      <w:pStyle w:val="a3"/>
      <w:jc w:val="right"/>
    </w:pPr>
  </w:p>
  <w:p w:rsidR="00F2195D" w:rsidRDefault="00FC00B2">
    <w:pPr>
      <w:pStyle w:val="a3"/>
      <w:jc w:val="right"/>
      <w:rPr>
        <w:rFonts w:ascii="宋体" w:hAnsi="宋体"/>
      </w:rPr>
    </w:pPr>
    <w:r>
      <w:rPr>
        <w:rFonts w:ascii="宋体" w:hAnsi="宋体" w:hint="eastAsia"/>
      </w:rPr>
      <w:t>交银施罗德优择回报灵活配置混合型证券投资基金招募说明书更新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6"/>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56D"/>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F9"/>
    <w:rsid w:val="00AF4A88"/>
    <w:rsid w:val="00AF60FC"/>
    <w:rsid w:val="00AF619D"/>
    <w:rsid w:val="00B01A75"/>
    <w:rsid w:val="00B02D39"/>
    <w:rsid w:val="00B03711"/>
    <w:rsid w:val="00B03B6B"/>
    <w:rsid w:val="00B04CC3"/>
    <w:rsid w:val="00B17DE2"/>
    <w:rsid w:val="00B2096A"/>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95D"/>
    <w:rsid w:val="00F21F2E"/>
    <w:rsid w:val="00F23947"/>
    <w:rsid w:val="00F23B61"/>
    <w:rsid w:val="00F276F1"/>
    <w:rsid w:val="00F32680"/>
    <w:rsid w:val="00F33A66"/>
    <w:rsid w:val="00F34368"/>
    <w:rsid w:val="00F34E5A"/>
    <w:rsid w:val="00F35452"/>
    <w:rsid w:val="00F42F9E"/>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0B2"/>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6"/>
    <o:shapelayout v:ext="edit">
      <o:idmap v:ext="edit" data="3"/>
    </o:shapelayout>
  </w:shapeDefaults>
  <w:decimalSymbol w:val="."/>
  <w:listSeparator w:val=","/>
  <w15:docId w15:val="{406287EF-6521-4300-83DB-977B2C9DA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146</Pages>
  <Words>15440</Words>
  <Characters>88011</Characters>
  <Application>Microsoft Office Word</Application>
  <DocSecurity>0</DocSecurity>
  <Lines>733</Lines>
  <Paragraphs>206</Paragraphs>
  <ScaleCrop>false</ScaleCrop>
  <Company>Microsoft</Company>
  <LinksUpToDate>false</LinksUpToDate>
  <CharactersWithSpaces>103245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2026-09-18T09:17:00Z</dcterms:created>
  <dcterms:modified xsi:type="dcterms:W3CDTF">2026-09-18T09:17:00Z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