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426A8C">
      <w:pPr>
        <w:rPr>
          <w:sz w:val="32"/>
        </w:rPr>
      </w:pPr>
    </w:p>
    <w:p w:rsidR="00C92FC0" w:rsidRPr="00EB07BC" w:rsidRDefault="00426A8C">
      <w:pPr>
        <w:rPr>
          <w:sz w:val="32"/>
        </w:rPr>
      </w:pPr>
    </w:p>
    <w:p w:rsidR="00C92FC0" w:rsidRPr="00EB07BC" w:rsidRDefault="00426A8C">
      <w:pPr>
        <w:rPr>
          <w:sz w:val="32"/>
        </w:rPr>
      </w:pPr>
    </w:p>
    <w:p w:rsidR="00A146AF" w:rsidRDefault="00A146A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146AF" w:rsidRDefault="00A146A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146AF" w:rsidRDefault="00A146A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146AF" w:rsidRDefault="004F41F1">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交银施罗德均衡成长一年持有期混合型证券投资基金</w:t>
      </w:r>
    </w:p>
    <w:p w:rsidR="00A146AF" w:rsidRDefault="004F41F1">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A146AF" w:rsidRDefault="00A146AF">
      <w:pPr>
        <w:snapToGrid w:val="0"/>
        <w:spacing w:line="360" w:lineRule="auto"/>
        <w:jc w:val="center"/>
        <w:rPr>
          <w:rFonts w:ascii="宋体" w:hAnsi="宋体"/>
          <w:b/>
          <w:sz w:val="30"/>
          <w:szCs w:val="30"/>
        </w:rPr>
      </w:pP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4F41F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A146AF" w:rsidRDefault="004F41F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A146A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146AF" w:rsidRDefault="004F41F1">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A146AF" w:rsidRDefault="00A146AF">
      <w:pPr>
        <w:autoSpaceDE w:val="0"/>
        <w:autoSpaceDN w:val="0"/>
        <w:adjustRightInd w:val="0"/>
        <w:snapToGrid w:val="0"/>
        <w:spacing w:line="360" w:lineRule="auto"/>
        <w:ind w:left="1347" w:rightChars="6" w:right="13"/>
        <w:rPr>
          <w:rFonts w:ascii="宋体" w:hAnsi="宋体"/>
          <w:kern w:val="0"/>
          <w:sz w:val="32"/>
          <w:szCs w:val="32"/>
        </w:rPr>
        <w:sectPr w:rsidR="00A146A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A146AF" w:rsidRDefault="004F41F1">
      <w:pPr>
        <w:pStyle w:val="1"/>
        <w:snapToGrid w:val="0"/>
        <w:spacing w:beforeLines="0" w:before="240" w:after="240"/>
        <w:rPr>
          <w:rFonts w:ascii="宋体" w:hAnsi="宋体"/>
          <w:kern w:val="0"/>
        </w:rPr>
      </w:pPr>
      <w:bookmarkStart w:id="0" w:name="_Toc324920538"/>
      <w:bookmarkStart w:id="1" w:name="_Toc496884613"/>
      <w:bookmarkStart w:id="2" w:name="_Toc240548783"/>
      <w:r>
        <w:rPr>
          <w:rFonts w:ascii="Times New Roman" w:hAnsi="Times New Roman"/>
          <w:kern w:val="0"/>
        </w:rPr>
        <w:lastRenderedPageBreak/>
        <w:t>重要提示</w:t>
      </w:r>
      <w:bookmarkEnd w:id="0"/>
      <w:bookmarkEnd w:id="1"/>
      <w:bookmarkEnd w:id="2"/>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交银施罗德均衡成长一年持有期混合型证券投资基金（以下简称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3132</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日正式生效。</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万元情形时基金管理人可依基金合同约定提前终止基金合同的风险；投资本基金的其他风险等等。本基金是一只混合型基金，其预期风险和预期收益高于债券型基金和货币市场基金，低于股票型基金。</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w:t>
      </w:r>
      <w:r>
        <w:rPr>
          <w:rFonts w:ascii="Times New Roman" w:hAnsi="Times New Roman"/>
          <w:kern w:val="0"/>
          <w:sz w:val="24"/>
        </w:rPr>
        <w:lastRenderedPageBreak/>
        <w:t>持证券投资，请基金份额持有人关注包括投资资产支持证券可能导致的基金净值波动在内的各项风险。</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A146AF" w:rsidRDefault="004F41F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A146AF" w:rsidRDefault="00A146AF">
      <w:pPr>
        <w:autoSpaceDE w:val="0"/>
        <w:autoSpaceDN w:val="0"/>
        <w:adjustRightInd w:val="0"/>
        <w:snapToGrid w:val="0"/>
        <w:spacing w:before="51" w:line="360" w:lineRule="auto"/>
        <w:ind w:left="120" w:rightChars="6" w:right="13" w:firstLine="480"/>
        <w:rPr>
          <w:rFonts w:ascii="宋体" w:hAnsi="宋体"/>
          <w:kern w:val="0"/>
          <w:szCs w:val="24"/>
        </w:rPr>
        <w:sectPr w:rsidR="00A146AF">
          <w:headerReference w:type="default" r:id="rId14"/>
          <w:pgSz w:w="11920" w:h="16840"/>
          <w:pgMar w:top="1440" w:right="1680" w:bottom="280" w:left="1680" w:header="0" w:footer="1073" w:gutter="0"/>
          <w:pgNumType w:start="1"/>
          <w:cols w:space="720"/>
        </w:sectPr>
      </w:pPr>
    </w:p>
    <w:p w:rsidR="00426A8C" w:rsidRPr="00426A8C" w:rsidRDefault="004F41F1" w:rsidP="00426A8C">
      <w:pPr>
        <w:pStyle w:val="ad"/>
        <w:snapToGrid w:val="0"/>
        <w:spacing w:after="240" w:line="360" w:lineRule="auto"/>
        <w:jc w:val="center"/>
        <w:rPr>
          <w:rFonts w:ascii="宋体" w:hAnsi="宋体"/>
          <w:noProof/>
          <w:sz w:val="24"/>
        </w:rPr>
      </w:pPr>
      <w:r w:rsidRPr="00426A8C">
        <w:rPr>
          <w:rFonts w:ascii="宋体" w:hAnsi="宋体"/>
          <w:color w:val="000000"/>
          <w:position w:val="-4"/>
          <w:sz w:val="24"/>
          <w:szCs w:val="30"/>
        </w:rPr>
        <w:lastRenderedPageBreak/>
        <w:t>目</w:t>
      </w:r>
      <w:r w:rsidRPr="00426A8C">
        <w:rPr>
          <w:rFonts w:ascii="宋体" w:hAnsi="宋体"/>
          <w:color w:val="000000"/>
          <w:position w:val="-4"/>
          <w:sz w:val="24"/>
          <w:szCs w:val="30"/>
        </w:rPr>
        <w:tab/>
        <w:t>录</w:t>
      </w:r>
      <w:r w:rsidR="00426A8C" w:rsidRPr="00426A8C">
        <w:rPr>
          <w:rFonts w:ascii="宋体" w:hAnsi="宋体"/>
          <w:color w:val="000000"/>
          <w:position w:val="-4"/>
          <w:sz w:val="24"/>
          <w:szCs w:val="30"/>
        </w:rPr>
        <w:fldChar w:fldCharType="begin"/>
      </w:r>
      <w:r w:rsidR="00426A8C" w:rsidRPr="00426A8C">
        <w:rPr>
          <w:rFonts w:ascii="宋体" w:hAnsi="宋体"/>
          <w:color w:val="000000"/>
          <w:position w:val="-4"/>
          <w:sz w:val="24"/>
          <w:szCs w:val="30"/>
        </w:rPr>
        <w:instrText xml:space="preserve"> TOC \o "1-3" \f - \h \t "-1" </w:instrText>
      </w:r>
      <w:r w:rsidR="00426A8C" w:rsidRPr="00426A8C">
        <w:rPr>
          <w:rFonts w:ascii="宋体" w:hAnsi="宋体"/>
          <w:color w:val="000000"/>
          <w:position w:val="-4"/>
          <w:sz w:val="24"/>
          <w:szCs w:val="30"/>
        </w:rPr>
        <w:fldChar w:fldCharType="separate"/>
      </w:r>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83" w:history="1">
        <w:r w:rsidRPr="00426A8C">
          <w:rPr>
            <w:rStyle w:val="aa"/>
            <w:rFonts w:ascii="宋体" w:hAnsi="宋体" w:hint="eastAsia"/>
            <w:noProof/>
            <w:kern w:val="0"/>
            <w:sz w:val="24"/>
          </w:rPr>
          <w:t>重要提示</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_Toc240548783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84" w:history="1">
        <w:r w:rsidRPr="00426A8C">
          <w:rPr>
            <w:rStyle w:val="aa"/>
            <w:rFonts w:ascii="宋体" w:hAnsi="宋体" w:hint="eastAsia"/>
            <w:noProof/>
            <w:sz w:val="24"/>
          </w:rPr>
          <w:t>一、绪言</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_Toc240548784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5</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85" w:history="1">
        <w:r w:rsidRPr="00426A8C">
          <w:rPr>
            <w:rStyle w:val="aa"/>
            <w:rFonts w:ascii="宋体" w:hAnsi="宋体" w:hint="eastAsia"/>
            <w:noProof/>
            <w:sz w:val="24"/>
          </w:rPr>
          <w:t>二、释义</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_Toc240548785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6</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86" w:history="1">
        <w:r w:rsidRPr="00426A8C">
          <w:rPr>
            <w:rStyle w:val="aa"/>
            <w:rFonts w:ascii="宋体" w:hAnsi="宋体" w:hint="eastAsia"/>
            <w:noProof/>
            <w:sz w:val="24"/>
          </w:rPr>
          <w:t>三、基金管理人</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_Toc240548786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11</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87" w:history="1">
        <w:r w:rsidRPr="00426A8C">
          <w:rPr>
            <w:rStyle w:val="aa"/>
            <w:rFonts w:ascii="宋体" w:hAnsi="宋体" w:hint="eastAsia"/>
            <w:noProof/>
            <w:sz w:val="24"/>
          </w:rPr>
          <w:t>四、基金托管人</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_Toc240548787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18</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88" w:history="1">
        <w:r w:rsidRPr="00426A8C">
          <w:rPr>
            <w:rStyle w:val="aa"/>
            <w:rFonts w:ascii="宋体" w:hAnsi="宋体" w:hint="eastAsia"/>
            <w:noProof/>
            <w:sz w:val="24"/>
          </w:rPr>
          <w:t>五、相关服务机构</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_Toc240548788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25</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89" w:history="1">
        <w:r w:rsidRPr="00426A8C">
          <w:rPr>
            <w:rStyle w:val="aa"/>
            <w:rFonts w:ascii="宋体" w:hAnsi="宋体" w:hint="eastAsia"/>
            <w:noProof/>
            <w:sz w:val="24"/>
          </w:rPr>
          <w:t>六、基金的募集</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_Toc240548789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54</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0" w:history="1">
        <w:r w:rsidRPr="00426A8C">
          <w:rPr>
            <w:rStyle w:val="aa"/>
            <w:rFonts w:ascii="宋体" w:hAnsi="宋体" w:hint="eastAsia"/>
            <w:noProof/>
            <w:sz w:val="24"/>
          </w:rPr>
          <w:t>七、基金合同的生效</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_Toc240548790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55</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1" w:history="1">
        <w:r w:rsidRPr="00426A8C">
          <w:rPr>
            <w:rStyle w:val="aa"/>
            <w:rFonts w:ascii="宋体" w:hAnsi="宋体" w:hint="eastAsia"/>
            <w:noProof/>
            <w:sz w:val="24"/>
          </w:rPr>
          <w:t>八、基金份额的申购与赎回</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_Toc240548791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56</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2" w:history="1">
        <w:r w:rsidRPr="00426A8C">
          <w:rPr>
            <w:rStyle w:val="aa"/>
            <w:rFonts w:ascii="宋体" w:hAnsi="宋体" w:hint="eastAsia"/>
            <w:noProof/>
            <w:sz w:val="24"/>
          </w:rPr>
          <w:t>九、基金的转换</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_Toc240548792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68</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3" w:history="1">
        <w:r w:rsidRPr="00426A8C">
          <w:rPr>
            <w:rStyle w:val="aa"/>
            <w:rFonts w:ascii="宋体" w:hAnsi="宋体" w:hint="eastAsia"/>
            <w:noProof/>
            <w:sz w:val="24"/>
          </w:rPr>
          <w:t>十、基金的投资</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_Toc240548793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75</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4" w:history="1">
        <w:r w:rsidRPr="00426A8C">
          <w:rPr>
            <w:rStyle w:val="aa"/>
            <w:rFonts w:ascii="宋体" w:hAnsi="宋体" w:hint="eastAsia"/>
            <w:noProof/>
            <w:sz w:val="24"/>
          </w:rPr>
          <w:t>十一、基金的业绩</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_Toc240548794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89</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5" w:history="1">
        <w:r w:rsidRPr="00426A8C">
          <w:rPr>
            <w:rStyle w:val="aa"/>
            <w:rFonts w:ascii="宋体" w:hAnsi="宋体" w:hint="eastAsia"/>
            <w:noProof/>
            <w:sz w:val="24"/>
          </w:rPr>
          <w:t>十二、基金的财产</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_Toc240548795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92</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6" w:history="1">
        <w:r w:rsidRPr="00426A8C">
          <w:rPr>
            <w:rStyle w:val="aa"/>
            <w:rFonts w:ascii="宋体" w:hAnsi="宋体" w:hint="eastAsia"/>
            <w:noProof/>
            <w:sz w:val="24"/>
          </w:rPr>
          <w:t>十三、基金资产的估值</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_Toc240548796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93</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7" w:history="1">
        <w:r w:rsidRPr="00426A8C">
          <w:rPr>
            <w:rStyle w:val="aa"/>
            <w:rFonts w:ascii="宋体" w:hAnsi="宋体" w:hint="eastAsia"/>
            <w:noProof/>
            <w:sz w:val="24"/>
          </w:rPr>
          <w:t>十四、基金收益与分配</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_Toc240548797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100</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8" w:history="1">
        <w:r w:rsidRPr="00426A8C">
          <w:rPr>
            <w:rStyle w:val="aa"/>
            <w:rFonts w:ascii="宋体" w:hAnsi="宋体" w:hint="eastAsia"/>
            <w:noProof/>
            <w:sz w:val="24"/>
          </w:rPr>
          <w:t>十五、基金的费用与税收</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_Toc240548798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102</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799" w:history="1">
        <w:r w:rsidRPr="00426A8C">
          <w:rPr>
            <w:rStyle w:val="aa"/>
            <w:rFonts w:ascii="宋体" w:hAnsi="宋体" w:hint="eastAsia"/>
            <w:noProof/>
            <w:sz w:val="24"/>
          </w:rPr>
          <w:t>十六、基金的会计与审计</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_Toc240548799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105</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0" w:history="1">
        <w:r w:rsidRPr="00426A8C">
          <w:rPr>
            <w:rStyle w:val="aa"/>
            <w:rFonts w:ascii="宋体" w:hAnsi="宋体" w:hint="eastAsia"/>
            <w:noProof/>
            <w:sz w:val="24"/>
          </w:rPr>
          <w:t>十七、基金的信息披露</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_Toc240548800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106</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1" w:history="1">
        <w:r w:rsidRPr="00426A8C">
          <w:rPr>
            <w:rStyle w:val="aa"/>
            <w:rFonts w:ascii="宋体" w:hAnsi="宋体" w:hint="eastAsia"/>
            <w:noProof/>
            <w:sz w:val="24"/>
          </w:rPr>
          <w:t>十八、侧袋机制</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_Toc240548801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113</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2" w:history="1">
        <w:r w:rsidRPr="00426A8C">
          <w:rPr>
            <w:rStyle w:val="aa"/>
            <w:rFonts w:ascii="宋体" w:hAnsi="宋体" w:hint="eastAsia"/>
            <w:noProof/>
            <w:sz w:val="24"/>
          </w:rPr>
          <w:t>十九、风险揭示</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_Toc240548802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116</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3" w:history="1">
        <w:r w:rsidRPr="00426A8C">
          <w:rPr>
            <w:rStyle w:val="aa"/>
            <w:rFonts w:ascii="宋体" w:hAnsi="宋体" w:hint="eastAsia"/>
            <w:noProof/>
            <w:sz w:val="24"/>
          </w:rPr>
          <w:t>二十、基金合同的变更、终止与基金财产的清算</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_Toc240548803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127</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4" w:history="1">
        <w:r w:rsidRPr="00426A8C">
          <w:rPr>
            <w:rStyle w:val="aa"/>
            <w:rFonts w:ascii="宋体" w:hAnsi="宋体" w:hint="eastAsia"/>
            <w:noProof/>
            <w:sz w:val="24"/>
          </w:rPr>
          <w:t>二十一、基金合同内容摘要</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_Toc240548804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129</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5" w:history="1">
        <w:r w:rsidRPr="00426A8C">
          <w:rPr>
            <w:rStyle w:val="aa"/>
            <w:rFonts w:ascii="宋体" w:hAnsi="宋体" w:hint="eastAsia"/>
            <w:noProof/>
            <w:sz w:val="24"/>
          </w:rPr>
          <w:t>二十二、托管协议的内容摘要</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_Toc240548805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146</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6" w:history="1">
        <w:r w:rsidRPr="00426A8C">
          <w:rPr>
            <w:rStyle w:val="aa"/>
            <w:rFonts w:ascii="宋体" w:hAnsi="宋体" w:hint="eastAsia"/>
            <w:noProof/>
            <w:sz w:val="24"/>
          </w:rPr>
          <w:t>二十三、对基金份额持有人的服务</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_Toc240548806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164</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7" w:history="1">
        <w:r w:rsidRPr="00426A8C">
          <w:rPr>
            <w:rStyle w:val="aa"/>
            <w:rFonts w:ascii="宋体" w:hAnsi="宋体" w:hint="eastAsia"/>
            <w:noProof/>
            <w:sz w:val="24"/>
          </w:rPr>
          <w:t>二十四、其他应披露事项</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_Toc240548807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166</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8" w:history="1">
        <w:r w:rsidRPr="00426A8C">
          <w:rPr>
            <w:rStyle w:val="aa"/>
            <w:rFonts w:ascii="宋体" w:hAnsi="宋体" w:hint="eastAsia"/>
            <w:noProof/>
            <w:sz w:val="24"/>
          </w:rPr>
          <w:t>二十五、招募说明书的存放及查阅方式</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_Toc240548808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168</w:t>
        </w:r>
        <w:r w:rsidRPr="00426A8C">
          <w:rPr>
            <w:rFonts w:ascii="宋体" w:hAnsi="宋体"/>
            <w:noProof/>
            <w:sz w:val="24"/>
          </w:rPr>
          <w:fldChar w:fldCharType="end"/>
        </w:r>
      </w:hyperlink>
    </w:p>
    <w:p w:rsidR="00426A8C" w:rsidRPr="00426A8C" w:rsidRDefault="00426A8C" w:rsidP="00426A8C">
      <w:pPr>
        <w:pStyle w:val="10"/>
        <w:tabs>
          <w:tab w:val="right" w:leader="dot" w:pos="8550"/>
        </w:tabs>
        <w:spacing w:line="360" w:lineRule="auto"/>
        <w:rPr>
          <w:rFonts w:ascii="宋体" w:hAnsi="宋体" w:cstheme="minorBidi"/>
          <w:noProof/>
          <w:sz w:val="24"/>
        </w:rPr>
      </w:pPr>
      <w:hyperlink w:anchor="_Toc240548809" w:history="1">
        <w:r w:rsidRPr="00426A8C">
          <w:rPr>
            <w:rStyle w:val="aa"/>
            <w:rFonts w:ascii="宋体" w:hAnsi="宋体" w:hint="eastAsia"/>
            <w:noProof/>
            <w:sz w:val="24"/>
          </w:rPr>
          <w:t>二十六、备查文件</w:t>
        </w:r>
        <w:r w:rsidRPr="00426A8C">
          <w:rPr>
            <w:rFonts w:ascii="宋体" w:hAnsi="宋体"/>
            <w:noProof/>
            <w:sz w:val="24"/>
          </w:rPr>
          <w:tab/>
        </w:r>
        <w:r w:rsidRPr="00426A8C">
          <w:rPr>
            <w:rFonts w:ascii="宋体" w:hAnsi="宋体"/>
            <w:noProof/>
            <w:sz w:val="24"/>
          </w:rPr>
          <w:fldChar w:fldCharType="begin"/>
        </w:r>
        <w:r w:rsidRPr="00426A8C">
          <w:rPr>
            <w:rFonts w:ascii="宋体" w:hAnsi="宋体"/>
            <w:noProof/>
            <w:sz w:val="24"/>
          </w:rPr>
          <w:instrText xml:space="preserve"> PAGEREF _Toc240548809 \h </w:instrText>
        </w:r>
        <w:r w:rsidRPr="00426A8C">
          <w:rPr>
            <w:rFonts w:ascii="宋体" w:hAnsi="宋体"/>
            <w:noProof/>
            <w:sz w:val="24"/>
          </w:rPr>
        </w:r>
        <w:r w:rsidRPr="00426A8C">
          <w:rPr>
            <w:rFonts w:ascii="宋体" w:hAnsi="宋体"/>
            <w:noProof/>
            <w:sz w:val="24"/>
          </w:rPr>
          <w:fldChar w:fldCharType="separate"/>
        </w:r>
        <w:r w:rsidRPr="00426A8C">
          <w:rPr>
            <w:rFonts w:ascii="宋体" w:hAnsi="宋体"/>
            <w:noProof/>
            <w:sz w:val="24"/>
          </w:rPr>
          <w:t>169</w:t>
        </w:r>
        <w:r w:rsidRPr="00426A8C">
          <w:rPr>
            <w:rFonts w:ascii="宋体" w:hAnsi="宋体"/>
            <w:noProof/>
            <w:sz w:val="24"/>
          </w:rPr>
          <w:fldChar w:fldCharType="end"/>
        </w:r>
      </w:hyperlink>
    </w:p>
    <w:p w:rsidR="00A146AF" w:rsidRPr="00426A8C" w:rsidRDefault="00426A8C" w:rsidP="00426A8C">
      <w:pPr>
        <w:pStyle w:val="ad"/>
        <w:snapToGrid w:val="0"/>
        <w:spacing w:after="240" w:line="360" w:lineRule="auto"/>
        <w:jc w:val="center"/>
        <w:rPr>
          <w:rFonts w:ascii="宋体" w:hAnsi="宋体"/>
          <w:color w:val="000000"/>
          <w:sz w:val="24"/>
        </w:rPr>
      </w:pPr>
      <w:r w:rsidRPr="00426A8C">
        <w:rPr>
          <w:rFonts w:ascii="宋体" w:hAnsi="宋体"/>
          <w:color w:val="000000"/>
          <w:position w:val="-4"/>
          <w:sz w:val="24"/>
          <w:szCs w:val="30"/>
        </w:rPr>
        <w:fldChar w:fldCharType="end"/>
      </w:r>
      <w:bookmarkStart w:id="3" w:name="_GoBack"/>
      <w:bookmarkEnd w:id="3"/>
    </w:p>
    <w:p w:rsidR="00A146AF" w:rsidRDefault="00A146AF">
      <w:pPr>
        <w:autoSpaceDE w:val="0"/>
        <w:autoSpaceDN w:val="0"/>
        <w:adjustRightInd w:val="0"/>
        <w:snapToGrid w:val="0"/>
        <w:spacing w:line="360" w:lineRule="auto"/>
        <w:ind w:left="120" w:rightChars="6" w:right="13"/>
        <w:rPr>
          <w:rFonts w:ascii="宋体" w:hAnsi="宋体"/>
          <w:kern w:val="0"/>
          <w:szCs w:val="24"/>
        </w:rPr>
        <w:sectPr w:rsidR="00A146AF">
          <w:pgSz w:w="11920" w:h="16840"/>
          <w:pgMar w:top="1480" w:right="1680" w:bottom="280" w:left="1680" w:header="0" w:footer="1073" w:gutter="0"/>
          <w:cols w:space="720"/>
        </w:sectPr>
      </w:pPr>
    </w:p>
    <w:p w:rsidR="00A146AF" w:rsidRDefault="004F41F1">
      <w:pPr>
        <w:pStyle w:val="1"/>
        <w:snapToGrid w:val="0"/>
        <w:spacing w:beforeLines="0" w:before="240" w:after="240"/>
        <w:rPr>
          <w:rFonts w:ascii="宋体" w:hAnsi="宋体"/>
          <w:szCs w:val="30"/>
        </w:rPr>
      </w:pPr>
      <w:bookmarkStart w:id="4" w:name="_Toc240548784"/>
      <w:r>
        <w:rPr>
          <w:rFonts w:ascii="Times New Roman" w:hAnsi="Times New Roman"/>
          <w:sz w:val="30"/>
        </w:rPr>
        <w:lastRenderedPageBreak/>
        <w:t>一、绪言</w:t>
      </w:r>
      <w:bookmarkEnd w:id="4"/>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均衡成长一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均衡成长一年持有期混合型证券投资基金基金合同》（以下简称“基金合同”）编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5" w:name="_Toc240548785"/>
      <w:r>
        <w:rPr>
          <w:rFonts w:ascii="Times New Roman" w:hAnsi="Times New Roman"/>
          <w:sz w:val="30"/>
        </w:rPr>
        <w:lastRenderedPageBreak/>
        <w:t>二、释义</w:t>
      </w:r>
      <w:bookmarkEnd w:id="5"/>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1、基金或本基金：指交银施罗德均衡成长一年持有期混合型证券投资基金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4、基金合同：指《交银施罗德均衡成长一年持有期混合型证券投资基金基金合同》及对基金合同的任何有效修订和补充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5、托管协议：指基金管理人与基金托管人就本基金签订之《交银施罗德均衡成长一年持有期混合型证券投资基金托管协议》及对该托管协议的任何有效修订和补充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6、招募说明书或本招募说明书：指《交银施罗德均衡成长一年持有期混合型证券投资基金招募说明书》及其更新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7、基金产品资料概要：指《交银施罗德均衡成长一年持有期混合型证券投资基金基金产品资料概要》及其更新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8、基金份额发售公告：指《交银施罗德均衡成长一年持有期混合型证券投资基金基金份额发售公告》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39、开放日：指为投资人办理基金份额申购、赎回或其他业务的工作日（若该工作日为非港股通交易日，则本基金可不开放）</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41、《业务规则》：指中国证券登记结算有限责任公司相关业务规则及其不时做出的修订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43、申购：指基金合同生效后，投资人根据基金合同和招募说明书的规定申请购买基金份额的行为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51、基金资产总值：指基金拥有的各类有价证券、股指期货合约、银行存款本息、基金应收款项及其他资产的价值总和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55、港股通：指内地投资者委托内地证券公司，经由内地证券交易所在香港设立的证券交易服务公司，向香港联合交易所进行申报，买卖规定范围内的香港联合交易所上市的股票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56、销售服务费：指从基金财产中计提的，用于本基金市场推广、销售以及基金份额持有人服务的费用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57、A类基金份额：指在投资人认购/申购时收取认购/申购费用且不从本类别</w:t>
      </w:r>
      <w:r>
        <w:rPr>
          <w:rFonts w:ascii="宋体" w:hAnsi="宋体"/>
          <w:sz w:val="24"/>
        </w:rPr>
        <w:lastRenderedPageBreak/>
        <w:t>基金资产中计提销售服务费的基金份额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58、C类基金份额：指在投资人认购/申购时不收取认购/申购费用，并从本类别基金资产中计提销售服务费的基金份额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59、规定媒介：指符合中国证监会规定条件的用以进行信息披露的全国性报刊及《信息披露办法》规定的互联网网站（包括基金管理人网站、基金托管人网站、中国证监会基金电子披露网站）等媒介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64、不可抗力：指基金合同当事人不能预见、不能避免且不能克服的客观事件</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6" w:name="_Toc240548786"/>
      <w:r>
        <w:rPr>
          <w:rFonts w:ascii="Times New Roman" w:hAnsi="Times New Roman"/>
          <w:sz w:val="30"/>
        </w:rPr>
        <w:lastRenderedPageBreak/>
        <w:t>三、基金管理人</w:t>
      </w:r>
      <w:bookmarkEnd w:id="6"/>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徐嘉辰先生:澳门大学医药管理硕士、中国药科大学药学学士。11年证券投资行业从业经验。曾任安信证券研究中心医药行业分析师，泰康资产管理有限责任公司医药行业研究员。2018年加入交银施罗德基金管理有限公司，曾任行业分析师，现任基金经理。现任交银施罗德医疗健康混合型发起式证券投资基金(2023年10月11日至今)、交银施罗德均衡成长一年持有期混合型证券投资基金(2025年09月11日至今)、交银施罗德定期支付双息平衡混合型证券投资基金(2026年08月27日至今)的基金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刘鹏先生(2021年02月01日至2025年09月20日)。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6、编制季度报告、中期报告和年度报告；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w:t>
      </w:r>
      <w:r>
        <w:rPr>
          <w:rFonts w:ascii="宋体" w:hAnsi="宋体"/>
          <w:sz w:val="24"/>
        </w:rPr>
        <w:lastRenderedPageBreak/>
        <w:t>金投资内容、基金投资计划等信息，或利用该信息从事或者明示、暗示他人从事相关的交易活动；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w:t>
      </w:r>
      <w:r>
        <w:rPr>
          <w:rFonts w:ascii="宋体" w:hAnsi="宋体"/>
          <w:sz w:val="24"/>
        </w:rPr>
        <w:lastRenderedPageBreak/>
        <w:t>司的财务运作符合法律的要求和通行的会计标准。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w:t>
      </w:r>
      <w:r>
        <w:rPr>
          <w:rFonts w:ascii="宋体" w:hAnsi="宋体"/>
          <w:sz w:val="24"/>
        </w:rPr>
        <w:lastRenderedPageBreak/>
        <w:t>备操作手册，并定期更新。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7" w:name="_Toc240548787"/>
      <w:r>
        <w:rPr>
          <w:rFonts w:ascii="Times New Roman" w:hAnsi="Times New Roman"/>
          <w:sz w:val="30"/>
        </w:rPr>
        <w:lastRenderedPageBreak/>
        <w:t>四、基金托管人</w:t>
      </w:r>
      <w:bookmarkEnd w:id="7"/>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本行，历任本行北京分行行长助理、副行长，天津分行行长，深圳分行行长，本行行长助理。2023年11月起任本行副行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w:t>
      </w:r>
      <w:r>
        <w:rPr>
          <w:rFonts w:ascii="宋体" w:hAnsi="宋体"/>
          <w:sz w:val="24"/>
        </w:rPr>
        <w:lastRenderedPageBreak/>
        <w:t>验，在风险管理、信贷管理、公司金融、资产托管等领域有深入的研究和丰富的实务经验。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截至2025年6月30日，招商银行股份有限公司累计托管1641只证券投资基金。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w:t>
      </w:r>
      <w:r>
        <w:rPr>
          <w:rFonts w:ascii="宋体" w:hAnsi="宋体"/>
          <w:sz w:val="24"/>
        </w:rPr>
        <w:lastRenderedPageBreak/>
        <w:t>统的安全。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8" w:name="_Toc240548788"/>
      <w:r>
        <w:rPr>
          <w:rFonts w:ascii="Times New Roman" w:hAnsi="Times New Roman"/>
          <w:sz w:val="30"/>
        </w:rPr>
        <w:lastRenderedPageBreak/>
        <w:t>五、相关服务机构</w:t>
      </w:r>
      <w:bookmarkEnd w:id="8"/>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（2）名称：东吴证券股份有限公司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法定代表人：范力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（3）名称：厦门银行股份有限公司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（5）名称：交通银行股份有限公司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办公地址：深圳市福田区深南大道7088号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联系人：胡技勋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（10）名称：中国银河证券股份有限公司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（13）名称：山西证券股份有限公司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法定代表人：侯巍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（14）名称：德邦证券股份有限公司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（15）名称：国投证券股份有限公司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（16）名称：五矿证券有限公司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（17）名称：财通证券股份有限公司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办公地址：杭州市杭大路15号嘉华国际商务中心201、501、502、1103、1601-1615、1701-1716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（18）名称：中信建投证券股份有限公司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（19）名称：民生证券股份有限公司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（20）名称：中原证券股份有限公司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客户服务电话：95377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（21）名称：东方财富证券股份有限公司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（22）名称：国信证券股份有限公司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（23）名称：金融街证券股份有限公司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（24）名称：华泰证券股份有限公司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（25）名称：湘财证券股份有限公司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（26）名称：兴业证券股份有限公司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（27）名称：广发证券股份有限公司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电话：（020）66338888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（28）名称：海通证券股份有限公司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（29）名称：华龙证券股份有限公司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（30）名称：华宝证券股份有限公司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客户服务电话：400-820-9898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（31）名称：长城国瑞证券有限公司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（32）名称：大同证券有限责任公司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（33）名称：招商证券股份有限公司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（34）名称：国泰海通证券股份有限公司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注册地址：中国（上海）自由贸易试验区商城路618号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（35）名称：中信证券华南股份有限公司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（36）名称：申万宏源证券有限公司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（37）名称：平安证券股份有限公司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传真：（0755）82400862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（38）名称：中信证券（山东）有限责任公司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（39）名称：申万宏源西部证券有限公司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（40）名称：中泰证券股份有限公司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网址：www.zts.com.cn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（41）名称：江海证券有限公司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（42）名称：长城证券有限责任公司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（43）名称：国金证券股份有限公司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（44）名称：国新证券股份有限公司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电话：（010）58568235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（45）名称：华西证券股份有限公司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（46）名称：第一创业证券股份有限公司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（47）名称：华安证券股份有限公司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住所：安徽省合肥市政务文化新区天鹅湖路198号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法定代表人：章宏韬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（48）名称：华福证券有限责任公司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（49）名称：深圳市新兰德证券投资咨询有限公司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（50）名称：大连网金基金销售有限公司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（51）名称：阳光人寿保险股份有限公司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办公地址：北京市朝阳区朝阳门外大街乙12号院1号昆泰国际大厦12层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（52）名称：玄元保险代理有限公司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（53）名称：京东肯特瑞基金销售有限公司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传真：（020）89629011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（55）名称：南京苏宁基金销售有限公司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（56）名称：嘉实财富管理有限公司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（57）名称：北京汇成基金销售有限公司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网址：www.hcfunds.co</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（58）名称：上海利得基金销售有限公司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（59）名称：上海陆金所基金销售有限公司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（60）名称：上海挖财基金销售有限公司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（61）名称：万家财富基金销售（天津）有限公司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住所：天津自贸区（中心商务区）迎宾大道1988号滨海浙商大厦公寓2-2413室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（62）名称：上海万得基金销售有限公司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（63）名称：深圳市金斧子基金销售有限公司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（64）名称：北京雪球基金销售有限公司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电话：（010）61840688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（65）名称：北京新浪仓石基金销售有限公司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（66）名称：中证金牛（北京）基金销售有限公司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（67）名称：上海证达通基金销售有限公司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（68）名称：奕丰基金销售有限公司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（69）名称：上海天天基金销售有限公司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（70）名称：诺亚正行基金销售有限公司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网址：www.noah-fund.com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（71）名称：上海好买基金销售有限公司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（72）名称：上海长量基金销售有限公司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（73）名称：深圳众禄基金销售股份有限公司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（74）名称：蚂蚁（杭州）基金销售有限公司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（75）名称：中信期货有限公司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（76）名称：上海基煜基金销售有限公司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（77）名称：浙江同花顺基金销售有限公司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法定代表人：吴强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（78）名称：宜信普泽（北京）基金销售有限公司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（79）名称：上海联泰基金销售有限公司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（80）名称：泛华普益基金销售有限公司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联系人：隋亚方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（81）名称：北京展恒基金销售股份有限公司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（82）名称：北京度小满基金销售有限公司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（83）名称：和耕传承基金销售有限公司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网址：www.hgccpb.com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（84）名称：腾安基金销售（深圳）有限公司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（85）名称：北京创金启富基金销售有限公司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（86）名称：济安财富（北京）基金销售有限公司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（87）名称：博时财富基金销售有限公司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办公地址：深圳市福田区莲花街道福新社区益田路5999号基金大厦19层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（88）名称：深圳前海微众银行股份有限公司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（89）名称：上海中欧财富基金销售有限公司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（90）名称：中国人寿保险股份有限公司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客户服务电话：95519</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146AF" w:rsidRDefault="004F41F1">
      <w:pPr>
        <w:pStyle w:val="1"/>
        <w:snapToGrid w:val="0"/>
        <w:spacing w:beforeLines="0" w:before="240" w:after="240"/>
        <w:rPr>
          <w:rFonts w:ascii="宋体" w:hAnsi="宋体"/>
          <w:szCs w:val="30"/>
        </w:rPr>
      </w:pPr>
      <w:bookmarkStart w:id="9" w:name="_Toc240548789"/>
      <w:r>
        <w:rPr>
          <w:rFonts w:ascii="Times New Roman" w:hAnsi="Times New Roman"/>
          <w:sz w:val="30"/>
        </w:rPr>
        <w:lastRenderedPageBreak/>
        <w:t>六、基金的募集</w:t>
      </w:r>
      <w:bookmarkEnd w:id="9"/>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本基金由基金管理人依照《基金法》、《运作办法》、《销售办法》、基金合同及其他有关规定，并经中国证监会2020年11月17日证监许可【2020】3132号文准予募集注册。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本基金于2021年1月27日进行发售，本基金设立募集期共募集5,932,831,629.02份基金份额，有效认购户数为72,589户。</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0" w:name="_Toc240548790"/>
      <w:r>
        <w:rPr>
          <w:rFonts w:ascii="Times New Roman" w:hAnsi="Times New Roman"/>
          <w:sz w:val="30"/>
        </w:rPr>
        <w:lastRenderedPageBreak/>
        <w:t>七、基金合同的生效</w:t>
      </w:r>
      <w:bookmarkEnd w:id="10"/>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根据有关规定，本基金满足基金合同生效条件，基金合同已于2021年2月1日正式生效。自基金合同生效之日起，本基金管理人正式开始管理本基金。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1" w:name="_Toc240548791"/>
      <w:r>
        <w:rPr>
          <w:rFonts w:ascii="Times New Roman" w:hAnsi="Times New Roman"/>
          <w:sz w:val="30"/>
        </w:rPr>
        <w:lastRenderedPageBreak/>
        <w:t>八、基金份额的申购与赎回</w:t>
      </w:r>
      <w:bookmarkEnd w:id="11"/>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本基金已于2021年4月26日起开放申购业务。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本基金已于2022年2月7日起开放赎回业务。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w:t>
      </w:r>
      <w:r>
        <w:rPr>
          <w:rFonts w:ascii="宋体" w:hAnsi="宋体"/>
          <w:sz w:val="24"/>
        </w:rPr>
        <w:lastRenderedPageBreak/>
        <w:t>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份额余额少于1份时，若当日该账户同时有基金份额减少类业务（如赎回、转换转出等）被确认，则基金管理人有权将投资人在该账户保留的本基金份额一次性全部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w:t>
      </w:r>
      <w:r>
        <w:rPr>
          <w:rFonts w:ascii="宋体" w:hAnsi="宋体"/>
          <w:sz w:val="24"/>
        </w:rPr>
        <w:lastRenderedPageBreak/>
        <w:t>基金份额时，申购生效。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w:t>
      </w:r>
      <w:r>
        <w:rPr>
          <w:rFonts w:ascii="宋体" w:hAnsi="宋体"/>
          <w:sz w:val="24"/>
        </w:rPr>
        <w:lastRenderedPageBreak/>
        <w:t>基金财产，主要用于本基金的市场推广、销售、登记等各项费用。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基金份额持有人持有的每份基金份额最短持有期限为一年，本基金不收取赎回</w:t>
      </w:r>
      <w:r>
        <w:rPr>
          <w:rFonts w:ascii="宋体" w:hAnsi="宋体"/>
          <w:sz w:val="24"/>
        </w:rPr>
        <w:lastRenderedPageBreak/>
        <w:t>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例四：某投资者（非养老金客户）投资100,000元申购本基金A类基金份额，假</w:t>
      </w:r>
      <w:r>
        <w:rPr>
          <w:rFonts w:ascii="宋体" w:hAnsi="宋体"/>
          <w:sz w:val="24"/>
        </w:rPr>
        <w:lastRenderedPageBreak/>
        <w:t>设申购当日A类基金份额净值为1.0400元，申购费率为1.5%，则其可得到的申购份额为：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例五：某养老金客户投资100,000元通过基金管理人的直销柜台申购本基金A类基金份额，假设申购当日A类基金份额净值为1.0400元，申购费率为0.6%，则其可得到的申购份额为：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基金份额持有人持有的每份基金份额最短持有期限为一年，本基金不收取赎回费用。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赎回金额=赎回份额×T日基金份额净值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例七：某投资者赎回持有的10,000份基金份额，假设赎回当日基金份额净值是1.0160元，则其可得到的赎回金额为：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赎回金额=10,000×1.0160＝10,160.00元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即：投资者赎回本基金10,000份基金份额，假设赎回当日基金份额净值是1.0160元，则其可得到的赎回金额为10,160.00元。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w:t>
      </w:r>
      <w:r>
        <w:rPr>
          <w:rFonts w:ascii="宋体" w:hAnsi="宋体"/>
          <w:sz w:val="24"/>
        </w:rPr>
        <w:lastRenderedPageBreak/>
        <w:t>额的比例超过50%，或者变相规避50%集中度的。出现上述情形时，基金管理人有权将上述申购申请全部或部分确认失败。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1、巨额赎回的认定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w:t>
      </w:r>
      <w:r>
        <w:rPr>
          <w:rFonts w:ascii="宋体" w:hAnsi="宋体"/>
          <w:sz w:val="24"/>
        </w:rPr>
        <w:lastRenderedPageBreak/>
        <w:t>“（1）全额赎回”或“（2）部分延期赎回”的约定方式与其他基金份额持有人的赎回申请一并办理。但是，如该类基金份额持有人在当日选择取消赎回，则其当日未获受理的部分赎回申请将被撤销。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（十三）基金的转托管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本基金2021年4月21日刊登公告自2021年4月26日起开通定期定额投资计划业务，具体开通销售机构名单和业务规则参见相关公告。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2" w:name="_Toc240548792"/>
      <w:r>
        <w:rPr>
          <w:rFonts w:ascii="Times New Roman" w:hAnsi="Times New Roman"/>
          <w:sz w:val="30"/>
        </w:rPr>
        <w:lastRenderedPageBreak/>
        <w:t>九、基金的转换</w:t>
      </w:r>
      <w:bookmarkEnd w:id="12"/>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本基金2021年4月21日刊登公告自2021年4月26日起开放日常转换转入业务，2022年1月27日刊登公告自2022年2月7日起开放日常转换转出业务。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3" w:name="_Toc240548793"/>
      <w:r>
        <w:rPr>
          <w:rFonts w:ascii="Times New Roman" w:hAnsi="Times New Roman"/>
          <w:sz w:val="30"/>
        </w:rPr>
        <w:lastRenderedPageBreak/>
        <w:t>十、基金的投资</w:t>
      </w:r>
      <w:bookmarkEnd w:id="13"/>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均衡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（1）“均衡成长”主题的界定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配置风格上均衡偏成长，在公司现有框架的基础上搭建符合自身投资逻辑的持续跟踪池，寻找具备持续创造价值的能力、穿越周期的内生力强、企业盈利情况可跟踪可解释可验证的优质资产，不断提升池内个股的质量，驱动预期回报率系统性提升。通过“可跟踪、可验证、可解释”三方面的定性及定量指标筛选具备持续创造回报能力的公司，拓展优质长久期资产，提升核心池质量，实现预期回报率系统性提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（2）品质筛选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■研发投入指标：如研发投入与营业收入比率、科研人员数量及占比、专利数量及在同行业的占比等。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（3）价值评估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（5）存托凭证的投资策略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w:t>
      </w:r>
      <w:r>
        <w:rPr>
          <w:rFonts w:ascii="宋体" w:hAnsi="宋体"/>
          <w:sz w:val="24"/>
        </w:rPr>
        <w:lastRenderedPageBreak/>
        <w:t>后的收益高的品种进行投资，以期获得长期稳定收益。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（1）股票投资（含存托凭证）占基金资产的比例为60%-95%（其中投资于港股通标的股票的比例占股票资产的0%-50%），投资于均衡成长主题相关证券的比例不低于非现金基金资产的80%；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w:t>
      </w:r>
      <w:r>
        <w:rPr>
          <w:rFonts w:ascii="宋体" w:hAnsi="宋体"/>
          <w:sz w:val="24"/>
        </w:rPr>
        <w:lastRenderedPageBreak/>
        <w:t>该资产支持证券规模的10％；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3）本基金在任何交易日日终，持有的卖出股指期货合约价值不得超过基金持有的股票总市值的20%；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w:t>
      </w:r>
      <w:r>
        <w:rPr>
          <w:rFonts w:ascii="宋体" w:hAnsi="宋体"/>
          <w:sz w:val="24"/>
        </w:rPr>
        <w:lastRenderedPageBreak/>
        <w:t>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本基金业绩比较基准：沪深300成长指数收益率×65%+中债-国债总财富（1-3年）指数收益率×20%+中证港股通综合指数（人民币）收益率×15%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与债券指数作为基准要素；同时基于基金投资股票资产（含存托凭证）占基金资产的比例为60%-95%（其中投资于港股通标的股票的比例占股票资产的0%-50%）等投资比例限制，以及预期的资产配置比例，本基金将股票资产与债券资产所对应的基准要素权重分别设置为80%与20%，其中将股票资产中的A股股票与港股通标的股票所对应的基准要素权重分别设置为65%与15%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以及指数市值覆盖、风格特征、行业与个股分布等，本基金选取沪深300成长指数和中证港股通综合指数（人民币）分别作为A股和港股通标的股票部分的基准要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成长指数由从沪深300指数样本中，选取成长得分最高的100只证券作为沪深300成长指数样本，反映沪深300指数样本中具有成长特征的上市公司证券的整体表现，适合作为本基金A股股票部分的业绩比较基准要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沪深300成长指数由中证指数有限公司编制发布，指数代码为000918，指数具体信息详见中证指数有限公司网站，网址：www.csindex.com.cn。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中证港股通综合指数（人民币）由中证指数有限公司编制发布，指数代码为930933，指数具体信息详见中证指数有限公司网站，网址：www.csindex.com.cn。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成长指数、中证港股通综合指数（人民币）、中债-国债总财富（1-3年）指数的每日收益率，再按照预设权重比例计算当日组合要素基准的日收益率，并连乘每日收益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w:t>
      </w:r>
      <w:r>
        <w:rPr>
          <w:rFonts w:ascii="宋体" w:hAnsi="宋体"/>
          <w:sz w:val="24"/>
        </w:rPr>
        <w:lastRenderedPageBreak/>
        <w:t>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（九）基金的投资组合报告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本基金托管人招商银行股份有限公司根据本基金合同规定，于2025年10月27日复核了本报告中的财务指标、净值表现和投资组合报告等内容，保证复核内容不存在虚假记载、误导性陈述或者重大遗漏。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本报告期为2025年07月01日起至09月30日。本报告财务资料未经审计师审计。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2,195,133,246.65</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85.44</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2,195,133,246.65</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85.44</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10,125,161.64</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10,125,161.64</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342,017,557.99</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13.31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22,062,984.17</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0.86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2,569,338,950.45</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注：本基金本报告期末通过港股通机制投资香港股票的公允价值为420,014,113.35元，占基金资产净值比例为16.97%。</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179,046,190.00</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7.23</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1,519,745,211.39</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61.40</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250,041.01</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26,287,374.96</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49,789,004.94</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2.01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1,311.00</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1,775,119,133.30</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71.71</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273,737,168.29</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11.06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122,728,304.26</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4.96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13,125,739.99</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10,413,121.21</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9,779.60</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420,014,113.35</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16.97</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2,573,816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184,156,534.80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7.44</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389,800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157,354,464.00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6.36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02268 HK</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药明合联</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2,033,000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145,331,717.02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5.87</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1,376,943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121,776,838.92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4.92</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448,842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95,737,998.60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3.87</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582,100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94,065,881.47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3.80</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603119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浙江荣泰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798,400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89,883,872.00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3.63</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601138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工业富联</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1,302,867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86,002,250.67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3.47</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XD</w:t>
            </w:r>
            <w:r>
              <w:rPr>
                <w:rFonts w:ascii="Times New Roman" w:hAnsi="Times New Roman"/>
                <w:color w:val="000000"/>
                <w:kern w:val="0"/>
                <w:sz w:val="25"/>
                <w:szCs w:val="24"/>
              </w:rPr>
              <w:t>紫金矿</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2,919,900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85,961,856.00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3.47</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688041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海光信息</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327,739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82,786,871.40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3.34</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10,125,161.64</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10,125,161.64</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10,125,161.64</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240314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进出</w:t>
            </w: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10,125,161.64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基金投资的前十名股票中，没有超出基金合同规定的备选股票库之外的股票。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748,320.73</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19,596,127.10</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1,158,028.47</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560,507.87</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right"/>
              <w:rPr>
                <w:rFonts w:ascii="宋体" w:hAnsi="宋体"/>
                <w:color w:val="000000"/>
                <w:kern w:val="0"/>
                <w:sz w:val="25"/>
                <w:szCs w:val="24"/>
              </w:rPr>
            </w:pPr>
            <w:r>
              <w:rPr>
                <w:rFonts w:ascii="Times New Roman" w:hAnsi="Times New Roman"/>
                <w:color w:val="000000"/>
                <w:kern w:val="0"/>
                <w:sz w:val="25"/>
                <w:szCs w:val="24"/>
              </w:rPr>
              <w:t>22,062,984.17</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4" w:name="_Toc240548794"/>
      <w:r>
        <w:rPr>
          <w:rFonts w:ascii="Times New Roman" w:hAnsi="Times New Roman"/>
          <w:sz w:val="30"/>
        </w:rPr>
        <w:lastRenderedPageBreak/>
        <w:t>十一、基金的业绩</w:t>
      </w:r>
      <w:bookmarkEnd w:id="14"/>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（1）交银均衡成长一年持有期混合A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28.81%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11.68%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17.13%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12.97%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11.51%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4.86%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-8.50%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-22.88%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-16.18%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-15.50%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27.16%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-4.26%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31.42%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（2）交银均衡成长一年持有期混合C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28.56%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11.68%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16.88%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12.53%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11.07%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4.02%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-9.34%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-23.49%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-16.79%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-16.18%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-2.11%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A146A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26.24%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-4.26%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30.50%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注：本基金的业绩比较基准为沪深300指数收益率×65%+恒生指数收益率×5%+中证综合债券指数收益率×30%，每日进行再平衡过程。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A146AF" w:rsidRDefault="004F41F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交银施罗德均衡成长一年持有期混合型证券投资基金</w:t>
      </w:r>
    </w:p>
    <w:p w:rsidR="00A146AF" w:rsidRDefault="004F41F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A146AF" w:rsidRDefault="004F41F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（2021年02月01日至2025年09月30日）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（1）交银均衡成长一年持有期混合A</w:t>
      </w:r>
    </w:p>
    <w:p w:rsidR="00A146AF" w:rsidRDefault="00426A8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（2）交银均衡成长一年持有期混合C</w:t>
      </w:r>
    </w:p>
    <w:p w:rsidR="00A146AF" w:rsidRDefault="00426A8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5" w:name="_Toc240548795"/>
      <w:r>
        <w:rPr>
          <w:rFonts w:ascii="Times New Roman" w:hAnsi="Times New Roman"/>
          <w:sz w:val="30"/>
        </w:rPr>
        <w:lastRenderedPageBreak/>
        <w:t>十二、基金的财产</w:t>
      </w:r>
      <w:bookmarkEnd w:id="15"/>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6" w:name="_Toc240548796"/>
      <w:r>
        <w:rPr>
          <w:rFonts w:ascii="Times New Roman" w:hAnsi="Times New Roman"/>
          <w:sz w:val="30"/>
        </w:rPr>
        <w:lastRenderedPageBreak/>
        <w:t>十三、基金资产的估值</w:t>
      </w:r>
      <w:bookmarkEnd w:id="16"/>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w:t>
      </w:r>
      <w:r>
        <w:rPr>
          <w:rFonts w:ascii="宋体" w:hAnsi="宋体"/>
          <w:sz w:val="24"/>
        </w:rPr>
        <w:lastRenderedPageBreak/>
        <w:t>基金资产净值除以当日该类基金份额的余额数量计算，精确到0.0001元，小数点后第5位四舍五入。基金管理人可以设立大额赎回情形下的净值精度应急调整机制，具体可参见相关公告。国家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w:t>
      </w:r>
      <w:r>
        <w:rPr>
          <w:rFonts w:ascii="宋体" w:hAnsi="宋体"/>
          <w:sz w:val="24"/>
        </w:rPr>
        <w:lastRenderedPageBreak/>
        <w:t>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（3）当基金份额净值计算差错给基金和基金份额持有人造成损失需要进行赔偿时，基金管理人和基金托管人应根据实际情况界定双方承担的责任，经确认后按以下条款进行赔偿：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w:t>
      </w:r>
      <w:r>
        <w:rPr>
          <w:rFonts w:ascii="宋体" w:hAnsi="宋体"/>
          <w:sz w:val="24"/>
        </w:rPr>
        <w:lastRenderedPageBreak/>
        <w:t>对基金净值予以公布。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7" w:name="_Toc240548797"/>
      <w:r>
        <w:rPr>
          <w:rFonts w:ascii="Times New Roman" w:hAnsi="Times New Roman"/>
          <w:sz w:val="30"/>
        </w:rPr>
        <w:lastRenderedPageBreak/>
        <w:t>十四、基金收益与分配</w:t>
      </w:r>
      <w:bookmarkEnd w:id="17"/>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8" w:name="_Toc240548798"/>
      <w:r>
        <w:rPr>
          <w:rFonts w:ascii="Times New Roman" w:hAnsi="Times New Roman"/>
          <w:sz w:val="30"/>
        </w:rPr>
        <w:lastRenderedPageBreak/>
        <w:t>十五、基金的费用与税收</w:t>
      </w:r>
      <w:bookmarkEnd w:id="18"/>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本基金A类基金份额不收取销售服务费，C类基金份额的销售服务费按前一日C类基金资产净值的0.8%年费率计提。计算方法如下：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19" w:name="_Toc240548799"/>
      <w:r>
        <w:rPr>
          <w:rFonts w:ascii="Times New Roman" w:hAnsi="Times New Roman"/>
          <w:sz w:val="30"/>
        </w:rPr>
        <w:lastRenderedPageBreak/>
        <w:t>十六、基金的会计与审计</w:t>
      </w:r>
      <w:bookmarkEnd w:id="19"/>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0" w:name="_Toc240548800"/>
      <w:r>
        <w:rPr>
          <w:rFonts w:ascii="Times New Roman" w:hAnsi="Times New Roman"/>
          <w:sz w:val="30"/>
        </w:rPr>
        <w:lastRenderedPageBreak/>
        <w:t>十七、基金的信息披露</w:t>
      </w:r>
      <w:bookmarkEnd w:id="20"/>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w:t>
      </w:r>
      <w:r>
        <w:rPr>
          <w:rFonts w:ascii="宋体" w:hAnsi="宋体"/>
          <w:sz w:val="24"/>
        </w:rPr>
        <w:lastRenderedPageBreak/>
        <w:t>保证相关报送信息的真实、准确、完整、及时。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1" w:name="_Toc240548801"/>
      <w:r>
        <w:rPr>
          <w:rFonts w:ascii="Times New Roman" w:hAnsi="Times New Roman"/>
          <w:sz w:val="30"/>
        </w:rPr>
        <w:lastRenderedPageBreak/>
        <w:t>十八、侧袋机制</w:t>
      </w:r>
      <w:bookmarkEnd w:id="21"/>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146AF" w:rsidRDefault="004F41F1">
      <w:pPr>
        <w:pStyle w:val="1"/>
        <w:snapToGrid w:val="0"/>
        <w:spacing w:beforeLines="0" w:before="240" w:after="240"/>
        <w:rPr>
          <w:rFonts w:ascii="宋体" w:hAnsi="宋体"/>
          <w:szCs w:val="30"/>
        </w:rPr>
      </w:pPr>
      <w:bookmarkStart w:id="22" w:name="_Toc240548802"/>
      <w:r>
        <w:rPr>
          <w:rFonts w:ascii="Times New Roman" w:hAnsi="Times New Roman"/>
          <w:sz w:val="30"/>
        </w:rPr>
        <w:lastRenderedPageBreak/>
        <w:t>十九、风险揭示</w:t>
      </w:r>
      <w:bookmarkEnd w:id="22"/>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一年，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的年度对日（含该日）开始办理赎回，具体业务办理时间在赎回开始公告中规定。对于每份基金份额，自其最短持有期限届满的下一工作日起（含该日），基金份额持有人方可就该基金份额提出赎回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一年的基金份额数量，则基金份额持有人的赎回申请将全部被予以拒绝。基金份额持有人需承担赎回申请失败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w:t>
      </w:r>
      <w:r>
        <w:rPr>
          <w:rFonts w:ascii="宋体" w:hAnsi="宋体"/>
          <w:sz w:val="24"/>
        </w:rPr>
        <w:lastRenderedPageBreak/>
        <w:t>比例时，可能由于基金经理的预判与市场的实际表现存在较大差异，出现资产配置不合理的风险，从而对基金收益造成不利影响。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w:t>
      </w:r>
      <w:r>
        <w:rPr>
          <w:rFonts w:ascii="宋体" w:hAnsi="宋体"/>
          <w:sz w:val="24"/>
        </w:rPr>
        <w:lastRenderedPageBreak/>
        <w:t>者系统出现故障等原因造成损失的风险。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（3）退市风险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（4）集中度风险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科创板为新设板块，初期可投标的较少，投资者容易集中投资于少量个股，市场可能存在高集中度状况，整体存在集中度风险。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（5）系统性风险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（6）政策风险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（十）投资港股通标的股票的特定风险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w:t>
      </w:r>
      <w:r>
        <w:rPr>
          <w:rFonts w:ascii="宋体" w:hAnsi="宋体"/>
          <w:sz w:val="24"/>
        </w:rPr>
        <w:lastRenderedPageBreak/>
        <w:t>临汇率风险，汇率波动可能对基金的投资收益造成损失。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台风、黑色暴雨或者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 投资存托凭证的特定风险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w:t>
      </w:r>
      <w:r>
        <w:rPr>
          <w:rFonts w:ascii="宋体" w:hAnsi="宋体"/>
          <w:sz w:val="24"/>
        </w:rPr>
        <w:lastRenderedPageBreak/>
        <w:t>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3" w:name="_Toc240548803"/>
      <w:r>
        <w:rPr>
          <w:rFonts w:ascii="Times New Roman" w:hAnsi="Times New Roman"/>
          <w:sz w:val="30"/>
        </w:rPr>
        <w:lastRenderedPageBreak/>
        <w:t>二十、基金合同的变更、终止与基金财产的清算</w:t>
      </w:r>
      <w:bookmarkEnd w:id="23"/>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4" w:name="_Toc240548804"/>
      <w:r>
        <w:rPr>
          <w:rFonts w:ascii="Times New Roman" w:hAnsi="Times New Roman"/>
          <w:sz w:val="30"/>
        </w:rPr>
        <w:lastRenderedPageBreak/>
        <w:t>二十一、基金合同内容摘要</w:t>
      </w:r>
      <w:bookmarkEnd w:id="24"/>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w:t>
      </w:r>
      <w:r>
        <w:rPr>
          <w:rFonts w:ascii="宋体" w:hAnsi="宋体"/>
          <w:sz w:val="24"/>
        </w:rPr>
        <w:lastRenderedPageBreak/>
        <w:t>加收取表决意见的，不影响表决效力；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或变更的，基金管理人经与基金托管人协商一致并提前公告后，可直接对本部分内容进行修改和调整，无需召开基金份额持有人大会审议。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争议处理期间，基金合同当事人应恪守各自的职责，继续忠实、勤勉、尽责地履行基金合同规定的义务，维护基金份额持有人的合法权益。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5" w:name="_Toc240548805"/>
      <w:r>
        <w:rPr>
          <w:rFonts w:ascii="Times New Roman" w:hAnsi="Times New Roman"/>
          <w:sz w:val="30"/>
        </w:rPr>
        <w:lastRenderedPageBreak/>
        <w:t>二十二、托管协议的内容摘要</w:t>
      </w:r>
      <w:bookmarkEnd w:id="25"/>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w:t>
      </w:r>
      <w:r>
        <w:rPr>
          <w:rFonts w:ascii="宋体" w:hAnsi="宋体"/>
          <w:sz w:val="24"/>
        </w:rPr>
        <w:lastRenderedPageBreak/>
        <w:t>金投资证券选择标准的，基金管理人应事先或定期向基金托管人提供投资品种池，以便基金托管人对基金实际投资是否符合基金合同关于证券选择标准的约定进行监督。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均衡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1）股票投资（含存托凭证）占基金资产的比例为60%-95%（其中投资于港股通标的股票的比例占股票资产的0%-50%），投资于均衡成长主题相关证券的比例不低于非现金基金资产的80%；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3）本基金持有一家公司发行的证券（同一家公司在内地和香港同时上市的A+H股合计计算），其市值不超过基金资产净值的10％；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w:t>
      </w:r>
      <w:r>
        <w:rPr>
          <w:rFonts w:ascii="宋体" w:hAnsi="宋体"/>
          <w:sz w:val="24"/>
        </w:rPr>
        <w:lastRenderedPageBreak/>
        <w:t>展逆回购交易的，可接受质押品的资质要求应当与基金合同约定的投资范围保持一致；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w:t>
      </w:r>
      <w:r>
        <w:rPr>
          <w:rFonts w:ascii="宋体" w:hAnsi="宋体"/>
          <w:sz w:val="24"/>
        </w:rPr>
        <w:lastRenderedPageBreak/>
        <w:t>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w:t>
      </w:r>
      <w:r>
        <w:rPr>
          <w:rFonts w:ascii="宋体" w:hAnsi="宋体"/>
          <w:sz w:val="24"/>
        </w:rPr>
        <w:lastRenderedPageBreak/>
        <w:t>上级行发出存款余额询证函，存款分支机构及其上级行应予配合。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3）账目核对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w:t>
      </w:r>
      <w:r>
        <w:rPr>
          <w:rFonts w:ascii="宋体" w:hAnsi="宋体"/>
          <w:sz w:val="24"/>
        </w:rPr>
        <w:lastRenderedPageBreak/>
        <w:t>中国证监会，同时通知基金管理人在10个工作日内纠正或拒绝结算，若因基金管理人拒不执行造成基金财产损失的，相关损失由基金管理人承担，基金托管人不承担任何责任。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w:t>
      </w:r>
      <w:r>
        <w:rPr>
          <w:rFonts w:ascii="宋体" w:hAnsi="宋体"/>
          <w:sz w:val="24"/>
        </w:rPr>
        <w:lastRenderedPageBreak/>
        <w:t>公司负责登记和存管的，并可在证券交易所或全国银行间债券市场交易的证券。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w:t>
      </w:r>
      <w:r>
        <w:rPr>
          <w:rFonts w:ascii="宋体" w:hAnsi="宋体"/>
          <w:sz w:val="24"/>
        </w:rPr>
        <w:lastRenderedPageBreak/>
        <w:t>中国证监会报告。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两个交易日内，在中国证监会规定媒介披露所投资非公开发行股票的名称、数量、总成本、账面价值，以及总成本和账面价值占基金资产净值的比例、锁定期等信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12、侧袋机制的实施和投资运作安排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（2）基金托管人应安全保管基金财产。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3、基金资金账户的开立和管理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均衡成长一年持有期混合型证券投资基金”，预留印鉴为基金托管人印章。</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低于法律法规规定的最低期限。</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w:t>
      </w:r>
      <w:r>
        <w:rPr>
          <w:rFonts w:ascii="宋体" w:hAnsi="宋体"/>
          <w:sz w:val="24"/>
        </w:rPr>
        <w:lastRenderedPageBreak/>
        <w:t>供的合同传真件与基金管理人留存原件不一致的，以传真件为准。</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6、基金财务报表与报告的编制和复核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（七）争议解决方式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6" w:name="_Toc240548806"/>
      <w:r>
        <w:rPr>
          <w:rFonts w:ascii="Times New Roman" w:hAnsi="Times New Roman"/>
          <w:sz w:val="30"/>
        </w:rPr>
        <w:lastRenderedPageBreak/>
        <w:t>二十三、对基金份额持有人的服务</w:t>
      </w:r>
      <w:bookmarkEnd w:id="26"/>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转换和定期定额投资等业务。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（四）基金红利再投资</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再投资红利按红利再投日（即除息日）除息后的基金份额净值自动转为相应类别的基金份额，并免收申购费用。</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7" w:name="_Toc240548807"/>
      <w:r>
        <w:rPr>
          <w:rFonts w:ascii="Times New Roman" w:hAnsi="Times New Roman"/>
          <w:sz w:val="30"/>
        </w:rPr>
        <w:lastRenderedPageBreak/>
        <w:t>二十四、其他应披露事项</w:t>
      </w:r>
      <w:bookmarkEnd w:id="27"/>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交银施罗德基金管理有限公司关于旗下部分基金投资非公开发行股票的公告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交银施罗德基金管理有限公司关于交银施罗德均衡成长一年持有期混合型证券投资基金基金经理变更公告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2025-09-11</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2025-09-16</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交银施罗德基金管理有限公司关于交银施罗德均衡成长一年持有期混合型证券投资基金基金经理变更公告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2025-09-20</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A146A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交银施罗德均衡成长一年持有期混合型证券投资基金（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146AF" w:rsidRDefault="004F4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bl>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8" w:name="_Toc240548808"/>
      <w:r>
        <w:rPr>
          <w:rFonts w:ascii="Times New Roman" w:hAnsi="Times New Roman"/>
          <w:sz w:val="30"/>
        </w:rPr>
        <w:lastRenderedPageBreak/>
        <w:t>二十五、招募说明书的存放及查阅方式</w:t>
      </w:r>
      <w:bookmarkEnd w:id="28"/>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F41F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146AF" w:rsidRDefault="004F41F1">
      <w:pPr>
        <w:pStyle w:val="1"/>
        <w:snapToGrid w:val="0"/>
        <w:spacing w:beforeLines="0" w:before="240" w:after="240"/>
        <w:rPr>
          <w:rFonts w:ascii="宋体" w:hAnsi="宋体"/>
          <w:szCs w:val="30"/>
        </w:rPr>
      </w:pPr>
      <w:bookmarkStart w:id="29" w:name="_Toc240548809"/>
      <w:r>
        <w:rPr>
          <w:rFonts w:ascii="Times New Roman" w:hAnsi="Times New Roman"/>
          <w:sz w:val="30"/>
        </w:rPr>
        <w:lastRenderedPageBreak/>
        <w:t>二十六、备查文件</w:t>
      </w:r>
      <w:bookmarkEnd w:id="29"/>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（一）中国证监会准予交银施罗德均衡成长一年持有期混合型证券投资基金募集注册的文件</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（二）《交银施罗德均衡成长一年持有期混合型证券投资基金基金合同》</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（三）《交银施罗德均衡成长一年持有期混合型证券投资基金托管协议》</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A146AF" w:rsidRDefault="004F41F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（六）关于申请募集注册交银施罗德均衡成长一年持有期混合型证券投资基金的法律意见书</w:t>
      </w:r>
    </w:p>
    <w:sectPr w:rsidR="00A146AF">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84B" w:rsidRDefault="004F41F1">
      <w:r>
        <w:separator/>
      </w:r>
    </w:p>
  </w:endnote>
  <w:endnote w:type="continuationSeparator" w:id="0">
    <w:p w:rsidR="0009084B" w:rsidRDefault="004F4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A146A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426A8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A146AF" w:rsidRDefault="004F41F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26A8C">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A146A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426A8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A146AF" w:rsidRDefault="004F41F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26A8C">
                  <w:rPr>
                    <w:rFonts w:ascii="Times New Roman" w:hAnsi="Times New Roman"/>
                    <w:noProof/>
                    <w:kern w:val="0"/>
                    <w:sz w:val="18"/>
                    <w:szCs w:val="18"/>
                  </w:rPr>
                  <w:t>169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84B" w:rsidRDefault="004F41F1">
      <w:r>
        <w:separator/>
      </w:r>
    </w:p>
  </w:footnote>
  <w:footnote w:type="continuationSeparator" w:id="0">
    <w:p w:rsidR="0009084B" w:rsidRDefault="004F4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A146A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4F41F1">
    <w:pPr>
      <w:pStyle w:val="a3"/>
      <w:jc w:val="right"/>
      <w:rPr>
        <w:rFonts w:ascii="宋体" w:hAnsi="宋体"/>
      </w:rPr>
    </w:pPr>
    <w:r>
      <w:rPr>
        <w:rFonts w:ascii="宋体" w:hAnsi="宋体" w:hint="eastAsia"/>
      </w:rPr>
      <w:t>交银施罗德均衡成长一年持有期混合型证券投资基金招募说明书更新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A146AF">
    <w:pPr>
      <w:pStyle w:val="10"/>
      <w:jc w:val="right"/>
    </w:pPr>
  </w:p>
  <w:p w:rsidR="00A146AF" w:rsidRDefault="00A146AF">
    <w:pPr>
      <w:pStyle w:val="10"/>
      <w:jc w:val="right"/>
    </w:pPr>
  </w:p>
  <w:p w:rsidR="00A146AF" w:rsidRDefault="00A146AF">
    <w:pPr>
      <w:pStyle w:val="a3"/>
      <w:jc w:val="right"/>
    </w:pPr>
  </w:p>
  <w:p w:rsidR="00A146AF" w:rsidRDefault="004F41F1">
    <w:pPr>
      <w:pStyle w:val="a3"/>
      <w:jc w:val="right"/>
      <w:rPr>
        <w:rFonts w:ascii="宋体" w:hAnsi="宋体"/>
      </w:rPr>
    </w:pPr>
    <w:r>
      <w:rPr>
        <w:rFonts w:ascii="宋体" w:hAnsi="宋体" w:hint="eastAsia"/>
      </w:rPr>
      <w:t>交银施罗德均衡成长一年持有期混合型证券投资基金招募说明书更新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AF" w:rsidRDefault="00A146AF">
    <w:pPr>
      <w:pStyle w:val="a3"/>
      <w:jc w:val="right"/>
    </w:pPr>
  </w:p>
  <w:p w:rsidR="00A146AF" w:rsidRDefault="00A146AF">
    <w:pPr>
      <w:pStyle w:val="a3"/>
      <w:jc w:val="right"/>
    </w:pPr>
  </w:p>
  <w:p w:rsidR="00A146AF" w:rsidRDefault="00A146AF">
    <w:pPr>
      <w:pStyle w:val="a3"/>
      <w:jc w:val="right"/>
    </w:pPr>
  </w:p>
  <w:p w:rsidR="00A146AF" w:rsidRDefault="004F41F1">
    <w:pPr>
      <w:pStyle w:val="a3"/>
      <w:jc w:val="right"/>
      <w:rPr>
        <w:rFonts w:ascii="宋体" w:hAnsi="宋体"/>
      </w:rPr>
    </w:pPr>
    <w:r>
      <w:rPr>
        <w:rFonts w:ascii="宋体" w:hAnsi="宋体" w:hint="eastAsia"/>
      </w:rPr>
      <w:t>交银施罗德均衡成长一年持有期混合型证券投资基金招募说明书更新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084B"/>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6A8C"/>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1F1"/>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146AF"/>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D6978A83-1730-44A0-965E-67C2D5473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170</Pages>
  <Words>18100</Words>
  <Characters>103171</Characters>
  <Application>Microsoft Office Word</Application>
  <DocSecurity>0</DocSecurity>
  <Lines>859</Lines>
  <Paragraphs>242</Paragraphs>
  <ScaleCrop>false</ScaleCrop>
  <Company>Microsoft</Company>
  <LinksUpToDate>false</LinksUpToDate>
  <CharactersWithSpaces>121029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