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B654A">
      <w:pPr>
        <w:rPr>
          <w:sz w:val="32"/>
        </w:rPr>
      </w:pPr>
    </w:p>
    <w:p w:rsidR="00C92FC0" w:rsidRPr="00EB07BC" w:rsidRDefault="008B654A">
      <w:pPr>
        <w:rPr>
          <w:sz w:val="32"/>
        </w:rPr>
      </w:pPr>
    </w:p>
    <w:p w:rsidR="00C92FC0" w:rsidRPr="00EB07BC" w:rsidRDefault="008B654A">
      <w:pPr>
        <w:rPr>
          <w:sz w:val="32"/>
        </w:rPr>
      </w:pPr>
    </w:p>
    <w:p w:rsidR="00F7750F" w:rsidRDefault="00F7750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7750F" w:rsidRDefault="00F7750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7750F" w:rsidRDefault="00F7750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7750F" w:rsidRDefault="00FF43D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交银施罗德稳悦回报债券型证券投资基金</w:t>
      </w:r>
    </w:p>
    <w:p w:rsidR="00F7750F" w:rsidRDefault="00FF43D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7750F" w:rsidRDefault="00F7750F">
      <w:pPr>
        <w:snapToGrid w:val="0"/>
        <w:spacing w:line="360" w:lineRule="auto"/>
        <w:jc w:val="center"/>
        <w:rPr>
          <w:rFonts w:ascii="宋体" w:hAnsi="宋体"/>
          <w:b/>
          <w:sz w:val="30"/>
          <w:szCs w:val="30"/>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F43D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7750F" w:rsidRDefault="00FF43D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7750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7750F" w:rsidRDefault="00FF43D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F7750F" w:rsidRDefault="00F7750F">
      <w:pPr>
        <w:autoSpaceDE w:val="0"/>
        <w:autoSpaceDN w:val="0"/>
        <w:adjustRightInd w:val="0"/>
        <w:snapToGrid w:val="0"/>
        <w:spacing w:line="360" w:lineRule="auto"/>
        <w:ind w:left="1347" w:rightChars="6" w:right="13"/>
        <w:rPr>
          <w:rFonts w:ascii="宋体" w:hAnsi="宋体"/>
          <w:kern w:val="0"/>
          <w:sz w:val="32"/>
          <w:szCs w:val="32"/>
        </w:rPr>
        <w:sectPr w:rsidR="00F7750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7750F" w:rsidRDefault="00FF43DF">
      <w:pPr>
        <w:pStyle w:val="1"/>
        <w:snapToGrid w:val="0"/>
        <w:spacing w:beforeLines="0" w:before="240" w:after="240"/>
        <w:rPr>
          <w:rFonts w:ascii="宋体" w:hAnsi="宋体"/>
          <w:kern w:val="0"/>
        </w:rPr>
      </w:pPr>
      <w:bookmarkStart w:id="0" w:name="_Toc324920538"/>
      <w:bookmarkStart w:id="1" w:name="_Toc496884613"/>
      <w:bookmarkStart w:id="2" w:name="_Toc240548767"/>
      <w:r>
        <w:rPr>
          <w:rFonts w:ascii="Times New Roman" w:hAnsi="Times New Roman"/>
          <w:kern w:val="0"/>
        </w:rPr>
        <w:lastRenderedPageBreak/>
        <w:t>重要提示</w:t>
      </w:r>
      <w:bookmarkEnd w:id="0"/>
      <w:bookmarkEnd w:id="1"/>
      <w:bookmarkEnd w:id="2"/>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交银施罗德稳悦回报债券型证券投资基金（以下简称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1746</w:t>
      </w:r>
      <w:r>
        <w:rPr>
          <w:rFonts w:ascii="Times New Roman" w:hAnsi="Times New Roman"/>
          <w:kern w:val="0"/>
          <w:sz w:val="24"/>
        </w:rPr>
        <w:t>号文准予募集注册。本基金基金合同于</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资产支持证券的特定风险；投资流通受限证券的特定风险；投资港股通标的股票的特定风险；投资科创板股票的特定风险；投资存托凭证的特定风险；投资国债期货的特定风险；信用衍生品投资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万元情形时基金合同终止的风险；本基金法律文件风险收益特征表述与销售机构基金风险评价可能不一致的风险；投资本基金的其他风险等等。</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w:t>
      </w:r>
      <w:r>
        <w:rPr>
          <w:rFonts w:ascii="Times New Roman" w:hAnsi="Times New Roman"/>
          <w:kern w:val="0"/>
          <w:sz w:val="24"/>
        </w:rPr>
        <w:lastRenderedPageBreak/>
        <w:t>高；不能应付可能出现的投资者大额赎回的风险；证券投资中个券和个股的流动性风险等。</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本基金可投资国债期货，国债期货的投资可能给本基金带来额外风险。国债</w:t>
      </w:r>
      <w:r>
        <w:rPr>
          <w:rFonts w:ascii="Times New Roman" w:hAnsi="Times New Roman"/>
          <w:kern w:val="0"/>
          <w:sz w:val="24"/>
        </w:rPr>
        <w:lastRenderedPageBreak/>
        <w:t>期货的投资可能面临市场风险、基差风险、流动性风险。</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为对冲信用风险，本基金可能投资信用衍生品，信用衍生品的投资可能面临流动性风险、偿付风险和价格波动风险。</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F7750F" w:rsidRDefault="00FF43D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日，除非另有说明，本招募说明书基金经理变更相关事项更新截止日为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04</w:t>
      </w:r>
      <w:r>
        <w:rPr>
          <w:rFonts w:ascii="Times New Roman" w:hAnsi="Times New Roman"/>
          <w:kern w:val="0"/>
          <w:sz w:val="24"/>
        </w:rPr>
        <w:t>日，其他所载内容截止日为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F7750F" w:rsidRDefault="00F7750F">
      <w:pPr>
        <w:autoSpaceDE w:val="0"/>
        <w:autoSpaceDN w:val="0"/>
        <w:adjustRightInd w:val="0"/>
        <w:snapToGrid w:val="0"/>
        <w:spacing w:before="51" w:line="360" w:lineRule="auto"/>
        <w:ind w:left="120" w:rightChars="6" w:right="13" w:firstLine="480"/>
        <w:rPr>
          <w:rFonts w:ascii="宋体" w:hAnsi="宋体"/>
          <w:kern w:val="0"/>
          <w:szCs w:val="24"/>
        </w:rPr>
        <w:sectPr w:rsidR="00F7750F">
          <w:headerReference w:type="default" r:id="rId14"/>
          <w:pgSz w:w="11920" w:h="16840"/>
          <w:pgMar w:top="1440" w:right="1680" w:bottom="280" w:left="1680" w:header="0" w:footer="1073" w:gutter="0"/>
          <w:pgNumType w:start="1"/>
          <w:cols w:space="720"/>
        </w:sectPr>
      </w:pPr>
    </w:p>
    <w:p w:rsidR="008B654A" w:rsidRPr="008B654A" w:rsidRDefault="00FF43DF" w:rsidP="008B654A">
      <w:pPr>
        <w:pStyle w:val="ad"/>
        <w:snapToGrid w:val="0"/>
        <w:spacing w:after="240" w:line="360" w:lineRule="auto"/>
        <w:jc w:val="center"/>
        <w:rPr>
          <w:rFonts w:ascii="宋体" w:hAnsi="宋体"/>
          <w:noProof/>
          <w:sz w:val="24"/>
        </w:rPr>
      </w:pPr>
      <w:r w:rsidRPr="008B654A">
        <w:rPr>
          <w:rFonts w:ascii="宋体" w:hAnsi="宋体"/>
          <w:color w:val="000000"/>
          <w:position w:val="-4"/>
          <w:sz w:val="24"/>
          <w:szCs w:val="30"/>
        </w:rPr>
        <w:lastRenderedPageBreak/>
        <w:t>目</w:t>
      </w:r>
      <w:r w:rsidRPr="008B654A">
        <w:rPr>
          <w:rFonts w:ascii="宋体" w:hAnsi="宋体"/>
          <w:color w:val="000000"/>
          <w:position w:val="-4"/>
          <w:sz w:val="24"/>
          <w:szCs w:val="30"/>
        </w:rPr>
        <w:tab/>
        <w:t>录</w:t>
      </w:r>
      <w:r w:rsidR="008B654A" w:rsidRPr="008B654A">
        <w:rPr>
          <w:rFonts w:ascii="宋体" w:hAnsi="宋体"/>
          <w:color w:val="000000"/>
          <w:position w:val="-4"/>
          <w:sz w:val="24"/>
          <w:szCs w:val="30"/>
        </w:rPr>
        <w:fldChar w:fldCharType="begin"/>
      </w:r>
      <w:r w:rsidR="008B654A" w:rsidRPr="008B654A">
        <w:rPr>
          <w:rFonts w:ascii="宋体" w:hAnsi="宋体"/>
          <w:color w:val="000000"/>
          <w:position w:val="-4"/>
          <w:sz w:val="24"/>
          <w:szCs w:val="30"/>
        </w:rPr>
        <w:instrText xml:space="preserve"> TOC \o "1-3" \f - \h \t "-1" </w:instrText>
      </w:r>
      <w:r w:rsidR="008B654A" w:rsidRPr="008B654A">
        <w:rPr>
          <w:rFonts w:ascii="宋体" w:hAnsi="宋体"/>
          <w:color w:val="000000"/>
          <w:position w:val="-4"/>
          <w:sz w:val="24"/>
          <w:szCs w:val="30"/>
        </w:rPr>
        <w:fldChar w:fldCharType="separate"/>
      </w:r>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67" w:history="1">
        <w:r w:rsidRPr="008B654A">
          <w:rPr>
            <w:rStyle w:val="aa"/>
            <w:rFonts w:ascii="宋体" w:hAnsi="宋体" w:hint="eastAsia"/>
            <w:noProof/>
            <w:kern w:val="0"/>
            <w:sz w:val="24"/>
          </w:rPr>
          <w:t>重要提示</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_Toc240548767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68" w:history="1">
        <w:r w:rsidRPr="008B654A">
          <w:rPr>
            <w:rStyle w:val="aa"/>
            <w:rFonts w:ascii="宋体" w:hAnsi="宋体" w:hint="eastAsia"/>
            <w:noProof/>
            <w:sz w:val="24"/>
          </w:rPr>
          <w:t>一、绪言</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_Toc240548768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5</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69" w:history="1">
        <w:r w:rsidRPr="008B654A">
          <w:rPr>
            <w:rStyle w:val="aa"/>
            <w:rFonts w:ascii="宋体" w:hAnsi="宋体" w:hint="eastAsia"/>
            <w:noProof/>
            <w:sz w:val="24"/>
          </w:rPr>
          <w:t>二、释义</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_Toc240548769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6</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0" w:history="1">
        <w:r w:rsidRPr="008B654A">
          <w:rPr>
            <w:rStyle w:val="aa"/>
            <w:rFonts w:ascii="宋体" w:hAnsi="宋体" w:hint="eastAsia"/>
            <w:noProof/>
            <w:sz w:val="24"/>
          </w:rPr>
          <w:t>三、基金管理人</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_Toc240548770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11</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1" w:history="1">
        <w:r w:rsidRPr="008B654A">
          <w:rPr>
            <w:rStyle w:val="aa"/>
            <w:rFonts w:ascii="宋体" w:hAnsi="宋体" w:hint="eastAsia"/>
            <w:noProof/>
            <w:sz w:val="24"/>
          </w:rPr>
          <w:t>四、基金托管人</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_Toc240548771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19</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2" w:history="1">
        <w:r w:rsidRPr="008B654A">
          <w:rPr>
            <w:rStyle w:val="aa"/>
            <w:rFonts w:ascii="宋体" w:hAnsi="宋体" w:hint="eastAsia"/>
            <w:noProof/>
            <w:sz w:val="24"/>
          </w:rPr>
          <w:t>五、相关服务机构</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_Toc240548772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22</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3" w:history="1">
        <w:r w:rsidRPr="008B654A">
          <w:rPr>
            <w:rStyle w:val="aa"/>
            <w:rFonts w:ascii="宋体" w:hAnsi="宋体" w:hint="eastAsia"/>
            <w:noProof/>
            <w:sz w:val="24"/>
          </w:rPr>
          <w:t>六、基金的募集</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_Toc240548773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43</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4" w:history="1">
        <w:r w:rsidRPr="008B654A">
          <w:rPr>
            <w:rStyle w:val="aa"/>
            <w:rFonts w:ascii="宋体" w:hAnsi="宋体" w:hint="eastAsia"/>
            <w:noProof/>
            <w:sz w:val="24"/>
          </w:rPr>
          <w:t>七、基金合同的生效</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_Toc240548774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44</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5" w:history="1">
        <w:r w:rsidRPr="008B654A">
          <w:rPr>
            <w:rStyle w:val="aa"/>
            <w:rFonts w:ascii="宋体" w:hAnsi="宋体" w:hint="eastAsia"/>
            <w:noProof/>
            <w:sz w:val="24"/>
          </w:rPr>
          <w:t>八、基金份额的申购与赎回</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_Toc240548775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45</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6" w:history="1">
        <w:r w:rsidRPr="008B654A">
          <w:rPr>
            <w:rStyle w:val="aa"/>
            <w:rFonts w:ascii="宋体" w:hAnsi="宋体" w:hint="eastAsia"/>
            <w:noProof/>
            <w:sz w:val="24"/>
          </w:rPr>
          <w:t>九、基金的转换</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_Toc240548776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59</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7" w:history="1">
        <w:r w:rsidRPr="008B654A">
          <w:rPr>
            <w:rStyle w:val="aa"/>
            <w:rFonts w:ascii="宋体" w:hAnsi="宋体" w:hint="eastAsia"/>
            <w:noProof/>
            <w:sz w:val="24"/>
          </w:rPr>
          <w:t>十、基金的投资</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_Toc240548777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66</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8" w:history="1">
        <w:r w:rsidRPr="008B654A">
          <w:rPr>
            <w:rStyle w:val="aa"/>
            <w:rFonts w:ascii="宋体" w:hAnsi="宋体" w:hint="eastAsia"/>
            <w:noProof/>
            <w:sz w:val="24"/>
          </w:rPr>
          <w:t>十一、基金的业绩</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_Toc240548778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82</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79" w:history="1">
        <w:r w:rsidRPr="008B654A">
          <w:rPr>
            <w:rStyle w:val="aa"/>
            <w:rFonts w:ascii="宋体" w:hAnsi="宋体" w:hint="eastAsia"/>
            <w:noProof/>
            <w:sz w:val="24"/>
          </w:rPr>
          <w:t>十二、基金的财产</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_Toc240548779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85</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0" w:history="1">
        <w:r w:rsidRPr="008B654A">
          <w:rPr>
            <w:rStyle w:val="aa"/>
            <w:rFonts w:ascii="宋体" w:hAnsi="宋体" w:hint="eastAsia"/>
            <w:noProof/>
            <w:sz w:val="24"/>
          </w:rPr>
          <w:t>十三、基金资产的估值</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_Toc240548780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86</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1" w:history="1">
        <w:r w:rsidRPr="008B654A">
          <w:rPr>
            <w:rStyle w:val="aa"/>
            <w:rFonts w:ascii="宋体" w:hAnsi="宋体" w:hint="eastAsia"/>
            <w:noProof/>
            <w:sz w:val="24"/>
          </w:rPr>
          <w:t>十四、基金收益与分配</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_Toc240548781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93</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2" w:history="1">
        <w:r w:rsidRPr="008B654A">
          <w:rPr>
            <w:rStyle w:val="aa"/>
            <w:rFonts w:ascii="宋体" w:hAnsi="宋体" w:hint="eastAsia"/>
            <w:noProof/>
            <w:sz w:val="24"/>
          </w:rPr>
          <w:t>十五、基金的费用与税收</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_Toc240548782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95</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3" w:history="1">
        <w:r w:rsidRPr="008B654A">
          <w:rPr>
            <w:rStyle w:val="aa"/>
            <w:rFonts w:ascii="宋体" w:hAnsi="宋体" w:hint="eastAsia"/>
            <w:noProof/>
            <w:sz w:val="24"/>
          </w:rPr>
          <w:t>十六、基金的会计与审计</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_Toc240548783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98</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4" w:history="1">
        <w:r w:rsidRPr="008B654A">
          <w:rPr>
            <w:rStyle w:val="aa"/>
            <w:rFonts w:ascii="宋体" w:hAnsi="宋体" w:hint="eastAsia"/>
            <w:noProof/>
            <w:sz w:val="24"/>
          </w:rPr>
          <w:t>十七、基金的信息披露</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_Toc240548784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99</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5" w:history="1">
        <w:r w:rsidRPr="008B654A">
          <w:rPr>
            <w:rStyle w:val="aa"/>
            <w:rFonts w:ascii="宋体" w:hAnsi="宋体" w:hint="eastAsia"/>
            <w:noProof/>
            <w:sz w:val="24"/>
          </w:rPr>
          <w:t>十八、侧袋机制</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_Toc240548785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106</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6" w:history="1">
        <w:r w:rsidRPr="008B654A">
          <w:rPr>
            <w:rStyle w:val="aa"/>
            <w:rFonts w:ascii="宋体" w:hAnsi="宋体" w:hint="eastAsia"/>
            <w:noProof/>
            <w:sz w:val="24"/>
          </w:rPr>
          <w:t>十九、风险揭示</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_Toc240548786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109</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7" w:history="1">
        <w:r w:rsidRPr="008B654A">
          <w:rPr>
            <w:rStyle w:val="aa"/>
            <w:rFonts w:ascii="宋体" w:hAnsi="宋体" w:hint="eastAsia"/>
            <w:noProof/>
            <w:sz w:val="24"/>
          </w:rPr>
          <w:t>二十、基金合同的变更、终止与基金财产的清算</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_Toc240548787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119</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8" w:history="1">
        <w:r w:rsidRPr="008B654A">
          <w:rPr>
            <w:rStyle w:val="aa"/>
            <w:rFonts w:ascii="宋体" w:hAnsi="宋体" w:hint="eastAsia"/>
            <w:noProof/>
            <w:sz w:val="24"/>
          </w:rPr>
          <w:t>二十一、基金合同内容摘要</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_Toc240548788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121</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89" w:history="1">
        <w:r w:rsidRPr="008B654A">
          <w:rPr>
            <w:rStyle w:val="aa"/>
            <w:rFonts w:ascii="宋体" w:hAnsi="宋体" w:hint="eastAsia"/>
            <w:noProof/>
            <w:sz w:val="24"/>
          </w:rPr>
          <w:t>二十二、托管协议的内容摘要</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_Toc240548789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138</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90" w:history="1">
        <w:r w:rsidRPr="008B654A">
          <w:rPr>
            <w:rStyle w:val="aa"/>
            <w:rFonts w:ascii="宋体" w:hAnsi="宋体" w:hint="eastAsia"/>
            <w:noProof/>
            <w:sz w:val="24"/>
          </w:rPr>
          <w:t>二十三、对基金份额持有人的服务</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_Toc240548790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153</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91" w:history="1">
        <w:r w:rsidRPr="008B654A">
          <w:rPr>
            <w:rStyle w:val="aa"/>
            <w:rFonts w:ascii="宋体" w:hAnsi="宋体" w:hint="eastAsia"/>
            <w:noProof/>
            <w:sz w:val="24"/>
          </w:rPr>
          <w:t>二十四、其他应披露事项</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_Toc240548791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155</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92" w:history="1">
        <w:r w:rsidRPr="008B654A">
          <w:rPr>
            <w:rStyle w:val="aa"/>
            <w:rFonts w:ascii="宋体" w:hAnsi="宋体" w:hint="eastAsia"/>
            <w:noProof/>
            <w:sz w:val="24"/>
          </w:rPr>
          <w:t>二十五、招募说明书的存放及查阅方式</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_Toc240548792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157</w:t>
        </w:r>
        <w:r w:rsidRPr="008B654A">
          <w:rPr>
            <w:rFonts w:ascii="宋体" w:hAnsi="宋体"/>
            <w:noProof/>
            <w:sz w:val="24"/>
          </w:rPr>
          <w:fldChar w:fldCharType="end"/>
        </w:r>
      </w:hyperlink>
    </w:p>
    <w:p w:rsidR="008B654A" w:rsidRPr="008B654A" w:rsidRDefault="008B654A" w:rsidP="008B654A">
      <w:pPr>
        <w:pStyle w:val="10"/>
        <w:tabs>
          <w:tab w:val="right" w:leader="dot" w:pos="8550"/>
        </w:tabs>
        <w:spacing w:line="360" w:lineRule="auto"/>
        <w:rPr>
          <w:rFonts w:ascii="宋体" w:hAnsi="宋体" w:cstheme="minorBidi"/>
          <w:noProof/>
          <w:sz w:val="24"/>
        </w:rPr>
      </w:pPr>
      <w:hyperlink w:anchor="_Toc240548793" w:history="1">
        <w:r w:rsidRPr="008B654A">
          <w:rPr>
            <w:rStyle w:val="aa"/>
            <w:rFonts w:ascii="宋体" w:hAnsi="宋体" w:hint="eastAsia"/>
            <w:noProof/>
            <w:sz w:val="24"/>
          </w:rPr>
          <w:t>二十六、备查文件</w:t>
        </w:r>
        <w:r w:rsidRPr="008B654A">
          <w:rPr>
            <w:rFonts w:ascii="宋体" w:hAnsi="宋体"/>
            <w:noProof/>
            <w:sz w:val="24"/>
          </w:rPr>
          <w:tab/>
        </w:r>
        <w:r w:rsidRPr="008B654A">
          <w:rPr>
            <w:rFonts w:ascii="宋体" w:hAnsi="宋体"/>
            <w:noProof/>
            <w:sz w:val="24"/>
          </w:rPr>
          <w:fldChar w:fldCharType="begin"/>
        </w:r>
        <w:r w:rsidRPr="008B654A">
          <w:rPr>
            <w:rFonts w:ascii="宋体" w:hAnsi="宋体"/>
            <w:noProof/>
            <w:sz w:val="24"/>
          </w:rPr>
          <w:instrText xml:space="preserve"> PAGEREF _Toc240548793 \h </w:instrText>
        </w:r>
        <w:r w:rsidRPr="008B654A">
          <w:rPr>
            <w:rFonts w:ascii="宋体" w:hAnsi="宋体"/>
            <w:noProof/>
            <w:sz w:val="24"/>
          </w:rPr>
        </w:r>
        <w:r w:rsidRPr="008B654A">
          <w:rPr>
            <w:rFonts w:ascii="宋体" w:hAnsi="宋体"/>
            <w:noProof/>
            <w:sz w:val="24"/>
          </w:rPr>
          <w:fldChar w:fldCharType="separate"/>
        </w:r>
        <w:r w:rsidRPr="008B654A">
          <w:rPr>
            <w:rFonts w:ascii="宋体" w:hAnsi="宋体"/>
            <w:noProof/>
            <w:sz w:val="24"/>
          </w:rPr>
          <w:t>158</w:t>
        </w:r>
        <w:r w:rsidRPr="008B654A">
          <w:rPr>
            <w:rFonts w:ascii="宋体" w:hAnsi="宋体"/>
            <w:noProof/>
            <w:sz w:val="24"/>
          </w:rPr>
          <w:fldChar w:fldCharType="end"/>
        </w:r>
      </w:hyperlink>
    </w:p>
    <w:p w:rsidR="00F7750F" w:rsidRPr="008B654A" w:rsidRDefault="008B654A" w:rsidP="008B654A">
      <w:pPr>
        <w:pStyle w:val="ad"/>
        <w:snapToGrid w:val="0"/>
        <w:spacing w:after="240" w:line="360" w:lineRule="auto"/>
        <w:jc w:val="center"/>
        <w:rPr>
          <w:rFonts w:ascii="宋体" w:hAnsi="宋体"/>
          <w:color w:val="000000"/>
          <w:sz w:val="24"/>
        </w:rPr>
      </w:pPr>
      <w:r w:rsidRPr="008B654A">
        <w:rPr>
          <w:rFonts w:ascii="宋体" w:hAnsi="宋体"/>
          <w:color w:val="000000"/>
          <w:position w:val="-4"/>
          <w:sz w:val="24"/>
          <w:szCs w:val="30"/>
        </w:rPr>
        <w:fldChar w:fldCharType="end"/>
      </w:r>
      <w:bookmarkStart w:id="3" w:name="_GoBack"/>
      <w:bookmarkEnd w:id="3"/>
    </w:p>
    <w:p w:rsidR="00F7750F" w:rsidRDefault="00F7750F">
      <w:pPr>
        <w:autoSpaceDE w:val="0"/>
        <w:autoSpaceDN w:val="0"/>
        <w:adjustRightInd w:val="0"/>
        <w:snapToGrid w:val="0"/>
        <w:spacing w:line="360" w:lineRule="auto"/>
        <w:ind w:left="120" w:rightChars="6" w:right="13"/>
        <w:rPr>
          <w:rFonts w:ascii="宋体" w:hAnsi="宋体"/>
          <w:kern w:val="0"/>
          <w:szCs w:val="24"/>
        </w:rPr>
        <w:sectPr w:rsidR="00F7750F">
          <w:pgSz w:w="11920" w:h="16840"/>
          <w:pgMar w:top="1480" w:right="1680" w:bottom="280" w:left="1680" w:header="0" w:footer="1073" w:gutter="0"/>
          <w:cols w:space="720"/>
        </w:sectPr>
      </w:pPr>
    </w:p>
    <w:p w:rsidR="00F7750F" w:rsidRDefault="00FF43DF">
      <w:pPr>
        <w:pStyle w:val="1"/>
        <w:snapToGrid w:val="0"/>
        <w:spacing w:beforeLines="0" w:before="240" w:after="240"/>
        <w:rPr>
          <w:rFonts w:ascii="宋体" w:hAnsi="宋体"/>
          <w:szCs w:val="30"/>
        </w:rPr>
      </w:pPr>
      <w:bookmarkStart w:id="4" w:name="_Toc240548768"/>
      <w:r>
        <w:rPr>
          <w:rFonts w:ascii="Times New Roman" w:hAnsi="Times New Roman"/>
          <w:sz w:val="30"/>
        </w:rPr>
        <w:lastRenderedPageBreak/>
        <w:t>一、绪言</w:t>
      </w:r>
      <w:bookmarkEnd w:id="4"/>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悦回报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悦回报债券型证券投资基金基金合同》（以下简称“基金合同”）编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5" w:name="_Toc240548769"/>
      <w:r>
        <w:rPr>
          <w:rFonts w:ascii="Times New Roman" w:hAnsi="Times New Roman"/>
          <w:sz w:val="30"/>
        </w:rPr>
        <w:lastRenderedPageBreak/>
        <w:t>二、释义</w:t>
      </w:r>
      <w:bookmarkEnd w:id="5"/>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1、基金或本基金：指交银施罗德稳悦回报债券型证券投资基金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3、基金托管人：指中国光大银行股份有限公司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4、基金合同或《基金合同》：指《交银施罗德稳悦回报债券型证券投资基金基金合同》及对基金合同的任何有效修订和补充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5、托管协议：指基金管理人与基金托管人就本基金签订之《交银施罗德稳悦回报债券型证券投资基金托管协议》及对该托管协议的任何有效修订和补充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6、招募说明书、《招募说明书》或本招募说明书：指《交银施罗德稳悦回报债券型证券投资基金招募说明书》及其更新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7、基金产品资料概要：指《交银施罗德稳悦回报债券型证券投资基金基金产品资料概要》及其更新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8、基金份额发售公告：指《交银施罗德稳悦回报债券型证券投资基金基金份额发售公告》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48、基金资产总值：指基金拥有的各类有价证券、国债期货合约、银行存款本息、基金应收款项及其他资产的价值总和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52、港股通标的股票：指内地投资者委托内地证券公司，经由内地证券交易所在香港设立的证券交易服务公司，向香港联合交易所进行申报，买卖规定范围内的香港联合交易所上市的股票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57、信用衍生品：指符合证券交易所或银行间市场相关业务规则，专门用于管理信用风险的信用衍生工具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58、信用保护买方：亦称信用保护购买方，指接受信用风险保护的一方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59、信用保护卖方：亦称信用保护提供方，指提供信用风险保护的一方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60、名义本金：亦称交易名义本金，指为信用衍生品交易提供信用风险保护的金额，各项支付和结算以此金额为计算基准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65、不可抗力：指基金合同当事人不能预见、不能避免且不能克服的客观事件</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6" w:name="_Toc240548770"/>
      <w:r>
        <w:rPr>
          <w:rFonts w:ascii="Times New Roman" w:hAnsi="Times New Roman"/>
          <w:sz w:val="30"/>
        </w:rPr>
        <w:lastRenderedPageBreak/>
        <w:t>三、基金管理人</w:t>
      </w:r>
      <w:bookmarkEnd w:id="6"/>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湘怡女士:基金经理。武汉纺织大学会计学学士。16年证券投资行业从业经验，曾任中海基金管理有限公司交易员。2015年加入交银施罗德基金管理有限公司，历任中央交易室高级交易员、专户投资部投资经理、混合资产投资部投资经理、基金经理助理，现任混合资产投资部基金经理。曾任交银施罗德稳进回报六个月持有期混合型证券投资基金(2024年10月23日至2026年05月21日)的基金经理。现任交银施罗德稳悦回报债券型证券投资基金(2024年10月23日至今)、交银施罗德周期回报灵活配置混合型证券投资基金(2024年12月17日至今)、交银施罗德新回报灵活配置混合型证券投资基金(2024年12月26日至今)、交银施罗德恒益灵活配置混合型证券投资基金(2024年12月26日至今)、交银施罗德瑞鑫六个月持有期混合型证券投资基金(2024年12月26日至今)的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森洲先生:基金经理。上海财经大学经济学学士、硕士。12年证券投资行业从业经验。2014年加入交银施罗德基金管理有限公司，曾任交易员、研究部行业分析师、混合资产投资部基金经理，现任权益部基金经理。现任交银施罗德多策略回报灵活配置混合型证券投资基金(2025年01月09日至今)、交银施罗德蓝筹混合型证券投资基金(2025年09月27日至今)、交银施罗德成长混合型证券投资基金(2025年09月27日至今)、交银施罗德稳悦回报债券型证券投资基金(2026年02月04日至今)的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王艺伟女士(2024年03月27日至2026年03月04日)。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樊继拓（多资产研究部副总经理）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3、基金管理人承诺严格遵守基金合同，并承诺建立健全内部控制制度，采取有效措施，防止违反基金合同行为的发生；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w:t>
      </w:r>
      <w:r>
        <w:rPr>
          <w:rFonts w:ascii="宋体" w:hAnsi="宋体"/>
          <w:sz w:val="24"/>
        </w:rPr>
        <w:lastRenderedPageBreak/>
        <w:t>务，依法维护公司合法权益，评估并处理公司运营中发生的法律、内控合规及信息披露相关问题，及时向公司管理层及全体员工传达法规及监管要求。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w:t>
      </w:r>
      <w:r>
        <w:rPr>
          <w:rFonts w:ascii="宋体" w:hAnsi="宋体"/>
          <w:sz w:val="24"/>
        </w:rPr>
        <w:lastRenderedPageBreak/>
        <w:t>责所在，控制风险。</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7" w:name="_Toc240548771"/>
      <w:r>
        <w:rPr>
          <w:rFonts w:ascii="Times New Roman" w:hAnsi="Times New Roman"/>
          <w:sz w:val="30"/>
        </w:rPr>
        <w:lastRenderedPageBreak/>
        <w:t>四、基金托管人</w:t>
      </w:r>
      <w:bookmarkEnd w:id="7"/>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9月30日，中国光大银行股份有限公司托管公开募集证券投资基金共354只，托管基金资产规模6762.77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规定》、《中国光大银行资产托管业务保密规定》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每日进行监督；同时，对基金管理人就基金资产净值的计算、基金管理人和基金托管人报酬的计提和支付、基金收益分配、基金费用支付等行为的合法性、合规性进行监督和核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8" w:name="_Toc240548772"/>
      <w:r>
        <w:rPr>
          <w:rFonts w:ascii="Times New Roman" w:hAnsi="Times New Roman"/>
          <w:sz w:val="30"/>
        </w:rPr>
        <w:lastRenderedPageBreak/>
        <w:t>五、相关服务机构</w:t>
      </w:r>
      <w:bookmarkEnd w:id="8"/>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（3）名称：中国光大银行股份有限公司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（4）名称：中国银河证券股份有限公司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客服电话：95548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（6）名称：中国中金财富证券有限公司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（7）名称：山西证券股份有限公司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（8）名称：西部证券股份有限公司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（9）名称：国投证券股份有限公司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（10）名称：中信建投证券股份有限公司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（11）名称：东方财富证券股份有限公司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（12）名称：国信证券股份有限公司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网址：www.guosen.com.cn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（13）名称：华泰证券股份有限公司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（14）名称：海通证券股份有限公司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（15）名称：华龙证券股份有限公司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（16）名称：招商证券股份有限公司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办公地址：深圳市福田区益田路江苏大厦A座38-45层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（17）名称：中信证券（山东）有限责任公司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（18）名称：国金证券股份有限公司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（20）名称：国泰海通证券股份有限公司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（21）名称：华宝证券股份有限公司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（22）名称：上海中欧财富基金销售有限公司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（23）名称：深圳市新兰德证券投资咨询有限公司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（24）名称：北京展恒基金销售股份有限公司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（25）名称：泛华普益基金销售有限公司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（26）名称：上海联泰基金销售有限公司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（27）名称：宜信普泽（北京）基金销售有限公司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（28）名称：浙江同花顺基金销售有限公司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电话：（021）65370077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（30）名称：中信期货有限公司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（31）名称：蚂蚁（杭州）基金销售有限公司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（32）名称：深圳众禄基金销售股份有限公司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（33）名称：上海长量基金销售有限公司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（34）名称：上海好买基金销售有限公司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（35）名称：诺亚正行基金销售有限公司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（36）名称：和讯信息科技有限公司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（37）名称：上海天天基金销售有限公司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（38）名称：奕丰基金销售有限公司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（39）名称：北京创金启富基金销售有限公司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（40）名称：中证金牛（北京）基金销售有限公司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（41）名称：北京雪球基金销售有限公司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（42）名称：深圳市金斧子基金销售有限公司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（43）名称：上海万得基金销售有限公司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（44）名称：万家财富基金销售（天津）有限公司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（45）名称：上海挖财基金销售有限公司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客服电话：400-711-8718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（46）名称：上海陆金所基金销售有限公司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（47）名称：北京虹点基金销售有限公司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（48）名称：上海利得基金销售有限公司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（49）名称：北京汇成基金销售有限公司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（50）名称：嘉实财富管理有限公司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（51）名称：南京苏宁基金销售有限公司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（52）名称：北京度小满基金销售有限公司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机构联系人：王笑宇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（53）名称：上海华夏财富投资管理有限公司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（55）名称：腾安基金销售（深圳）有限公司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（56）名称：和耕传承基金销售有限公司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（57）名称：上海大智慧基金销售有限公司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（58）名称：京东肯特瑞基金销售有限公司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（59）名称：玄元保险代理有限公司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（60）名称：阳光人寿保险股份有限公司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（61）名称：大连网金基金销售有限公司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（62）名称：博时财富基金销售有限公司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法定代表人：王德英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（63）名称：济安财富（北京）基金销售有限公司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联系人：丁媛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9" w:name="_Toc240548773"/>
      <w:r>
        <w:rPr>
          <w:rFonts w:ascii="Times New Roman" w:hAnsi="Times New Roman"/>
          <w:sz w:val="30"/>
        </w:rPr>
        <w:lastRenderedPageBreak/>
        <w:t>六、基金的募集</w:t>
      </w:r>
      <w:bookmarkEnd w:id="9"/>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本基金由基金管理人依照《基金法》、《运作办法》、《销售办法》、基金合同及其他有关规定，并经中国证监会2023年8月11日证监许可【2023】1746号文准予募集注册。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本基金2024年2月8日至2024年3月22日进行发售，本基金设立募集期共募集1,709,931,415.39份基金份额，有效认购户数为9,743户。</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0" w:name="_Toc240548774"/>
      <w:r>
        <w:rPr>
          <w:rFonts w:ascii="Times New Roman" w:hAnsi="Times New Roman"/>
          <w:sz w:val="30"/>
        </w:rPr>
        <w:lastRenderedPageBreak/>
        <w:t>七、基金合同的生效</w:t>
      </w:r>
      <w:bookmarkEnd w:id="10"/>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根据有关规定，本基金满足基金合同生效条件，基金合同已于2024年3月27日正式生效。自基金合同生效之日起，本基金管理人正式开始管理本基金。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1" w:name="_Toc240548775"/>
      <w:r>
        <w:rPr>
          <w:rFonts w:ascii="Times New Roman" w:hAnsi="Times New Roman"/>
          <w:sz w:val="30"/>
        </w:rPr>
        <w:lastRenderedPageBreak/>
        <w:t>八、基金份额的申购与赎回</w:t>
      </w:r>
      <w:bookmarkEnd w:id="11"/>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本基金已于2024年4月26日起开放申购、赎回业务。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w:t>
      </w:r>
      <w:r>
        <w:rPr>
          <w:rFonts w:ascii="宋体" w:hAnsi="宋体"/>
          <w:sz w:val="24"/>
        </w:rPr>
        <w:lastRenderedPageBreak/>
        <w:t>基金财产，主要用于本基金的市场推广、销售、登记等各项费用。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投资人可以多次申购本基金，A类基金份额的申购费用按A类基金份额每笔申购申请单独计算。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赎回该类基金份额的基金份额持有人承担，在基金份额持有人赎回基金份额时收取。对于持续持有期间少于7日的投资人收取的赎回费全额计入基金财产，对于持续持有期间大于等于7日的投资人收取的赎回费总额的25%应归基金财产，其余用于支付登记费和其他必要的手续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7750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—180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7750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7750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7750F" w:rsidRDefault="00F7750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销活动期间，基金管理人可以按中国证监会要求履行必要手续后，对投资人适当调低基金销售费用。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例四：某投资者（非养老金客户）投资100,000.00元申购本基金的A类基金份额，假设申购当日A类基金份额净值为1.0400元，申购费率为0.8%，则其可得到的申购份额为：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净申购金额=100,000.00/（1+0.8%）=99,206.35元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申购费用=100,000.00-99,206.35=793.65元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申购份额=99,206.35/1.0400=95,390.72份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即：某投资者（非养老金客户）投资100,000.00元申购本基金的A类基金份额，假设申购当日A类基金份额净值为1.0400元，则其可得到95,390.72份A类基金</w:t>
      </w:r>
      <w:r>
        <w:rPr>
          <w:rFonts w:ascii="宋体" w:hAnsi="宋体"/>
          <w:sz w:val="24"/>
        </w:rPr>
        <w:lastRenderedPageBreak/>
        <w:t>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例五：某养老金客户投资1,000,000.00元通过基金管理人的直销柜台申购本基金的A类基金份额，假设申购当日A类基金份额净值为1.0400元，申购费率为0.18%，则其可得到的申购份额为：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净申购金额=1,000,000.00/（1+0.18%）=998,203.23元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申购费用=1,000,000.00-998,203.23=1,796.77元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申购份额=998,203.23/1.0400=959,810.80份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即：该养老金客户投资1,000,000.00元通过基金管理人的直销柜台申购本基金的A类基金份额，假设申购当日A类基金份额净值为1.0400元，则其可得到959,810.80份A类基金份额。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例七：某投资者赎回持有的10,000.00份A类基金份额，持有期限为30日，对应的赎回费率为0.5%，假设赎回当日A类基金份额净值是1.0160元，则其可得到的赎回金额为：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赎回费用=10,000.00×1.0160×0.5%＝50.80元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即：该投资者赎回本基金10,000.00份A类基金份额，持有期限为30日，对应的赎回费率为0.5%，假设赎回当日A类基金份额净值是1.0160元，则其可得到的赎回金额为10,109.20元。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例八：某投资者赎回持有的10,000.00份C类基金份额，持有时间为20日，对应的赎回费率为0，假设赎回当日C类基金份额净值是1.0160元，则其可得到的赎回金额为：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赎回金额=10,000.00×1.0160-0＝10160.00元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即：投资者赎回本基金10,000.00份C类基金份额，持有时间为20日，对应的赎回费率为0，假设赎回当日C类基金份额净值是1.0160元，则其可得到的赎回金额为10160.00元。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w:t>
      </w:r>
      <w:r>
        <w:rPr>
          <w:rFonts w:ascii="宋体" w:hAnsi="宋体"/>
          <w:sz w:val="24"/>
        </w:rPr>
        <w:lastRenderedPageBreak/>
        <w:t>自动延期赎回处理。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w:t>
      </w:r>
      <w:r>
        <w:rPr>
          <w:rFonts w:ascii="宋体" w:hAnsi="宋体"/>
          <w:sz w:val="24"/>
        </w:rPr>
        <w:lastRenderedPageBreak/>
        <w:t>时间，届时不再另行发布重新开放的公告。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本基金2024年4月25日刊登公告自2024年4月26日起开通定期定额投资计划业务，具体开通销售机构名单和业务规则参见相关公告。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（十七）实施侧袋机制期间本基金的申购与赎回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2" w:name="_Toc240548776"/>
      <w:r>
        <w:rPr>
          <w:rFonts w:ascii="Times New Roman" w:hAnsi="Times New Roman"/>
          <w:sz w:val="30"/>
        </w:rPr>
        <w:lastRenderedPageBreak/>
        <w:t>九、基金的转换</w:t>
      </w:r>
      <w:bookmarkEnd w:id="12"/>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本基金2024年4月25日刊登公告自2024年4月26日起开放日常转换业务。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3" w:name="_Toc240548777"/>
      <w:r>
        <w:rPr>
          <w:rFonts w:ascii="Times New Roman" w:hAnsi="Times New Roman"/>
          <w:sz w:val="30"/>
        </w:rPr>
        <w:lastRenderedPageBreak/>
        <w:t>十、基金的投资</w:t>
      </w:r>
      <w:bookmarkEnd w:id="13"/>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投资于股票（含存托凭证）、可转换债券（含可分离交易可转换债券）、可交换公司债券的比例合计不超过基金资产的20%（其中投资于港股通标的股票的比例占股票资产的0%-50%）；每个交易日日终在扣除国债期货合约需缴纳的交易保证金后，本基金持有的现金或者到期日在一年以内的政府债券的比例合计不低于基金资产净值的5%，其中现金不包括结算备付金、存出保证金、应收申购款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F7750F" w:rsidRDefault="00FF43DF">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盈利能力指标：如市盈率（P/E）、市现率（P/Cash Flow）、股价与每股自由现金流比率（P/FCF）、市销率（P/S）、股价与每股息税前利润比率（P/EBIT）等；</w:t>
      </w:r>
    </w:p>
    <w:p w:rsidR="00F7750F" w:rsidRDefault="00FF43DF">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经营效率指标：如净资产收益率（ROE）、资产收益率（ROA）、经营资产回报率（Return on operating assets）等；</w:t>
      </w:r>
    </w:p>
    <w:p w:rsidR="00F7750F" w:rsidRDefault="00FF43DF">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财务状况指标：如资产负债率（D/A）、流动比率等；</w:t>
      </w:r>
    </w:p>
    <w:p w:rsidR="00F7750F" w:rsidRDefault="00FF43DF">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研发投入指标：如研发投入与营业收入比率、科研人员数量及占比、专利数量及在同行业的占比等。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本基金可根据投资策略需要或不同配置地市场环境的变化，选择将部分基金资产投资于港股或选择不将基金资产投资于港股，基金资产并非必然投资港股。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与可交换公司债券投资策略等多种策略，以期获取债券市场的长期稳定收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（5）信用债券（含资产支持证券，下同）投资策略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w:t>
      </w:r>
      <w:r>
        <w:rPr>
          <w:rFonts w:ascii="宋体" w:hAnsi="宋体"/>
          <w:sz w:val="24"/>
        </w:rPr>
        <w:lastRenderedPageBreak/>
        <w:t>级，并在信用评级的基础上，建立本基金的信用债券池。基金经理从信用债券池中精选债券构建信用债券投资组合。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20%，投资于评级AAA的信用债比例不低于信用债资产的80%。因信用评级下降、证券市场波动、基金规模变动等基金管理人之外的因素致使基金投资比例不符合上述规定的，基金管理人应当在评级报告发布之日或不符合上述规定之日起3个月内调整至符合比例。上述信用债不包括可转换债券（含可分离交易可转换债券）、可交换公司债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（6）可转换债券（含可分离交易可转换债券）与可交换公司债券投资策略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票（含存托凭证）、可转换债券（含可分离交易可转换债券）、可交换公司债券比例合计不超过基金资产的20%，因证券市场波动、基金规模变动等基金管理人之外的因素致使基金投资比例不符合上述规定的，基金管理人应当在不符合上述规定之日起3个月内进行调整。本基金对于可转换债券（含可分离交易可转换债券）与可交换公司债券股性的研究将完全依托于公司投研团队对标的股票的研究，在此基础上利用可转换债券（含可分离交易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与可交换公司债券进行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w:t>
      </w:r>
      <w:r>
        <w:rPr>
          <w:rFonts w:ascii="宋体" w:hAnsi="宋体"/>
          <w:sz w:val="24"/>
        </w:rPr>
        <w:lastRenderedPageBreak/>
        <w:t>息税前利润比率等）、经营效率指标（如净资产收益率、资产收益率、经营资产回报率等）、财务状况指标（如资产负债率、流动比率等）等进行定量分析，选择基本面优质且估值合理的正股。综上所述，本基金将结合可转换债券与可交换公司债券自身的信用评估和其正股的价值分析来进行个券的筛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4、国债期货投资策略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5、信用衍生品投资策略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照风险管理原则，以风险对冲为目的参与信用衍生品交易。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投资于股票（含存托凭证）、可转换债券（含可分离交易可转换债券）、可交换公司债券的比例合计不超过基金资产的20%（其中投资于港股通标的股票的比例占股票资产的0%-50%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者到期日在一年以内的政府债券的比例合计不低于基金资产净值的5%，其中现金不包括结算备付金、存出保证金、应收申购款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w:t>
      </w:r>
      <w:r>
        <w:rPr>
          <w:rFonts w:ascii="宋体" w:hAnsi="宋体"/>
          <w:sz w:val="24"/>
        </w:rPr>
        <w:lastRenderedPageBreak/>
        <w:t>数的构成比例进行证券投资的基金品种可以不受此条款规定的比例限制；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w:t>
      </w:r>
      <w:r>
        <w:rPr>
          <w:rFonts w:ascii="宋体" w:hAnsi="宋体"/>
          <w:sz w:val="24"/>
        </w:rPr>
        <w:lastRenderedPageBreak/>
        <w:t>金管理人之外的因素致使基金不符合前述所规定比例限制的，基金管理人应在3个月之内进行调整；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（15）本基金参与国债期货交易，需遵守下列投资比例限制：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本基金业绩比较基准：中债-新综合财富（1-3年）指数收益率×85%+沪深300指数收益率×7%+中证港股通综合指数（人民币）收益率×3%+活期存款基准利率×5%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A股股票、港股通标的股票等资产，相应选取与之匹配的A股指数、港股指数、债券指数作为基准要素。同时基于基金投资于债券资产的比例不低于基金资产的80%；投资于股票（含存托凭证）、可转换债券（含可分离交易可转换债券）、可交换公司债券的比例合计不超过基金资产的20%（其中港股通标的股票的比例占股票资产的0%-50%）等投资比例限制，以及预期的资产配置比例中枢，本基金将债券资产、股票资产和现金类资产所对应的基准要素权重分别设置为85%、10%和5%，其中将股票资产中的A股股票与港股通标的股票所对应的基准要素权重分别设置为7%与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新综合财富（1-3年）指数作为</w:t>
      </w:r>
      <w:r>
        <w:rPr>
          <w:rFonts w:ascii="宋体" w:hAnsi="宋体"/>
          <w:sz w:val="24"/>
        </w:rPr>
        <w:lastRenderedPageBreak/>
        <w:t>债券部分的业绩比较基准要素。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中债-新综合财富（1-3年）指数成份券包含除资产支持证券、美元债券、可转债以外的在境内公开发行且上市流通的债券，成份券待偿期限在1-3年（含 1年），反映境内人民币短久期债券市场价格走势情况，适合作为本基金债券部分的业绩比较基准要素。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和中证港股通综合指数（人民币）分别作为A股股票和港股通标的股票部分的业绩比较基准要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A股股票部分的业绩比较基准要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中证港股通综合指数（人民币）选取符合港股通资格的上市公司证券作为样本，反映港股通范围内上市公司的整体表现，适合作为本基金港股通标的股票部分的业绩比较基准要素。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（4）基于基金投资目标、投资范围和投资策略，本基金可持有一定比例现金类资产，以匹配流动性管理需求。活期存款基准利率具有较强的权威性和市场影响力，适合作为本基金现金类资产的业绩比较基准。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中债-新综合财富（1-3年）指数由中债金融估值中心有限公司编制发布，指数代码为CBA00121，指数具体信息详见中国债券信息网，网址：www.chinabond.com.cn。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w:t>
      </w:r>
      <w:r>
        <w:rPr>
          <w:rFonts w:ascii="宋体" w:hAnsi="宋体"/>
          <w:sz w:val="24"/>
        </w:rPr>
        <w:lastRenderedPageBreak/>
        <w:t>930933，指数具体信息详见中证指数有限公司网站，网址：www.csindex.com.cn。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新综合财富（1-3年）指数、沪深300指数、中证港股通综合指数（人民币）、活期存款基准利率的每日收益率，再按照预设权重比例计算当日组合要素基准的日收益率，并连乘每日收益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跟踪误差、信息比率、资产配置比例、久期中枢等，以更好管理基金实际投资与业绩比较基准的偏离情况，从而力争在控制风险的基础上追求超越业绩比较基准的投资回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（3）中国证监会认可的其他情形。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基金托管人中国光大银行股份有限公司根据本基金合同规定，于2025年10月27日复核了本报告中的财务指标、净值表现和投资组合报告等内容，保证复核内容不存在虚假记载、误导性陈述或者重大遗漏。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本报告期为2025年07月01日起至09月30日。本报告财务资料未经审计师审计。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6,704,649.48</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3.52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6,704,649.48</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3.52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169,210,093.55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88.79</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169,210,093.55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88.79</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10,374,952.05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5.44</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4,274,062.98</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12,571.29</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190,576,329.35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注：本基金本报告期末通过港股通机制投资香港股票的公允价值为640,259.19元，占基金资产净值比例为0.34%。</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416,144.00</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4,376,343.29</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H</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975,490.00</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196,402.00</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100,011.00</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6,064,390.29</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3.19</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258,889.18</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193,916.95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121,061.15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66,391.91</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640,259.19</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600919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江苏银行</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36,600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367,098.00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4,100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293,355.00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002508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老板电器</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14,700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280,476.00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000672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上峰水泥</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21,500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236,930.00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601555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东吴证券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22,800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223,440.00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002714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牧原股份</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4,200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222,600.00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688385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复旦微电</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3,274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218,212.10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航天彩虹</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9,400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217,234.00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603049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中策橡胶</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4,100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207,255.00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002709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天赐材料</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5,300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202,301.00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9,823,409.91</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5.17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17,055,727.56</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8.97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10,131,689.32</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5.33</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10,007,989.04</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122,006,424.11</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64.17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184,853.61</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169,210,093.55</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88.99</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102281302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长沙轨交</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10,342,597.81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5.44</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102480325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西安高新</w:t>
            </w:r>
            <w:r>
              <w:rPr>
                <w:rFonts w:ascii="Times New Roman" w:hAnsi="Times New Roman"/>
                <w:color w:val="000000"/>
                <w:kern w:val="0"/>
                <w:sz w:val="25"/>
                <w:szCs w:val="24"/>
              </w:rPr>
              <w:t>MTN002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10,310,391.78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102281621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唐山实业</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10,298,598.36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102281752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中节能</w:t>
            </w:r>
            <w:r>
              <w:rPr>
                <w:rFonts w:ascii="Times New Roman" w:hAnsi="Times New Roman"/>
                <w:color w:val="000000"/>
                <w:kern w:val="0"/>
                <w:sz w:val="25"/>
                <w:szCs w:val="24"/>
              </w:rPr>
              <w:t>MTN006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10,273,658.08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5.40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102481280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深圳特发</w:t>
            </w:r>
            <w:r>
              <w:rPr>
                <w:rFonts w:ascii="Times New Roman" w:hAnsi="Times New Roman"/>
                <w:color w:val="000000"/>
                <w:kern w:val="0"/>
                <w:sz w:val="25"/>
                <w:szCs w:val="24"/>
              </w:rPr>
              <w:t>MTN002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10,244,625.21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9、报告期末本基金投资的国债期货交易情况说明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w:t>
            </w:r>
            <w:r>
              <w:rPr>
                <w:rFonts w:ascii="Times New Roman" w:hAnsi="Times New Roman"/>
                <w:color w:val="000000"/>
                <w:kern w:val="0"/>
                <w:sz w:val="25"/>
                <w:szCs w:val="24"/>
              </w:rPr>
              <w:t>/</w:t>
            </w:r>
            <w:r>
              <w:rPr>
                <w:rFonts w:ascii="Times New Roman" w:hAnsi="Times New Roman"/>
                <w:color w:val="000000"/>
                <w:kern w:val="0"/>
                <w:sz w:val="25"/>
                <w:szCs w:val="24"/>
              </w:rPr>
              <w:t>卖）</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风险指标说明</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国债期货投资本期收益（元）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1,248.93</w:t>
            </w:r>
          </w:p>
        </w:tc>
      </w:tr>
      <w:tr w:rsidR="00F7750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国债期货投资本期公允价值变动（元）</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相关交易对基金总体风险的影响可控，执行既定的投资政策和投资目标。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12,061.69</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509.60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12,571.29</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鲁泰转债</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184,853.61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4" w:name="_Toc240548778"/>
      <w:r>
        <w:rPr>
          <w:rFonts w:ascii="Times New Roman" w:hAnsi="Times New Roman"/>
          <w:sz w:val="30"/>
        </w:rPr>
        <w:lastRenderedPageBreak/>
        <w:t>十一、基金的业绩</w:t>
      </w:r>
      <w:bookmarkEnd w:id="14"/>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（1）交银稳悦回报债券A：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2.36%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6.71%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-4.35%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（2）交银稳悦回报债券C：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F7750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6.71%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-4.67%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bl>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注：本基金的业绩比较基准为沪深300指数收益率×8%+恒生指数收益率×2%+中证综合债券指数收益率×90%，每日进行再平衡过程。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F7750F" w:rsidRDefault="00FF43D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交银施罗德稳悦回报债券型证券投资基金</w:t>
      </w:r>
    </w:p>
    <w:p w:rsidR="00F7750F" w:rsidRDefault="00FF43D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份额累计净值增长率与业绩比较基准收益率的历史走势对比图</w:t>
      </w:r>
    </w:p>
    <w:p w:rsidR="00F7750F" w:rsidRDefault="00FF43D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（2024年3月27日至2025年09月30日）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（1）交银稳悦回报债券A</w:t>
      </w:r>
    </w:p>
    <w:p w:rsidR="00F7750F" w:rsidRDefault="008B654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（2）交银稳悦回报债券C</w:t>
      </w:r>
    </w:p>
    <w:p w:rsidR="00F7750F" w:rsidRDefault="008B654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7750F" w:rsidRDefault="00FF43DF">
      <w:pPr>
        <w:pStyle w:val="1"/>
        <w:snapToGrid w:val="0"/>
        <w:spacing w:beforeLines="0" w:before="240" w:after="240"/>
        <w:rPr>
          <w:rFonts w:ascii="宋体" w:hAnsi="宋体"/>
          <w:szCs w:val="30"/>
        </w:rPr>
      </w:pPr>
      <w:bookmarkStart w:id="15" w:name="_Toc240548779"/>
      <w:r>
        <w:rPr>
          <w:rFonts w:ascii="Times New Roman" w:hAnsi="Times New Roman"/>
          <w:sz w:val="30"/>
        </w:rPr>
        <w:lastRenderedPageBreak/>
        <w:t>十二、基金的财产</w:t>
      </w:r>
      <w:bookmarkEnd w:id="15"/>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6" w:name="_Toc240548780"/>
      <w:r>
        <w:rPr>
          <w:rFonts w:ascii="Times New Roman" w:hAnsi="Times New Roman"/>
          <w:sz w:val="30"/>
        </w:rPr>
        <w:lastRenderedPageBreak/>
        <w:t>十三、基金资产的估值</w:t>
      </w:r>
      <w:bookmarkEnd w:id="16"/>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基金所拥有的股票、债券、资产支持证券、国债期货和其他投资等持续以公允价值计量的金融资产及负债。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4、同一证券同时在两个或两个以上市场交易的，按证券所处的市场分别估值。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估值计算中涉及港币对人民币汇率的，将依据下列信息提供机构所提供的汇率为基准：当日中国人民银行或其授权机构当日公布的人民币与港币的中间价。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6、本基金投资国债期货合约，一般以估值当日结算价进行估值，估值当日无结算价的，且最近交易日后经济环境未发生重大变化的，采用最近交易日结算价估值。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w:t>
      </w:r>
      <w:r>
        <w:rPr>
          <w:rFonts w:ascii="宋体" w:hAnsi="宋体"/>
          <w:sz w:val="24"/>
        </w:rPr>
        <w:lastRenderedPageBreak/>
        <w:t>国家最新规定估值。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w:t>
      </w:r>
      <w:r>
        <w:rPr>
          <w:rFonts w:ascii="宋体" w:hAnsi="宋体"/>
          <w:sz w:val="24"/>
        </w:rPr>
        <w:lastRenderedPageBreak/>
        <w:t>计算差错、系统故障差错、下达指令差错等。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（3）根据估值错误处理原则或当事人协商的方法由估值错误的责任方进行更正和赔偿损失；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（2）任一类基金份额的错误偏差达到该类基金份额净值的0.25%时，基金管理人应当通报基金托管人并报中国证监会备案；错误偏差达到该类基金份额净值的0.5%时，基金管理人应当公告，并报中国证监会备案。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1、基金投资所涉及的证券、期货交易市场或外汇交易市场遇法定节假日或因其他原因暂停营业时；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各类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w:t>
      </w:r>
      <w:r>
        <w:rPr>
          <w:rFonts w:ascii="宋体" w:hAnsi="宋体"/>
          <w:sz w:val="24"/>
        </w:rPr>
        <w:lastRenderedPageBreak/>
        <w:t>该错误而造成的基金资产估值错误，基金管理人、基金托管人免除赔偿责任。但基金管理人、基金托管人应积极采取必要的措施减轻或消除由此造成的影响。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7" w:name="_Toc240548781"/>
      <w:r>
        <w:rPr>
          <w:rFonts w:ascii="Times New Roman" w:hAnsi="Times New Roman"/>
          <w:sz w:val="30"/>
        </w:rPr>
        <w:lastRenderedPageBreak/>
        <w:t>十四、基金收益与分配</w:t>
      </w:r>
      <w:bookmarkEnd w:id="17"/>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8" w:name="_Toc240548782"/>
      <w:r>
        <w:rPr>
          <w:rFonts w:ascii="Times New Roman" w:hAnsi="Times New Roman"/>
          <w:sz w:val="30"/>
        </w:rPr>
        <w:lastRenderedPageBreak/>
        <w:t>十五、基金的费用与税收</w:t>
      </w:r>
      <w:bookmarkEnd w:id="18"/>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经基金管理人授权后，由基金托管人根据与基金管理人核对一致的财务数据，自动在月初5个工作日内、按照指定的账户路径进行资金支付，基金管理人无需再出具资金划拨指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本基金的托管费按前一日基金资产净值的0.15%年费率计提。托管费的计算方</w:t>
      </w:r>
      <w:r>
        <w:rPr>
          <w:rFonts w:ascii="宋体" w:hAnsi="宋体"/>
          <w:sz w:val="24"/>
        </w:rPr>
        <w:lastRenderedPageBreak/>
        <w:t>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经基金管理人授权后，由基金托管人根据与基金管理人核对一致的财务数据，自动在月初5个工作日内、按照指定的账户路径进行资金支付，基金管理人无需再出具资金划拨指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本基金A类基金份额不收取销售服务费，C类基金份额的销售服务费按前一日C类基金份额的基金资产净值的0.4%年费率计提。计算方法如下：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按月支付，经基金管理人授权后，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19" w:name="_Toc240548783"/>
      <w:r>
        <w:rPr>
          <w:rFonts w:ascii="Times New Roman" w:hAnsi="Times New Roman"/>
          <w:sz w:val="30"/>
        </w:rPr>
        <w:lastRenderedPageBreak/>
        <w:t>十六、基金的会计与审计</w:t>
      </w:r>
      <w:bookmarkEnd w:id="19"/>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0" w:name="_Toc240548784"/>
      <w:r>
        <w:rPr>
          <w:rFonts w:ascii="Times New Roman" w:hAnsi="Times New Roman"/>
          <w:sz w:val="30"/>
        </w:rPr>
        <w:lastRenderedPageBreak/>
        <w:t>十七、基金的信息披露</w:t>
      </w:r>
      <w:bookmarkEnd w:id="20"/>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13、基金投资港股通标的股票情况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14、投资于国债期货的信息披露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投资政策、持仓情况、损益情况、风险指标等，并充分揭示国债期货交易对基金总体风险的影响以及是否符合既定的投资政策和投资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15、投资于信用衍生品的信息披露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基金管理人应在定期报告及招募说明书（更新）等文件中详细披露信用衍生品的投资情况，包括投资策略、持仓情况等，并充分揭示投资信用衍生品对基金总体风险的影响以及是否符合既定的投资目标及策略。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16、中国证监会规定的其他信息。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w:t>
      </w:r>
      <w:r>
        <w:rPr>
          <w:rFonts w:ascii="宋体" w:hAnsi="宋体"/>
          <w:sz w:val="24"/>
        </w:rPr>
        <w:lastRenderedPageBreak/>
        <w:t>申购赎回价格、基金定期报告、更新的招募说明书、基金产品资料概要、基金清算报告等相关基金信息进行复核、审查，并向基金管理人进行书面或电子确认。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1" w:name="_Toc240548785"/>
      <w:r>
        <w:rPr>
          <w:rFonts w:ascii="Times New Roman" w:hAnsi="Times New Roman"/>
          <w:sz w:val="30"/>
        </w:rPr>
        <w:lastRenderedPageBreak/>
        <w:t>十八、侧袋机制</w:t>
      </w:r>
      <w:bookmarkEnd w:id="21"/>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7750F" w:rsidRDefault="00FF43DF">
      <w:pPr>
        <w:pStyle w:val="1"/>
        <w:snapToGrid w:val="0"/>
        <w:spacing w:beforeLines="0" w:before="240" w:after="240"/>
        <w:rPr>
          <w:rFonts w:ascii="宋体" w:hAnsi="宋体"/>
          <w:szCs w:val="30"/>
        </w:rPr>
      </w:pPr>
      <w:bookmarkStart w:id="22" w:name="_Toc240548786"/>
      <w:r>
        <w:rPr>
          <w:rFonts w:ascii="Times New Roman" w:hAnsi="Times New Roman"/>
          <w:sz w:val="30"/>
        </w:rPr>
        <w:lastRenderedPageBreak/>
        <w:t>十九、风险揭示</w:t>
      </w:r>
      <w:bookmarkEnd w:id="22"/>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3、本基金在主要投资于债券类资产的同时也积极关注股票市场的投资机会，会因投资权益类资产而面临权益类资产市场的系统性风险和个券风险；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（六）投资资产支持证券的特定风险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（八）投资港股通标的股票的特定风险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w:t>
      </w:r>
      <w:r>
        <w:rPr>
          <w:rFonts w:ascii="宋体" w:hAnsi="宋体"/>
          <w:sz w:val="24"/>
        </w:rPr>
        <w:lastRenderedPageBreak/>
        <w:t>的申购赎回产生直接或间接的影响。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4、本基金可根据投资策略需要或不同配置地市场环境的变化，选择将部分基金资产投资于港股通标的股票或选择不将基金资产投资于港股通标的股票，基金资产并非必然投资港股通标的股票。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（十）投资存托凭证的特定风险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（十一）投资国债期货的特定风险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（十二）信用衍生品投资风险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（十三）本基金法律文件风险收益特征表述与销售机构基金风险评价可能不一致的风险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3" w:name="_Toc240548787"/>
      <w:r>
        <w:rPr>
          <w:rFonts w:ascii="Times New Roman" w:hAnsi="Times New Roman"/>
          <w:sz w:val="30"/>
        </w:rPr>
        <w:lastRenderedPageBreak/>
        <w:t>二十、基金合同的变更、终止与基金财产的清算</w:t>
      </w:r>
      <w:bookmarkEnd w:id="23"/>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4" w:name="_Toc240548788"/>
      <w:r>
        <w:rPr>
          <w:rFonts w:ascii="Times New Roman" w:hAnsi="Times New Roman"/>
          <w:sz w:val="30"/>
        </w:rPr>
        <w:lastRenderedPageBreak/>
        <w:t>二十一、基金合同内容摘要</w:t>
      </w:r>
      <w:bookmarkEnd w:id="24"/>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（4）根据相关市场规则，为基金开设资金账户、证券账户、期货结算账户等投资所需账户、为基金办理证券、期货交易资金清算；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w:t>
      </w:r>
      <w:r>
        <w:rPr>
          <w:rFonts w:ascii="宋体" w:hAnsi="宋体"/>
          <w:sz w:val="24"/>
        </w:rPr>
        <w:lastRenderedPageBreak/>
        <w:t>份额申购、赎回价格；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法律法规、《基金合同》和中国证监会另有规定的除外）以特别决议通过方为有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w:t>
      </w:r>
      <w:r>
        <w:rPr>
          <w:rFonts w:ascii="宋体" w:hAnsi="宋体"/>
          <w:sz w:val="24"/>
        </w:rPr>
        <w:lastRenderedPageBreak/>
        <w:t>介上公告。如果采用通讯方式进行表决，在公告基金份额持有人大会决议时，必须将公证书全文、公证机构、公证员姓名等一同公告。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w:t>
      </w:r>
      <w:r>
        <w:rPr>
          <w:rFonts w:ascii="宋体" w:hAnsi="宋体"/>
          <w:sz w:val="24"/>
        </w:rPr>
        <w:lastRenderedPageBreak/>
        <w:t>委员会，按照上海国际经济贸易仲裁委员会届时有效的仲裁规则进行仲裁。仲裁地点为上海市。仲裁裁决是终局的，对各方当事人均有约束力，除非仲裁裁决另有规定，仲裁费由败诉方承担。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5" w:name="_Toc240548789"/>
      <w:r>
        <w:rPr>
          <w:rFonts w:ascii="Times New Roman" w:hAnsi="Times New Roman"/>
          <w:sz w:val="30"/>
        </w:rPr>
        <w:lastRenderedPageBreak/>
        <w:t>二十二、托管协议的内容摘要</w:t>
      </w:r>
      <w:bookmarkEnd w:id="25"/>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法定代表人：王江</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注册资本：466.79095亿元人民币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基金托管资格批文及文号：证监基字[2002]75号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1、基金托管人根据有关法律法规的规定及基金合同的约定，对基金投资范围、投资比例进行监督。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w:t>
      </w:r>
      <w:r>
        <w:rPr>
          <w:rFonts w:ascii="宋体" w:hAnsi="宋体"/>
          <w:sz w:val="24"/>
        </w:rPr>
        <w:lastRenderedPageBreak/>
        <w:t>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投资于股票（含存托凭证）、可转换债券（含可分离交易可转换债券）、可交换公司债券的比例合计不超过基金资产的20%（其中投资于港股通标的股票的比例占股票资产的0%-50%）；每个交易日日终在扣除国债期货合约需缴纳的交易保证金后，本基金持有的现金或者到期日在一年以内的政府债券的比例合计不低于基金资产净值的5%，其中现金不包括结算备付金、存出保证金、应收申购款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投资于股票（含存托凭证）、可转换债券（含可分离交易可转换债券）、可交换公司债券的比例合计不超过基金资产的20%（其中投资于港股通标的股票的比例占股票资产的0%-50%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者到期日在一年以内的政府债券的比例合计不低于基金资产净值的5%，其中现金不包括结算备付金、存出保证金、应收申购款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w:t>
      </w:r>
      <w:r>
        <w:rPr>
          <w:rFonts w:ascii="宋体" w:hAnsi="宋体"/>
          <w:sz w:val="24"/>
        </w:rPr>
        <w:lastRenderedPageBreak/>
        <w:t>金资产净值的10％；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（15）本基金参与国债期货交易，需遵守下列投资比例限制：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3、基金托管人根据有关法律法规的规定及基金合同的约定，对本托管协议第十五条第（十二）款基金投资禁止行为进行监督。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5、基金托管人根据有关法律法规的规定及基金合同的约定，对基金投资流通受限证券进行监督。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基金管理人应当根据基金的投资风格和流动性的需要合理安排流通受限证券的投资比例，并在相关制度中明确具体比例，避免基金出现流动性风险。基金投资非公开发行股票，基金管理人还应提供流动性风险处置预案。</w:t>
      </w:r>
      <w:r>
        <w:rPr>
          <w:rFonts w:ascii="宋体" w:hAnsi="宋体"/>
          <w:sz w:val="24"/>
        </w:rPr>
        <w:lastRenderedPageBreak/>
        <w:t>上述资料应包括但不限于基金投资流通受限证券的投资额度和投资比例控制情况。</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上述规章制度须经基金管理人董事会批准。上述规章制度经董事会通过之后，基金管理人应至少于首次投资流通受限证券之前两个工作日将上述资料书面发至基金托管人，保证基金托管人有足够的时间进行审核。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按约定时间向基金托管人提供符合法律法规要求的有关流通受限证券的信息，具体应当包括但不限于如下文件（如有）：拟发行证券主体的中国证监会批准文件、拟发行数量、定价依据、锁定期、基金拟认购的数量、价格、总成本、总成本占基金资产净值的比例、已持有流通受限证券市值占基金资产净值的比例、划款账号、划款金额、划款时间文件等。基金管理人应保证上述信息的真实、完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流通受限证券，基金管理人应根据本协议的规定与基金托管银行签订风险控制补充协议。协议应包括基金托管人对于基金管理人是否遵守相关制度、流动性风险处置预案以及相关投资额度和比例的情况进行监督等内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基金投资非公开发行股票后按照相关法规要求期限内，在中国证监会规定媒介披露所投资非公开发行股票的名称、数量、总成本、账面价值，以及总成本和账面价值占基金资产净值的比例、锁定期等信息。</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在力所能及的范围内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相应责任，并有权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相应责任。开立定期存款账户时，定期存款账户的户名应与托管账户户名一致。对于跨行定期存款投资，基金管理人必须和存款机构签订定期存款协议，约定双方的权利和义务，该协议作为划款指令附件。该协议中必须体现如下条款：“存款证实书不得被</w:t>
      </w:r>
      <w:r>
        <w:rPr>
          <w:rFonts w:ascii="宋体" w:hAnsi="宋体"/>
          <w:sz w:val="24"/>
        </w:rPr>
        <w:lastRenderedPageBreak/>
        <w:t>质押或以任何方式被抵押，并不得用于转让和背书；本息到期归还或提前支取的所有款项必须划至托管专户（明确户名、开户行、账号等），不得划入其他任何账户”，并依照本协议交接原则对存单交接流程予以明确。对于跨行存款，基金管理人需提前与基金托管人就定期存款协议及存单交接流程进行沟通。在取得存款证实书后，基金托管人保管证实书正本。基金托管人不对跨行存款的利率政策风险、存款行的选择及存款协议承担责任，基金管理人指定专人在核实存款行授权人员身份信息后，负责印鉴卡与存款证实书等凭证的监交或交接，以确保与基金托管人所交接凭证的真实性、准确性和完整性。基金托管人对投资后处于基金托管人实际控制之外的资产不承担保管责任。跨行定期存款账户的预留印鉴为基金托管人托管业务专用章与托管业务授权人名章。</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对基金托管人发出的书面提示，基金管理人应在规定时间内答复并改正，或就基金托管人合理的疑义进行解释或举证；对基金托管人按照法律法规、基金合同和</w:t>
      </w:r>
      <w:r>
        <w:rPr>
          <w:rFonts w:ascii="宋体" w:hAnsi="宋体"/>
          <w:sz w:val="24"/>
        </w:rPr>
        <w:lastRenderedPageBreak/>
        <w:t>本托管协议的要求需向中国证监会报送基金监督报告的事项，基金管理人应积极配合提供相关数据资料和制度等。</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基金管理人无正当理由，拒绝、阻挠对方根据本托管协议规定行使监督权，或采取拖延、欺诈等手段妨碍对方进行有效监督，情节严重或经基金托管人提出警告仍不改正的，基金托管人应报告中国证监会。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账户以及投资所需的其他专用账户、复核基金管理人计算的各类基金份额的基金资产净值和基金份额净值、根据基金管理人指令办理清算交收、相关信息披露和监督基金投资运作等行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w:t>
      </w:r>
      <w:r>
        <w:rPr>
          <w:rFonts w:ascii="宋体" w:hAnsi="宋体"/>
          <w:sz w:val="24"/>
        </w:rPr>
        <w:lastRenderedPageBreak/>
        <w:t>基金管理人的核查行为，包括但不限于：提交相关资料以供基金管理人核查托管财产的完整性和真实性，在规定时间内答复基金管理人并改正。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基金托管人无正当理由，拒绝、阻挠对方根据本协议规定行使监督权，或采取拖延、欺诈等手段妨碍对方进行有效监督，情节严重或经基金管理人提出警告仍不改正的，基金管理人应报告中国证监会。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（一）基金财产保管的原则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3．基金托管人按照规定开设基金财产的资金账户、证券账户、期货账户以及投资所需的其他专用账户；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（二）基金募集期间及募集资金的验资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托管专户，同时在规</w:t>
      </w:r>
      <w:r>
        <w:rPr>
          <w:rFonts w:ascii="宋体" w:hAnsi="宋体"/>
          <w:sz w:val="24"/>
        </w:rPr>
        <w:lastRenderedPageBreak/>
        <w:t>定时间内，聘请符合《中华人民共和国证券法》规定的会计师事务所进行验资，出具验资报告。出具的验资报告由参加验资的2名或2名以上中国注册会计师签字方为有效。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3．若基金募集期限届满或基金停止募集时，未能达到基金合同生效的条件，由基金管理人按规定办理退款等事宜，基金托管人应提供充分协助。</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（三）基金托管专户的开立和管理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1．基金托管人以基金的名义在其营业机构开设基金托管专户，保管基金的银行存款。本基金的一切货币收支活动，包括但不限于投资、支付赎回金额、支付基金收益、收取申购款，均需通过基金托管专户进行。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（四）基金证券账户和结算备付金账户的开立和管理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（五）银行间债券托管专户的开设和管理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持有人账户和资金结算账户，并代表基金进行银行间债券市场债券的结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（六）期货账户的开立和管理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基金托管人与基金管理人应依据相关期货交易所或期货公司的相关规定开立和管理期货账户。</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（七）其他账户的开立和管理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法律法规等有关规定对相关账户的开立和管理另有规定的，从其规定办理。</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（八）基金财产投资的有关有价凭证等的保管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（九）与基金财产有关的重大合同的保管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通过传真、电子邮件或双方认可的其他书面形式给基金托管人，并在30个工作日内将正本送达基金托管人处。重大合同</w:t>
      </w:r>
      <w:r>
        <w:rPr>
          <w:rFonts w:ascii="宋体" w:hAnsi="宋体"/>
          <w:sz w:val="24"/>
        </w:rPr>
        <w:lastRenderedPageBreak/>
        <w:t>的保管期限不低于法律法规规定的最低期限。</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对于无法取得二份以上正本的，基金管理人应向基金托管人提供与合同原件核对一致的加盖公章的合同传真件或复印件，未经双方协商一致或未在合同约定范围内，合同原件不得转移。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费用的不同，本基金各类基金份额将分别计算基金份额净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基金管理人应每个工作日计算各类基金份额的基金资产净值及基金份额净值，并按规定公告。如遇特殊情况，经履行适当程序，可以适当延迟计算或公告。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净值信息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基金托管人对该结果不承担相应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或基金管理人委托的登记机构应定期向基金托管人提供基金份额持有人名册，基金托管人得到基金管理人提供的持有人名册后与基金管理人分别进行保管。保管方式可以采用电子或文档的形式，保存期限不低于法律法规规定的最低期限。如不能妥</w:t>
      </w:r>
      <w:r>
        <w:rPr>
          <w:rFonts w:ascii="宋体" w:hAnsi="宋体"/>
          <w:sz w:val="24"/>
        </w:rPr>
        <w:lastRenderedPageBreak/>
        <w:t>善保管，则按相关法规承担责任。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基金合同及本协议而产生的或与基金合同或本协议有关的一切争议，如经友好协商未能解决的，任何一方均有权将争议提交上海国际经济贸易仲裁委员会，按照该会届时有效的仲裁规则进行仲裁。仲裁地点为上海市。仲裁裁决是终局的，对双方当事人均有约束力，仲裁费用由败诉方承担，除非仲裁裁决另有规定。</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本协议受中国（为本协议之目的，不包括香港特别行政区、澳门特别行政区和台湾地区）法律管辖并从其解释。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1）自出现基金合同终止事由之日起30个工作日内成立清算小组，基金管理人组织基金财产清算小组并在中国证监会的监督下进行基金清算。</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2）基金财产清算小组成员由基金管理人、基金托管人、符合《中华人民共和国证券法》规定的注册会计师、律师以及中国证监会指定的人员组成。基金财产清算小组可以聘用必要的工作人员。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基金财产清算程序主要包括：</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（3）基金财产清算的期限为6个月，但因本基金所持证券的流动性受到限制而不能及时变现的，清算期限相应顺延。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（5）基金财产按下列顺序清偿：</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基金财产未按前款1)－3)项规定清偿前，不分配给基金份额持有人。</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6" w:name="_Toc240548790"/>
      <w:r>
        <w:rPr>
          <w:rFonts w:ascii="Times New Roman" w:hAnsi="Times New Roman"/>
          <w:sz w:val="30"/>
        </w:rPr>
        <w:lastRenderedPageBreak/>
        <w:t>二十三、对基金份额持有人的服务</w:t>
      </w:r>
      <w:bookmarkEnd w:id="26"/>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转换和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（四）基金红利再投资</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7" w:name="_Toc240548791"/>
      <w:r>
        <w:rPr>
          <w:rFonts w:ascii="Times New Roman" w:hAnsi="Times New Roman"/>
          <w:sz w:val="30"/>
        </w:rPr>
        <w:lastRenderedPageBreak/>
        <w:t>二十四、其他应披露事项</w:t>
      </w:r>
      <w:bookmarkEnd w:id="27"/>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F7750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交银施罗德稳悦回报债券型证券投资基金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7750F" w:rsidRDefault="00FF43D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8" w:name="_Toc240548792"/>
      <w:r>
        <w:rPr>
          <w:rFonts w:ascii="Times New Roman" w:hAnsi="Times New Roman"/>
          <w:sz w:val="30"/>
        </w:rPr>
        <w:lastRenderedPageBreak/>
        <w:t>二十五、招募说明书的存放及查阅方式</w:t>
      </w:r>
      <w:bookmarkEnd w:id="28"/>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F43D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7750F" w:rsidRDefault="00FF43DF">
      <w:pPr>
        <w:pStyle w:val="1"/>
        <w:snapToGrid w:val="0"/>
        <w:spacing w:beforeLines="0" w:before="240" w:after="240"/>
        <w:rPr>
          <w:rFonts w:ascii="宋体" w:hAnsi="宋体"/>
          <w:szCs w:val="30"/>
        </w:rPr>
      </w:pPr>
      <w:bookmarkStart w:id="29" w:name="_Toc240548793"/>
      <w:r>
        <w:rPr>
          <w:rFonts w:ascii="Times New Roman" w:hAnsi="Times New Roman"/>
          <w:sz w:val="30"/>
        </w:rPr>
        <w:lastRenderedPageBreak/>
        <w:t>二十六、备查文件</w:t>
      </w:r>
      <w:bookmarkEnd w:id="29"/>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（一）中国证监会准予交银施罗德稳悦回报债券型证券投资基金募集注册的文件</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（二）《交银施罗德稳悦回报债券型证券投资基金基金合同》</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（三）《交银施罗德稳悦回报债券型证券投资基金托管协议》</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7750F" w:rsidRDefault="00FF43D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（六）关于申请募集注册交银施罗德稳悦回报债券型证券投资基金的法律意见书</w:t>
      </w:r>
    </w:p>
    <w:sectPr w:rsidR="00F7750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3B2" w:rsidRDefault="00FF43DF">
      <w:r>
        <w:separator/>
      </w:r>
    </w:p>
  </w:endnote>
  <w:endnote w:type="continuationSeparator" w:id="0">
    <w:p w:rsidR="005233B2" w:rsidRDefault="00FF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7750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8B654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7750F" w:rsidRDefault="00FF43D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B654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7750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8B654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7750F" w:rsidRDefault="00FF43D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B654A">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3B2" w:rsidRDefault="00FF43DF">
      <w:r>
        <w:separator/>
      </w:r>
    </w:p>
  </w:footnote>
  <w:footnote w:type="continuationSeparator" w:id="0">
    <w:p w:rsidR="005233B2" w:rsidRDefault="00FF4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7750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F43DF">
    <w:pPr>
      <w:pStyle w:val="a3"/>
      <w:jc w:val="right"/>
      <w:rPr>
        <w:rFonts w:ascii="宋体" w:hAnsi="宋体"/>
      </w:rPr>
    </w:pPr>
    <w:r>
      <w:rPr>
        <w:rFonts w:ascii="宋体" w:hAnsi="宋体" w:hint="eastAsia"/>
      </w:rPr>
      <w:t>交银施罗德稳悦回报债券型证券投资基金招募说明书更新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7750F">
    <w:pPr>
      <w:pStyle w:val="10"/>
      <w:jc w:val="right"/>
    </w:pPr>
  </w:p>
  <w:p w:rsidR="00F7750F" w:rsidRDefault="00F7750F">
    <w:pPr>
      <w:pStyle w:val="10"/>
      <w:jc w:val="right"/>
    </w:pPr>
  </w:p>
  <w:p w:rsidR="00F7750F" w:rsidRDefault="00F7750F">
    <w:pPr>
      <w:pStyle w:val="a3"/>
      <w:jc w:val="right"/>
    </w:pPr>
  </w:p>
  <w:p w:rsidR="00F7750F" w:rsidRDefault="00FF43DF">
    <w:pPr>
      <w:pStyle w:val="a3"/>
      <w:jc w:val="right"/>
      <w:rPr>
        <w:rFonts w:ascii="宋体" w:hAnsi="宋体"/>
      </w:rPr>
    </w:pPr>
    <w:r>
      <w:rPr>
        <w:rFonts w:ascii="宋体" w:hAnsi="宋体" w:hint="eastAsia"/>
      </w:rPr>
      <w:t>交银施罗德稳悦回报债券型证券投资基金招募说明书更新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50F" w:rsidRDefault="00F7750F">
    <w:pPr>
      <w:pStyle w:val="a3"/>
      <w:jc w:val="right"/>
    </w:pPr>
  </w:p>
  <w:p w:rsidR="00F7750F" w:rsidRDefault="00F7750F">
    <w:pPr>
      <w:pStyle w:val="a3"/>
      <w:jc w:val="right"/>
    </w:pPr>
  </w:p>
  <w:p w:rsidR="00F7750F" w:rsidRDefault="00F7750F">
    <w:pPr>
      <w:pStyle w:val="a3"/>
      <w:jc w:val="right"/>
    </w:pPr>
  </w:p>
  <w:p w:rsidR="00F7750F" w:rsidRDefault="00FF43DF">
    <w:pPr>
      <w:pStyle w:val="a3"/>
      <w:jc w:val="right"/>
      <w:rPr>
        <w:rFonts w:ascii="宋体" w:hAnsi="宋体"/>
      </w:rPr>
    </w:pPr>
    <w:r>
      <w:rPr>
        <w:rFonts w:ascii="宋体" w:hAnsi="宋体" w:hint="eastAsia"/>
      </w:rPr>
      <w:t>交银施罗德稳悦回报债券型证券投资基金招募说明书更新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33B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54A"/>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7750F"/>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3DF"/>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30D379F-FC77-4B8C-979C-E2ADD5EA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16685</Words>
  <Characters>95110</Characters>
  <Application>Microsoft Office Word</Application>
  <DocSecurity>0</DocSecurity>
  <Lines>792</Lines>
  <Paragraphs>223</Paragraphs>
  <ScaleCrop>false</ScaleCrop>
  <Company>Microsoft</Company>
  <LinksUpToDate>false</LinksUpToDate>
  <CharactersWithSpaces>111572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