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B02396">
      <w:pPr>
        <w:rPr>
          <w:sz w:val="32"/>
        </w:rPr>
      </w:pPr>
    </w:p>
    <w:p w:rsidR="00C92FC0" w:rsidRPr="00EB07BC" w:rsidRDefault="00B02396">
      <w:pPr>
        <w:rPr>
          <w:sz w:val="32"/>
        </w:rPr>
      </w:pPr>
    </w:p>
    <w:p w:rsidR="00C92FC0" w:rsidRPr="00EB07BC" w:rsidRDefault="00B02396">
      <w:pPr>
        <w:rPr>
          <w:sz w:val="32"/>
        </w:rPr>
      </w:pPr>
    </w:p>
    <w:p w:rsidR="0070700E" w:rsidRDefault="0070700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0700E" w:rsidRDefault="0070700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0700E" w:rsidRDefault="0070700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0700E" w:rsidRDefault="00B1013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交银施罗德数据产业灵活配置混合型证券投资基金</w:t>
      </w:r>
    </w:p>
    <w:p w:rsidR="0070700E" w:rsidRDefault="00B1013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0700E" w:rsidRDefault="0070700E">
      <w:pPr>
        <w:snapToGrid w:val="0"/>
        <w:spacing w:line="360" w:lineRule="auto"/>
        <w:jc w:val="center"/>
        <w:rPr>
          <w:rFonts w:ascii="宋体" w:hAnsi="宋体"/>
          <w:b/>
          <w:sz w:val="30"/>
          <w:szCs w:val="30"/>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B1013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0700E" w:rsidRDefault="00B1013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70700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00E" w:rsidRDefault="00B1013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70700E" w:rsidRDefault="0070700E">
      <w:pPr>
        <w:autoSpaceDE w:val="0"/>
        <w:autoSpaceDN w:val="0"/>
        <w:adjustRightInd w:val="0"/>
        <w:snapToGrid w:val="0"/>
        <w:spacing w:line="360" w:lineRule="auto"/>
        <w:ind w:left="1347" w:rightChars="6" w:right="13"/>
        <w:rPr>
          <w:rFonts w:ascii="宋体" w:hAnsi="宋体"/>
          <w:kern w:val="0"/>
          <w:sz w:val="32"/>
          <w:szCs w:val="32"/>
        </w:rPr>
        <w:sectPr w:rsidR="0070700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0700E" w:rsidRDefault="00B1013E">
      <w:pPr>
        <w:pStyle w:val="1"/>
        <w:snapToGrid w:val="0"/>
        <w:spacing w:beforeLines="0" w:before="240" w:after="240"/>
        <w:rPr>
          <w:rFonts w:ascii="宋体" w:hAnsi="宋体"/>
          <w:kern w:val="0"/>
        </w:rPr>
      </w:pPr>
      <w:bookmarkStart w:id="0" w:name="_Toc324920538"/>
      <w:bookmarkStart w:id="1" w:name="_Toc496884613"/>
      <w:bookmarkStart w:id="2" w:name="_Toc240548816"/>
      <w:r>
        <w:rPr>
          <w:rFonts w:ascii="Times New Roman" w:hAnsi="Times New Roman"/>
          <w:kern w:val="0"/>
        </w:rPr>
        <w:lastRenderedPageBreak/>
        <w:t>重要提示</w:t>
      </w:r>
      <w:bookmarkEnd w:id="0"/>
      <w:bookmarkEnd w:id="1"/>
      <w:bookmarkEnd w:id="2"/>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交银施罗德数据产业灵活配置混合型证券投资基金（以下简称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1060</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日正式生效。</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资产支持证券的特定风险；投资流通受限证券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0700E" w:rsidRDefault="00B1013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70700E" w:rsidRDefault="0070700E">
      <w:pPr>
        <w:autoSpaceDE w:val="0"/>
        <w:autoSpaceDN w:val="0"/>
        <w:adjustRightInd w:val="0"/>
        <w:snapToGrid w:val="0"/>
        <w:spacing w:before="51" w:line="360" w:lineRule="auto"/>
        <w:ind w:left="120" w:rightChars="6" w:right="13" w:firstLine="480"/>
        <w:rPr>
          <w:rFonts w:ascii="宋体" w:hAnsi="宋体"/>
          <w:kern w:val="0"/>
          <w:szCs w:val="24"/>
        </w:rPr>
        <w:sectPr w:rsidR="0070700E">
          <w:headerReference w:type="default" r:id="rId14"/>
          <w:pgSz w:w="11920" w:h="16840"/>
          <w:pgMar w:top="1440" w:right="1680" w:bottom="280" w:left="1680" w:header="0" w:footer="1073" w:gutter="0"/>
          <w:pgNumType w:start="1"/>
          <w:cols w:space="720"/>
        </w:sectPr>
      </w:pPr>
    </w:p>
    <w:p w:rsidR="00B02396" w:rsidRPr="00B02396" w:rsidRDefault="00B1013E" w:rsidP="00B02396">
      <w:pPr>
        <w:pStyle w:val="ad"/>
        <w:snapToGrid w:val="0"/>
        <w:spacing w:after="240" w:line="360" w:lineRule="auto"/>
        <w:jc w:val="center"/>
        <w:rPr>
          <w:rFonts w:ascii="宋体" w:hAnsi="宋体"/>
          <w:noProof/>
          <w:sz w:val="24"/>
        </w:rPr>
      </w:pPr>
      <w:r w:rsidRPr="00B02396">
        <w:rPr>
          <w:rFonts w:ascii="宋体" w:hAnsi="宋体"/>
          <w:color w:val="000000"/>
          <w:position w:val="-4"/>
          <w:sz w:val="24"/>
          <w:szCs w:val="30"/>
        </w:rPr>
        <w:lastRenderedPageBreak/>
        <w:t>目</w:t>
      </w:r>
      <w:r w:rsidRPr="00B02396">
        <w:rPr>
          <w:rFonts w:ascii="宋体" w:hAnsi="宋体"/>
          <w:color w:val="000000"/>
          <w:position w:val="-4"/>
          <w:sz w:val="24"/>
          <w:szCs w:val="30"/>
        </w:rPr>
        <w:tab/>
        <w:t>录</w:t>
      </w:r>
      <w:r w:rsidR="00B02396" w:rsidRPr="00B02396">
        <w:rPr>
          <w:rFonts w:ascii="宋体" w:hAnsi="宋体"/>
          <w:color w:val="000000"/>
          <w:position w:val="-4"/>
          <w:sz w:val="24"/>
          <w:szCs w:val="30"/>
        </w:rPr>
        <w:fldChar w:fldCharType="begin"/>
      </w:r>
      <w:r w:rsidR="00B02396" w:rsidRPr="00B02396">
        <w:rPr>
          <w:rFonts w:ascii="宋体" w:hAnsi="宋体"/>
          <w:color w:val="000000"/>
          <w:position w:val="-4"/>
          <w:sz w:val="24"/>
          <w:szCs w:val="30"/>
        </w:rPr>
        <w:instrText xml:space="preserve"> TOC \o "1-3" \f - \h \t "-1" </w:instrText>
      </w:r>
      <w:r w:rsidR="00B02396" w:rsidRPr="00B02396">
        <w:rPr>
          <w:rFonts w:ascii="宋体" w:hAnsi="宋体"/>
          <w:color w:val="000000"/>
          <w:position w:val="-4"/>
          <w:sz w:val="24"/>
          <w:szCs w:val="30"/>
        </w:rPr>
        <w:fldChar w:fldCharType="separate"/>
      </w:r>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16" w:history="1">
        <w:r w:rsidRPr="00B02396">
          <w:rPr>
            <w:rStyle w:val="aa"/>
            <w:rFonts w:ascii="宋体" w:hAnsi="宋体" w:hint="eastAsia"/>
            <w:noProof/>
            <w:kern w:val="0"/>
            <w:sz w:val="24"/>
          </w:rPr>
          <w:t>重要提示</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_Toc240548816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17" w:history="1">
        <w:r w:rsidRPr="00B02396">
          <w:rPr>
            <w:rStyle w:val="aa"/>
            <w:rFonts w:ascii="宋体" w:hAnsi="宋体" w:hint="eastAsia"/>
            <w:noProof/>
            <w:sz w:val="24"/>
          </w:rPr>
          <w:t>一、绪言</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_Toc240548817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4</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18" w:history="1">
        <w:r w:rsidRPr="00B02396">
          <w:rPr>
            <w:rStyle w:val="aa"/>
            <w:rFonts w:ascii="宋体" w:hAnsi="宋体" w:hint="eastAsia"/>
            <w:noProof/>
            <w:sz w:val="24"/>
          </w:rPr>
          <w:t>二、释义</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_Toc240548818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5</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19" w:history="1">
        <w:r w:rsidRPr="00B02396">
          <w:rPr>
            <w:rStyle w:val="aa"/>
            <w:rFonts w:ascii="宋体" w:hAnsi="宋体" w:hint="eastAsia"/>
            <w:noProof/>
            <w:sz w:val="24"/>
          </w:rPr>
          <w:t>三、基金管理人</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_Toc240548819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10</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0" w:history="1">
        <w:r w:rsidRPr="00B02396">
          <w:rPr>
            <w:rStyle w:val="aa"/>
            <w:rFonts w:ascii="宋体" w:hAnsi="宋体" w:hint="eastAsia"/>
            <w:noProof/>
            <w:sz w:val="24"/>
          </w:rPr>
          <w:t>四、基金托管人</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_Toc240548820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17</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1" w:history="1">
        <w:r w:rsidRPr="00B02396">
          <w:rPr>
            <w:rStyle w:val="aa"/>
            <w:rFonts w:ascii="宋体" w:hAnsi="宋体" w:hint="eastAsia"/>
            <w:noProof/>
            <w:sz w:val="24"/>
          </w:rPr>
          <w:t>五、相关服务机构</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_Toc240548821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20</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2" w:history="1">
        <w:r w:rsidRPr="00B02396">
          <w:rPr>
            <w:rStyle w:val="aa"/>
            <w:rFonts w:ascii="宋体" w:hAnsi="宋体" w:hint="eastAsia"/>
            <w:noProof/>
            <w:sz w:val="24"/>
          </w:rPr>
          <w:t>六、基金的募集</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_Toc240548822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52</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3" w:history="1">
        <w:r w:rsidRPr="00B02396">
          <w:rPr>
            <w:rStyle w:val="aa"/>
            <w:rFonts w:ascii="宋体" w:hAnsi="宋体" w:hint="eastAsia"/>
            <w:noProof/>
            <w:sz w:val="24"/>
          </w:rPr>
          <w:t>七、基金合同的生效</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_Toc240548823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53</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4" w:history="1">
        <w:r w:rsidRPr="00B02396">
          <w:rPr>
            <w:rStyle w:val="aa"/>
            <w:rFonts w:ascii="宋体" w:hAnsi="宋体" w:hint="eastAsia"/>
            <w:noProof/>
            <w:sz w:val="24"/>
          </w:rPr>
          <w:t>八、基金份额的申购与赎回</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_Toc240548824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54</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5" w:history="1">
        <w:r w:rsidRPr="00B02396">
          <w:rPr>
            <w:rStyle w:val="aa"/>
            <w:rFonts w:ascii="宋体" w:hAnsi="宋体" w:hint="eastAsia"/>
            <w:noProof/>
            <w:sz w:val="24"/>
          </w:rPr>
          <w:t>九、基金的转换</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_Toc240548825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67</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6" w:history="1">
        <w:r w:rsidRPr="00B02396">
          <w:rPr>
            <w:rStyle w:val="aa"/>
            <w:rFonts w:ascii="宋体" w:hAnsi="宋体" w:hint="eastAsia"/>
            <w:noProof/>
            <w:sz w:val="24"/>
          </w:rPr>
          <w:t>十、基金的投资</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_Toc240548826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74</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7" w:history="1">
        <w:r w:rsidRPr="00B02396">
          <w:rPr>
            <w:rStyle w:val="aa"/>
            <w:rFonts w:ascii="宋体" w:hAnsi="宋体" w:hint="eastAsia"/>
            <w:noProof/>
            <w:sz w:val="24"/>
          </w:rPr>
          <w:t>十一、基金的业绩</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_Toc240548827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88</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8" w:history="1">
        <w:r w:rsidRPr="00B02396">
          <w:rPr>
            <w:rStyle w:val="aa"/>
            <w:rFonts w:ascii="宋体" w:hAnsi="宋体" w:hint="eastAsia"/>
            <w:noProof/>
            <w:sz w:val="24"/>
          </w:rPr>
          <w:t>十二、基金的财产</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_Toc240548828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91</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29" w:history="1">
        <w:r w:rsidRPr="00B02396">
          <w:rPr>
            <w:rStyle w:val="aa"/>
            <w:rFonts w:ascii="宋体" w:hAnsi="宋体" w:hint="eastAsia"/>
            <w:noProof/>
            <w:sz w:val="24"/>
          </w:rPr>
          <w:t>十三、基金资产的估值</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_Toc240548829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92</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0" w:history="1">
        <w:r w:rsidRPr="00B02396">
          <w:rPr>
            <w:rStyle w:val="aa"/>
            <w:rFonts w:ascii="宋体" w:hAnsi="宋体" w:hint="eastAsia"/>
            <w:noProof/>
            <w:sz w:val="24"/>
          </w:rPr>
          <w:t>十四、基金收益与分配</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_Toc240548830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97</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1" w:history="1">
        <w:r w:rsidRPr="00B02396">
          <w:rPr>
            <w:rStyle w:val="aa"/>
            <w:rFonts w:ascii="宋体" w:hAnsi="宋体" w:hint="eastAsia"/>
            <w:noProof/>
            <w:sz w:val="24"/>
          </w:rPr>
          <w:t>十五、基金的费用与税收</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_Toc240548831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99</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2" w:history="1">
        <w:r w:rsidRPr="00B02396">
          <w:rPr>
            <w:rStyle w:val="aa"/>
            <w:rFonts w:ascii="宋体" w:hAnsi="宋体" w:hint="eastAsia"/>
            <w:noProof/>
            <w:sz w:val="24"/>
          </w:rPr>
          <w:t>十六、基金的会计与审计</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_Toc240548832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102</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3" w:history="1">
        <w:r w:rsidRPr="00B02396">
          <w:rPr>
            <w:rStyle w:val="aa"/>
            <w:rFonts w:ascii="宋体" w:hAnsi="宋体" w:hint="eastAsia"/>
            <w:noProof/>
            <w:sz w:val="24"/>
          </w:rPr>
          <w:t>十七、基金的信息披露</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_Toc240548833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103</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4" w:history="1">
        <w:r w:rsidRPr="00B02396">
          <w:rPr>
            <w:rStyle w:val="aa"/>
            <w:rFonts w:ascii="宋体" w:hAnsi="宋体" w:hint="eastAsia"/>
            <w:noProof/>
            <w:sz w:val="24"/>
          </w:rPr>
          <w:t>十八、侧袋机制</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_Toc240548834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110</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5" w:history="1">
        <w:r w:rsidRPr="00B02396">
          <w:rPr>
            <w:rStyle w:val="aa"/>
            <w:rFonts w:ascii="宋体" w:hAnsi="宋体" w:hint="eastAsia"/>
            <w:noProof/>
            <w:sz w:val="24"/>
          </w:rPr>
          <w:t>十九、风险揭示</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_Toc240548835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113</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6" w:history="1">
        <w:r w:rsidRPr="00B02396">
          <w:rPr>
            <w:rStyle w:val="aa"/>
            <w:rFonts w:ascii="宋体" w:hAnsi="宋体" w:hint="eastAsia"/>
            <w:noProof/>
            <w:sz w:val="24"/>
          </w:rPr>
          <w:t>二十、基金合同的变更、终止与基金财产的清算</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_Toc240548836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121</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7" w:history="1">
        <w:r w:rsidRPr="00B02396">
          <w:rPr>
            <w:rStyle w:val="aa"/>
            <w:rFonts w:ascii="宋体" w:hAnsi="宋体" w:hint="eastAsia"/>
            <w:noProof/>
            <w:sz w:val="24"/>
          </w:rPr>
          <w:t>二十一、基金合同内容摘要</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_Toc240548837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123</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8" w:history="1">
        <w:r w:rsidRPr="00B02396">
          <w:rPr>
            <w:rStyle w:val="aa"/>
            <w:rFonts w:ascii="宋体" w:hAnsi="宋体" w:hint="eastAsia"/>
            <w:noProof/>
            <w:sz w:val="24"/>
          </w:rPr>
          <w:t>二十二、托管协议的内容摘要</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_Toc240548838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139</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39" w:history="1">
        <w:r w:rsidRPr="00B02396">
          <w:rPr>
            <w:rStyle w:val="aa"/>
            <w:rFonts w:ascii="宋体" w:hAnsi="宋体" w:hint="eastAsia"/>
            <w:noProof/>
            <w:sz w:val="24"/>
          </w:rPr>
          <w:t>二十三、对基金份额持有人的服务</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_Toc240548839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152</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40" w:history="1">
        <w:r w:rsidRPr="00B02396">
          <w:rPr>
            <w:rStyle w:val="aa"/>
            <w:rFonts w:ascii="宋体" w:hAnsi="宋体" w:hint="eastAsia"/>
            <w:noProof/>
            <w:sz w:val="24"/>
          </w:rPr>
          <w:t>二十四、其他应披露事项</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_Toc240548840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154</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41" w:history="1">
        <w:r w:rsidRPr="00B02396">
          <w:rPr>
            <w:rStyle w:val="aa"/>
            <w:rFonts w:ascii="宋体" w:hAnsi="宋体" w:hint="eastAsia"/>
            <w:noProof/>
            <w:sz w:val="24"/>
          </w:rPr>
          <w:t>二十五、招募说明书的存放及查阅方式</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_Toc240548841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156</w:t>
        </w:r>
        <w:r w:rsidRPr="00B02396">
          <w:rPr>
            <w:rFonts w:ascii="宋体" w:hAnsi="宋体"/>
            <w:noProof/>
            <w:sz w:val="24"/>
          </w:rPr>
          <w:fldChar w:fldCharType="end"/>
        </w:r>
      </w:hyperlink>
    </w:p>
    <w:p w:rsidR="00B02396" w:rsidRPr="00B02396" w:rsidRDefault="00B02396" w:rsidP="00B02396">
      <w:pPr>
        <w:pStyle w:val="10"/>
        <w:tabs>
          <w:tab w:val="right" w:leader="dot" w:pos="8550"/>
        </w:tabs>
        <w:spacing w:line="360" w:lineRule="auto"/>
        <w:rPr>
          <w:rFonts w:ascii="宋体" w:hAnsi="宋体" w:cstheme="minorBidi"/>
          <w:noProof/>
          <w:sz w:val="24"/>
        </w:rPr>
      </w:pPr>
      <w:hyperlink w:anchor="_Toc240548842" w:history="1">
        <w:r w:rsidRPr="00B02396">
          <w:rPr>
            <w:rStyle w:val="aa"/>
            <w:rFonts w:ascii="宋体" w:hAnsi="宋体" w:hint="eastAsia"/>
            <w:noProof/>
            <w:sz w:val="24"/>
          </w:rPr>
          <w:t>二十六、备查文件</w:t>
        </w:r>
        <w:r w:rsidRPr="00B02396">
          <w:rPr>
            <w:rFonts w:ascii="宋体" w:hAnsi="宋体"/>
            <w:noProof/>
            <w:sz w:val="24"/>
          </w:rPr>
          <w:tab/>
        </w:r>
        <w:r w:rsidRPr="00B02396">
          <w:rPr>
            <w:rFonts w:ascii="宋体" w:hAnsi="宋体"/>
            <w:noProof/>
            <w:sz w:val="24"/>
          </w:rPr>
          <w:fldChar w:fldCharType="begin"/>
        </w:r>
        <w:r w:rsidRPr="00B02396">
          <w:rPr>
            <w:rFonts w:ascii="宋体" w:hAnsi="宋体"/>
            <w:noProof/>
            <w:sz w:val="24"/>
          </w:rPr>
          <w:instrText xml:space="preserve"> PAGEREF _Toc240548842 \h </w:instrText>
        </w:r>
        <w:r w:rsidRPr="00B02396">
          <w:rPr>
            <w:rFonts w:ascii="宋体" w:hAnsi="宋体"/>
            <w:noProof/>
            <w:sz w:val="24"/>
          </w:rPr>
        </w:r>
        <w:r w:rsidRPr="00B02396">
          <w:rPr>
            <w:rFonts w:ascii="宋体" w:hAnsi="宋体"/>
            <w:noProof/>
            <w:sz w:val="24"/>
          </w:rPr>
          <w:fldChar w:fldCharType="separate"/>
        </w:r>
        <w:r w:rsidRPr="00B02396">
          <w:rPr>
            <w:rFonts w:ascii="宋体" w:hAnsi="宋体"/>
            <w:noProof/>
            <w:sz w:val="24"/>
          </w:rPr>
          <w:t>157</w:t>
        </w:r>
        <w:r w:rsidRPr="00B02396">
          <w:rPr>
            <w:rFonts w:ascii="宋体" w:hAnsi="宋体"/>
            <w:noProof/>
            <w:sz w:val="24"/>
          </w:rPr>
          <w:fldChar w:fldCharType="end"/>
        </w:r>
      </w:hyperlink>
    </w:p>
    <w:p w:rsidR="0070700E" w:rsidRPr="00B02396" w:rsidRDefault="00B02396" w:rsidP="00B02396">
      <w:pPr>
        <w:pStyle w:val="ad"/>
        <w:snapToGrid w:val="0"/>
        <w:spacing w:after="240" w:line="360" w:lineRule="auto"/>
        <w:jc w:val="center"/>
        <w:rPr>
          <w:rFonts w:ascii="宋体" w:hAnsi="宋体"/>
          <w:color w:val="000000"/>
          <w:sz w:val="24"/>
        </w:rPr>
      </w:pPr>
      <w:r w:rsidRPr="00B02396">
        <w:rPr>
          <w:rFonts w:ascii="宋体" w:hAnsi="宋体"/>
          <w:color w:val="000000"/>
          <w:position w:val="-4"/>
          <w:sz w:val="24"/>
          <w:szCs w:val="30"/>
        </w:rPr>
        <w:fldChar w:fldCharType="end"/>
      </w:r>
      <w:bookmarkStart w:id="3" w:name="_GoBack"/>
      <w:bookmarkEnd w:id="3"/>
    </w:p>
    <w:p w:rsidR="0070700E" w:rsidRDefault="0070700E">
      <w:pPr>
        <w:autoSpaceDE w:val="0"/>
        <w:autoSpaceDN w:val="0"/>
        <w:adjustRightInd w:val="0"/>
        <w:snapToGrid w:val="0"/>
        <w:spacing w:line="360" w:lineRule="auto"/>
        <w:ind w:left="120" w:rightChars="6" w:right="13"/>
        <w:rPr>
          <w:rFonts w:ascii="宋体" w:hAnsi="宋体"/>
          <w:kern w:val="0"/>
          <w:szCs w:val="24"/>
        </w:rPr>
        <w:sectPr w:rsidR="0070700E">
          <w:pgSz w:w="11920" w:h="16840"/>
          <w:pgMar w:top="1480" w:right="1680" w:bottom="280" w:left="1680" w:header="0" w:footer="1073" w:gutter="0"/>
          <w:cols w:space="720"/>
        </w:sectPr>
      </w:pPr>
    </w:p>
    <w:p w:rsidR="0070700E" w:rsidRDefault="00B1013E">
      <w:pPr>
        <w:pStyle w:val="1"/>
        <w:snapToGrid w:val="0"/>
        <w:spacing w:beforeLines="0" w:before="240" w:after="240"/>
        <w:rPr>
          <w:rFonts w:ascii="宋体" w:hAnsi="宋体"/>
          <w:szCs w:val="30"/>
        </w:rPr>
      </w:pPr>
      <w:bookmarkStart w:id="4" w:name="_Toc240548817"/>
      <w:r>
        <w:rPr>
          <w:rFonts w:ascii="Times New Roman" w:hAnsi="Times New Roman"/>
          <w:sz w:val="30"/>
        </w:rPr>
        <w:lastRenderedPageBreak/>
        <w:t>一、绪言</w:t>
      </w:r>
      <w:bookmarkEnd w:id="4"/>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数据产业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数据产业灵活配置混合型证券投资基金基金合同》（以下简称“基金合同”）编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5" w:name="_Toc240548818"/>
      <w:r>
        <w:rPr>
          <w:rFonts w:ascii="Times New Roman" w:hAnsi="Times New Roman"/>
          <w:sz w:val="30"/>
        </w:rPr>
        <w:lastRenderedPageBreak/>
        <w:t>二、释义</w:t>
      </w:r>
      <w:bookmarkEnd w:id="5"/>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1、基金或本基金：指交银施罗德数据产业灵活配置混合型证券投资基金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4、《基金合同》或基金合同：指《交银施罗德数据产业灵活配置混合型证券投资基金基金合同》及对基金合同的任何有效修订和补充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5、托管协议：指基金管理人与基金托管人就本基金签订之《交银施罗德数据产业灵活配置混合型证券投资基金托管协议》及对该托管协议的任何有效修订和补充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6、招募说明书或《招募说明书》或本招募说明书：指《交银施罗德数据产业灵活配置混合型证券投资基金招募说明书》及其更新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7、基金份额发售公告：指《交银施罗德数据产业灵活配置混合型证券投资基金基金份额发售公告》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8、基金产品资料概要：指《交银施罗德数据产业灵活配置混合型证券投资基金基金产品资料概要》及其更新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44、转托管：指基金份额持有人在本基金的不同销售机构之间实施的变更所持基金份额销售机构的操作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w:t>
      </w:r>
      <w:r>
        <w:rPr>
          <w:rFonts w:ascii="宋体" w:hAnsi="宋体"/>
          <w:sz w:val="24"/>
        </w:rPr>
        <w:lastRenderedPageBreak/>
        <w:t>站）等媒介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6" w:name="_Toc240548819"/>
      <w:r>
        <w:rPr>
          <w:rFonts w:ascii="Times New Roman" w:hAnsi="Times New Roman"/>
          <w:sz w:val="30"/>
        </w:rPr>
        <w:lastRenderedPageBreak/>
        <w:t>三、基金管理人</w:t>
      </w:r>
      <w:bookmarkEnd w:id="6"/>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扬先生: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型证券投资基金(2024年06月18日至今)、交银施罗德启合混合型证券投资基金(2024年11月27日至今)、交银施罗德定期支付月月丰债券型证券投资基金(2026年05月16日至今)、交银施罗德优择回报灵活配置混合型证券投资基金(2026年07月25日至今)的基金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芮晨先生(2016年08月16日至2019年05月29日)；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田彧龙先生(2019年05月14日至2024年06月29日)。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w:t>
      </w:r>
      <w:r>
        <w:rPr>
          <w:rFonts w:ascii="宋体" w:hAnsi="宋体"/>
          <w:sz w:val="24"/>
        </w:rPr>
        <w:lastRenderedPageBreak/>
        <w:t>法性、合规性和风险状况进行检查和评估，对公司监察稽核制度的有效性进行评价，监督检查公司财务状况，审计公司的财务报表，评估公司的财务表现，保证公司的财务运作符合法律的要求和通行的会计标准。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公司建立、健全了内控体系，通过高管人员关于内控的明确分工，确保各项业务活动有恰当的组织和授权，确保监察活动独立，并得到高管人员的支持，同时置备操作手册，并定期更新。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7" w:name="_Toc240548820"/>
      <w:r>
        <w:rPr>
          <w:rFonts w:ascii="Times New Roman" w:hAnsi="Times New Roman"/>
          <w:sz w:val="30"/>
        </w:rPr>
        <w:lastRenderedPageBreak/>
        <w:t>四、基金托管人</w:t>
      </w:r>
      <w:bookmarkEnd w:id="7"/>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8" w:name="_Toc240548821"/>
      <w:r>
        <w:rPr>
          <w:rFonts w:ascii="Times New Roman" w:hAnsi="Times New Roman"/>
          <w:sz w:val="30"/>
        </w:rPr>
        <w:lastRenderedPageBreak/>
        <w:t>五、相关服务机构</w:t>
      </w:r>
      <w:bookmarkEnd w:id="8"/>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（3）名称：长沙银行股份有限公司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住所：湖南省长沙市芙蓉中路一段433号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办公地址：湖南省长沙市芙蓉中路一段433号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法定代表人：朱玉国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电话：（0731）84305387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传真：（0731）84305387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客户服务电话：96511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网址：www.cscb.cn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（4）名称：中国邮政储蓄银行股份有限公司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（5）名称：厦门银行股份有限公司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（8）名称：中国光大银行股份有限公司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（11）名称：中国银河证券股份有限公司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（12）名称：万联证券股份有限公司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（13）名称：中邮证券有限责任公司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注册地址：陕西省西安市唐延路5号（陕西邮政信息大厦9-11层）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（14）名称：国联民生证券股份有限公司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（15）名称：开源证券股份有限公司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（16）名称：西部证券股份有限公司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（17）名称：东方证券股份有限公司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（18）名称：方正证券股份有限公司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（19）名称：德邦证券股份有限公司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（20）名称：国投证券股份有限公司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（21）名称：中信建投证券股份有限公司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（22）名称：东方财富证券股份有限公司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（23）名称：国信证券股份有限公司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网址：www.guosen.com.cn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（24）名称：金融街证券股份有限公司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（25）名称：兴业证券股份有限公司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（26）名称：广发证券股份有限公司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办公地址：兰州市城关区东岗西路638号财富中心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（28）名称：华宝证券股份有限公司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（29）名称：长城国瑞证券有限公司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（30）名称：大同证券有限责任公司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 话：（0351）4130322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（31）名称：招商证券股份有限公司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（32）名称：第一创业证券股份有限公司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（33）名称：华西证券股份有限公司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网址：www.hx168.com.cn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（34）名称：信达证券股份有限公司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（35）名称：中国国际金融股份有限公司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（36）名称：华鑫证券有限责任公司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（37）名称：江海证券有限公司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（38）名称：中泰证券股份有限公司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（39）名称：申万宏源西部证券有限公司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（40）名称：申万宏源证券有限公司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（41）名称：国都证券股份有限公司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客户服务电话：400-818-8118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（42）名称：平安证券股份有限公司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（43）名称：渤海证券股份有限公司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（44）名称：南京证券股份有限公司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（45）名称：西南证券股份有限公司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住所：重庆市江北区桥北苑8号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（46）名称：东莞证券股份有限公司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（47）名称：华泰证券股份有限公司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（48）名称：中信证券（山东）有限责任公司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传真：0532-85022605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（49）名称：中信证券股份有限公司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（50）名称：中信证券华南股份有限公司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（51）名称：国泰海通证券股份有限公司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（52）名称：中国中金财富证券有限公司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住所：深圳市福田区益田路与福中路交界处荣超商务中心A栋第18层-21层及第04层01.02.03.05.11.12.13.15.16.18.19.20.21.22.23单元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（53）名称：国金证券股份有限公司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（54）名称：民生证券股份有限公司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（55）名称：上海中欧财富基金销售有限公司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电话：021-68609600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（56）名称：济安财富（北京）基金销售有限公司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（57）名称：博时财富基金销售有限公司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（58）名称：中信百信银行股份有限公司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客户服务电话：956186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（59）名称：大连网金基金销售有限公司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（60）名称：阳光人寿保险股份有限公司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（61）名称：玄元保险代理有限公司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（62）名称：上海大智慧基金销售有限公司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办公地址：上海市浦东新区杨高南路428号1号楼10-11层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（63）名称：和耕传承基金销售有限公司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（64）名称：腾安基金销售（深圳）有限公司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（65）名称：珠海盈米基金销售有限公司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电话：（020）89629099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（66）名称：上海华夏财富投资管理有限公司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（67）名称：北京度小满基金销售有限公司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（68）名称：南京苏宁基金销售有限公司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客户服务电话：95177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（69）名称：嘉实财富管理有限公司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（70）名称：北京汇成基金销售有限公司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（71）名称：上海利得基金销售有限公司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（72）名称：北京虹点基金销售有限公司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住所：北京市朝阳区工人体育场北路甲2号裙房2层222单元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（73）名称：上海挖财基金销售有限公司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（74）名称：万家财富基金销售（天津）有限公司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（75）名称：上海万得基金销售有限公司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宋晓言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（76）名称：格上富信投资顾问有限公司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（77）名称：深圳市金斧子基金销售有限公司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（78）名称：北京雪球基金销售有限公司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（79）名称：北京新浪仓石基金销售有限公司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（80）名称：上海证达通基金销售有限公司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（81）名称：北京创金启富基金销售有限公司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https://www.5irich.com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（82）名称：奕丰基金销售有限公司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（83）名称：上海天天基金销售有限公司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（84）名称：和讯信息科技有限公司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（85）名称：诺亚正行基金销售有限公司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住所:上海市虹口区飞虹路360弄9号3724室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（86）名称：上海好买基金销售有限公司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（87）名称：上海长量基金销售有限公司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（88）名称：深圳众禄基金销售股份有限公司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（89）名称：天相投资顾问有限公司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（90）名称：上海基煜基金销售有限公司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（91）名称：浙江同花顺基金销售有限公司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客户服务电话：952555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（92）名称：宜信普泽（北京）基金销售有限公司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（93）名称：上海联泰基金销售有限公司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（94）名称：北京广源达信基金销售有限公司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（95）名称：深圳市新兰德证券投资咨询有限公司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住所：深圳市福田区华强北路赛格科技园4栋10层1006#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（96）名称：北京展恒基金销售股份有限公司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（97）名称：泛华普益基金销售有限公司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（98）名称：深圳前海微众银行股份有限公司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法定代表人：顾敏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（99）名称：中国人寿保险股份有限公司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（100）名称：中信期货有限公司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（101）名称：蚂蚁（杭州）基金销售有限公司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客户服务电话：95188-8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（102）名称：易方达财富管理基金销售（广州）有限公司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住所：广州市南沙区横沥镇期航二街2号101房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办公地址：广东省广州市天河区珠江东路30号广州银行大厦41楼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电话：020-85102688-7498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联系人：吕晋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客户服务电话：4001608888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网址：www.efundcf.com.cn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（103）名称：京东肯特瑞基金销售有限公司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（104）名称：上海陆金所基金销售有限公司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金，并在管理人网站公示。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9" w:name="_Toc240548822"/>
      <w:r>
        <w:rPr>
          <w:rFonts w:ascii="Times New Roman" w:hAnsi="Times New Roman"/>
          <w:sz w:val="30"/>
        </w:rPr>
        <w:lastRenderedPageBreak/>
        <w:t>六、基金的募集</w:t>
      </w:r>
      <w:bookmarkEnd w:id="9"/>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本基金由基金管理人依照《基金法》、《运作办法》、基金合同及其他有关规定，并经中国证监会2016年5月17日证监许可[2016]1060号文准予募集注册。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本基金自2016年7月14日至2016年8月10日进行发售，本基金设立募集期共募集2,200,062,808.52份基金份额，有效认购户数为22,651户。</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0" w:name="_Toc240548823"/>
      <w:r>
        <w:rPr>
          <w:rFonts w:ascii="Times New Roman" w:hAnsi="Times New Roman"/>
          <w:sz w:val="30"/>
        </w:rPr>
        <w:lastRenderedPageBreak/>
        <w:t>七、基金合同的生效</w:t>
      </w:r>
      <w:bookmarkEnd w:id="10"/>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根据有关规定，本基金满足基金合同生效条件，基金合同已于2016年8月16日正式生效。自基金合同生效之日起，本基金管理人正式开始管理本基金。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1" w:name="_Toc240548824"/>
      <w:r>
        <w:rPr>
          <w:rFonts w:ascii="Times New Roman" w:hAnsi="Times New Roman"/>
          <w:sz w:val="30"/>
        </w:rPr>
        <w:lastRenderedPageBreak/>
        <w:t>八、基金份额的申购与赎回</w:t>
      </w:r>
      <w:bookmarkEnd w:id="11"/>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w:t>
      </w:r>
      <w:r>
        <w:rPr>
          <w:rFonts w:ascii="宋体" w:hAnsi="宋体"/>
          <w:sz w:val="24"/>
        </w:rPr>
        <w:lastRenderedPageBreak/>
        <w:t>所、深圳证券交易所的正常交易日的交易时间，但基金管理人根据法律法规、中国证监会的要求或基金合同的规定公告暂停申购、赎回时除外。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本基金A类基金份额已于2016年9月19日起开放申购、赎回业务。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本基金C类基金份额已于2021年12月17日起开放申购、赎回业务。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3、申购和赎回申请的确认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0700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70700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w:t>
      </w:r>
      <w:r>
        <w:rPr>
          <w:rFonts w:ascii="宋体" w:hAnsi="宋体"/>
          <w:sz w:val="24"/>
        </w:rPr>
        <w:lastRenderedPageBreak/>
        <w:t>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0700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0700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0700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00E" w:rsidRDefault="0070700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w:t>
      </w:r>
      <w:r>
        <w:rPr>
          <w:rFonts w:ascii="宋体" w:hAnsi="宋体"/>
          <w:sz w:val="24"/>
        </w:rPr>
        <w:lastRenderedPageBreak/>
        <w:t>当日该类基金份额的基金份额净值并扣除相应的费用（如有），赎回金额单位为元。赎回金额计算结果按四舍五入方法，保留到小数点后2位，由此产生的收益或损失由基金财产承担。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w:t>
      </w:r>
      <w:r>
        <w:rPr>
          <w:rFonts w:ascii="宋体" w:hAnsi="宋体"/>
          <w:sz w:val="24"/>
        </w:rPr>
        <w:lastRenderedPageBreak/>
        <w:t>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赎回金额为按实际确认的A类基金份额或C类基金份额有效赎回份额乘以当日该类基金份额的基金份额净值并扣除相应的费用（如有），赎回金额单位为元，计算结果保留到小数点后两位，第三位四舍五入。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w:t>
      </w:r>
      <w:r>
        <w:rPr>
          <w:rFonts w:ascii="宋体" w:hAnsi="宋体"/>
          <w:sz w:val="24"/>
        </w:rPr>
        <w:lastRenderedPageBreak/>
        <w:t>率为0.5%，假设赎回当日C类基金份额净值是1.0160元，则其可得到的赎回金额为：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w:t>
      </w:r>
      <w:r>
        <w:rPr>
          <w:rFonts w:ascii="宋体" w:hAnsi="宋体"/>
          <w:sz w:val="24"/>
        </w:rPr>
        <w:lastRenderedPageBreak/>
        <w:t>额的比例超过50%，或者变相规避50%集中度的情形。出现上述情形时，基金管理人有权将上述申购申请全部或部分确认失败。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6、继续接受赎回申请将损害现有基金份额持有人利益的情形时，可暂停接受投资人的赎回申请。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1、巨额赎回的认定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当发生上述延期赎回并延期办理时，基金管理人应当通过邮寄、传真、刊登公告或者通知销售机构代为告知等方式在3个交易日内通知基金份额持有人，说明有关处理方法，并在2日内在指定媒介上刊登公告。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本基金2016年9月13日刊登公告自2016年9月19日起开通A类基金份额的定期定额投资计划业务，本基金2021年12月15日刊登公告自2021年12月17日起增设C类基</w:t>
      </w:r>
      <w:r>
        <w:rPr>
          <w:rFonts w:ascii="宋体" w:hAnsi="宋体"/>
          <w:sz w:val="24"/>
        </w:rPr>
        <w:lastRenderedPageBreak/>
        <w:t>金份额并开通C类基金份额的定期定额投资计划业务，具体开通销售机构名单和业务规则参见相关公告。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2" w:name="_Toc240548825"/>
      <w:r>
        <w:rPr>
          <w:rFonts w:ascii="Times New Roman" w:hAnsi="Times New Roman"/>
          <w:sz w:val="30"/>
        </w:rPr>
        <w:lastRenderedPageBreak/>
        <w:t>九、基金的转换</w:t>
      </w:r>
      <w:bookmarkEnd w:id="12"/>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本基金2017年1月9日刊登公告自2017年1月12日起开放A类基金份额的日常转换业务。本基金2021年12月22日刊登公告自2021年12月23日起开放C类基金份额的日常转换业务。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w:t>
      </w:r>
      <w:r>
        <w:rPr>
          <w:rFonts w:ascii="宋体" w:hAnsi="宋体"/>
          <w:sz w:val="24"/>
        </w:rPr>
        <w:lastRenderedPageBreak/>
        <w:t>优惠，优惠费率只适用于转出与转入基金申购补差费用，转出基金的赎回费用无优惠。可通过网上直销交易平台办理的转换业务范围及转换费率优惠的具体情况请参阅本基金管理人网站。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5、本基金管理人可以根据法律法规及基金合同的规定对上述转换费用收费方式和费率进行调整，并应于调整后的收费方式和费率在实施前依照《信息披露办法》的有关规定在中国证监会指定媒介上公告。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转入确认金额=101,000-505=100,495元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2、后端收费模式下基金转换份额的计算公式及举例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转入基金确认份额=（124,750-1497）/1.00=123,253.00份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w:t>
      </w:r>
      <w:r>
        <w:rPr>
          <w:rFonts w:ascii="宋体" w:hAnsi="宋体"/>
          <w:sz w:val="24"/>
        </w:rPr>
        <w:lastRenderedPageBreak/>
        <w:t>1.00元）。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3" w:name="_Toc240548826"/>
      <w:r>
        <w:rPr>
          <w:rFonts w:ascii="Times New Roman" w:hAnsi="Times New Roman"/>
          <w:sz w:val="30"/>
        </w:rPr>
        <w:lastRenderedPageBreak/>
        <w:t>十、基金的投资</w:t>
      </w:r>
      <w:bookmarkEnd w:id="13"/>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本基金重点关注数据产业链的上中下游企业，在控制风险并保持基金资产良好的流动性的前提下，力争实现基金资产的长期稳定增值。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本基金所定义的数据产业的主题范畴是指产生并存储着海量的数据资源的上游资源型公司；依托在数据处理技术上具有卡位优势的中游技术型公司，以及通过对开放数据的交叉关联运用对数据资源实现大数据价值挖掘后的下游平台型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w:t>
      </w:r>
      <w:r>
        <w:rPr>
          <w:rFonts w:ascii="宋体" w:hAnsi="宋体"/>
          <w:sz w:val="24"/>
        </w:rPr>
        <w:lastRenderedPageBreak/>
        <w:t>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其中，本基金将密切跟踪各类行业的数据化程度，把握因直接或间接受益于数据产业链所带来的投资机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本基金管理人的股票投资具体分以下几个层次进行：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股票组合。其中本基金重点关注范围涵盖全数据产业链中的三个主要维度：上游的资源型公司、中游的技术型公司，以及下游的平台型公司，具体包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■数据资源型公司：涵盖新兴互联网公司、以及部分将线下数据线上化、数据化以生产丰富数据资源的传统企业和线下龙头企业；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■数据技术型公司：在数据准备、数据存储与管理、计算处理等诸多环节上具有卡位优势的公司；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■数据平台型公司：对接数据资源和数据应用，在关联中形成价值增长的企；在不同领域的数据关联中创造新商业模式的企业；以及其他在未来可以产生数据的</w:t>
      </w:r>
      <w:r>
        <w:rPr>
          <w:rFonts w:ascii="宋体" w:hAnsi="宋体"/>
          <w:sz w:val="24"/>
        </w:rPr>
        <w:lastRenderedPageBreak/>
        <w:t>行业和公司。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本基金管理人将对所关注的重点上市公司进行内在价值的评估和成长性跟踪研究，在明确的价值评估基础上精选优秀质地的投资标的构建股票组合。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7、股指期货投资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w:t>
      </w:r>
      <w:r>
        <w:rPr>
          <w:rFonts w:ascii="宋体" w:hAnsi="宋体"/>
          <w:sz w:val="24"/>
        </w:rPr>
        <w:lastRenderedPageBreak/>
        <w:t>研究分析、投资决策、交易执行及风险控制各环节的独立运作，并明确相关岗位职责。此外，基金管理人建立股指期货交易决策部门或小组，并授权特定的管理人员负责股指期货的投资审批事项。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（1）股票资产（含存托凭证）占基金资产的0%-95%；本基金投资数据产业链上中下游相关证券的比例不低于非现金基金资产的80%；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（14）本基金进入全国银行间同业市场进行债券回购的资金余额不得超过基金资产净值的40%，本基金在全国银行间同业市场中的债券回购最长期限为1年，债券回购到期后不得展期；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（20）本基金投资流通受限证券，基金管理人应事先根据中国证监会相关规定，与基金托管人在基金托管协议中明确基金投资流通受限证券的比例，根据比例</w:t>
      </w:r>
      <w:r>
        <w:rPr>
          <w:rFonts w:ascii="宋体" w:hAnsi="宋体"/>
          <w:sz w:val="24"/>
        </w:rPr>
        <w:lastRenderedPageBreak/>
        <w:t>进行投资。基金管理人应制订严格的投资决策流程和风险控制制度，防范流动性风险、法律风险和操作风险等各种风险；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18）、（19）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w:t>
      </w:r>
      <w:r>
        <w:rPr>
          <w:rFonts w:ascii="宋体" w:hAnsi="宋体"/>
          <w:sz w:val="24"/>
        </w:rPr>
        <w:lastRenderedPageBreak/>
        <w:t>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本基金业绩比较基准：中证全指信息技术指数收益率×85%+中债-国债总财富（1-3年）指数收益率×15%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股票、债券等资产，相应选取与之匹配的股票指数与债券指数作为基准要素；同时基于基金投资股票资产（含存托凭证）占基金资产的比例为0%-95%、投资数据产业链上中下游相关证券的比例不低于非现金基金资产的80%等投资比例限制，以及预期的资产配置比例，本基金将股票资产与债券资产所对应的基准要素权重分别设置为85%与15%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股票资产主要投向数据产业链上中下游相关公司，并在相关领域中精选在公司治理、财务及管理品质上符合基本品质要求、估值具有吸引力的优质公司，从而力争在控制风险的基础上追求超越业绩比较基准的投资回报。综合考虑基准指数与产品定位、投资风格与主题库的匹配度，同时兼顾考虑基准指数的表征性、认可度，以及指数主题界定、市值覆盖、行业与个股分布等，本基金选取中证全指信息技术指数作为股票部分的基准要素，具体情况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全指信息技术指数从中证全指指数范围内选取流动性较好、市值较大的信息技术行业上市公司证券作为指数样本，以反映信息技术行业上市公司证券的整体表现，适合作为本基金股票部分的业绩比较基准要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w:t>
      </w:r>
      <w:r>
        <w:rPr>
          <w:rFonts w:ascii="宋体" w:hAnsi="宋体"/>
          <w:sz w:val="24"/>
        </w:rPr>
        <w:lastRenderedPageBreak/>
        <w:t>合作为本基金债券部分的业绩比较基准要素。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中证全指信息技术指数由中证指数有限公司编制发布，指数代码为000993，指数具体信息详见中证指数有限公司网站，网址：www.csindex.com.cn。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全指信息技术指数、中债-国债总财富（1-3年）指数的每日收益率，再按照预设权重比例计算当日组合要素基准的日收益率，并连乘每日收益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保持主要配置数据产业链上中下游相关上市公司，从而力争在控制风险的基础上追求超越业绩比较基准的投资回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（七）基金管理人代表基金行使股东及债权人权利的处理原则及方法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w:t>
      </w:r>
      <w:r>
        <w:rPr>
          <w:rFonts w:ascii="宋体" w:hAnsi="宋体"/>
          <w:sz w:val="24"/>
        </w:rPr>
        <w:lastRenderedPageBreak/>
        <w:t>意见后，可以依照法律法规及基金合同的约定启用侧袋机制。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本投资组合报告期为2026年01月01日起至03月31日。所载财务数据未经审计师审计。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489,430,273.50</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92.72</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489,430,273.50</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92.72</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4,905,538.44</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438,471.36</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527,886,197.82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179,770.92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451,977,338.63</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85.93</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37,214,177.97</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7.07</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46,988.32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10,152.00</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489,430,273.50</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93.05</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98,299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43,939,653.00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8.35</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331,528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33,550,633.60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6.38</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688120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华海清科</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161,709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28,137,366.00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5.35</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688037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芯源微</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153,519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25,723,643.64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4.89</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688361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中科飞测</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160,535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24,409,346.75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4.64</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002463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沪电股份</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314,700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23,907,759.00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688041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海光信息</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108,591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22,832,343.66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4.34</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688766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普冉股份</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96,223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21,668,457.37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90,996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21,666,147.60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688256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寒武纪</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20,246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19,901,818.00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3.78</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328,000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33,111,914.52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9.2 本基金投资股指期货的投资政策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257,207.82</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108,508.50</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72,755.04</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right"/>
              <w:rPr>
                <w:rFonts w:ascii="宋体" w:hAnsi="宋体"/>
                <w:color w:val="000000"/>
                <w:kern w:val="0"/>
                <w:sz w:val="25"/>
                <w:szCs w:val="24"/>
              </w:rPr>
            </w:pPr>
            <w:r>
              <w:rPr>
                <w:rFonts w:ascii="Times New Roman" w:hAnsi="Times New Roman"/>
                <w:color w:val="000000"/>
                <w:kern w:val="0"/>
                <w:sz w:val="25"/>
                <w:szCs w:val="24"/>
              </w:rPr>
              <w:t>438,471.36</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0700E" w:rsidRDefault="00B1013E">
      <w:pPr>
        <w:pStyle w:val="1"/>
        <w:snapToGrid w:val="0"/>
        <w:spacing w:beforeLines="0" w:before="240" w:after="240"/>
        <w:rPr>
          <w:rFonts w:ascii="宋体" w:hAnsi="宋体"/>
          <w:szCs w:val="30"/>
        </w:rPr>
      </w:pPr>
      <w:bookmarkStart w:id="14" w:name="_Toc240548827"/>
      <w:r>
        <w:rPr>
          <w:rFonts w:ascii="Times New Roman" w:hAnsi="Times New Roman"/>
          <w:sz w:val="30"/>
        </w:rPr>
        <w:lastRenderedPageBreak/>
        <w:t>十一、基金的业绩</w:t>
      </w:r>
      <w:bookmarkEnd w:id="14"/>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（1）交银数据产业灵活配置混合A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5.46%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48.78%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37.89%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-12.86%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-25.38%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6.71%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-25.67%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-13.63%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18.70%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19.46%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63.96%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46.33%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92.50%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69.41%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-13.74%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-19.55%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-32.36%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-5.90%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-4.06%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（2）交银数据产业灵活配置混合C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3.34%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5.31%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47.88%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36.99%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-13.40%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-25.92%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6.11%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-26.08%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-14.04%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rsidR="0070700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bl>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注：本基金的业绩比较基准为沪深300指数收益率×60%+中证综合债券指数收益率×40%，每日进行再平衡过程。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0700E" w:rsidRDefault="00B1013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交银施罗德数据产业灵活配置混合型证券投资基金</w:t>
      </w:r>
    </w:p>
    <w:p w:rsidR="0070700E" w:rsidRDefault="00B1013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70700E" w:rsidRDefault="00B1013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（2016年8月16日至2026年03月31日）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（1）交银数据产业灵活配置混合A</w:t>
      </w:r>
    </w:p>
    <w:p w:rsidR="0070700E" w:rsidRDefault="00B0239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（2）交银数据产业灵活配置混合C</w:t>
      </w:r>
    </w:p>
    <w:p w:rsidR="0070700E" w:rsidRDefault="00B0239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2、本基金自2021年12月17日起，开始销售C类份额，投资者提交的申购申请于2021年12月20日被确认并将有效份额登记在册。</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5" w:name="_Toc240548828"/>
      <w:r>
        <w:rPr>
          <w:rFonts w:ascii="Times New Roman" w:hAnsi="Times New Roman"/>
          <w:sz w:val="30"/>
        </w:rPr>
        <w:lastRenderedPageBreak/>
        <w:t>十二、基金的财产</w:t>
      </w:r>
      <w:bookmarkEnd w:id="15"/>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基金托管人根据相关法律法规、规范性文件为本基金开立资金账户、证券账户。开立的基金专用账户与基金管理人、基金托管人、基金销售机构和基金登记机构自有的财产账户以及其他基金财产账户相独立。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6" w:name="_Toc240548829"/>
      <w:r>
        <w:rPr>
          <w:rFonts w:ascii="Times New Roman" w:hAnsi="Times New Roman"/>
          <w:sz w:val="30"/>
        </w:rPr>
        <w:lastRenderedPageBreak/>
        <w:t>十三、基金资产的估值</w:t>
      </w:r>
      <w:bookmarkEnd w:id="16"/>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基金管理人和基金托管人将采取必要、适当、合理的措施确保基金资产估值的准确性、及时性。当基金份额净值小数点后第4位以内（含第4位) 发生估值错误时，视为基金份额净值错误。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w:t>
      </w:r>
      <w:r>
        <w:rPr>
          <w:rFonts w:ascii="宋体" w:hAnsi="宋体"/>
          <w:sz w:val="24"/>
        </w:rPr>
        <w:lastRenderedPageBreak/>
        <w:t>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w:t>
      </w:r>
      <w:r>
        <w:rPr>
          <w:rFonts w:ascii="宋体" w:hAnsi="宋体"/>
          <w:sz w:val="24"/>
        </w:rPr>
        <w:lastRenderedPageBreak/>
        <w:t>认后，基金管理人应当暂停估值；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7" w:name="_Toc240548830"/>
      <w:r>
        <w:rPr>
          <w:rFonts w:ascii="Times New Roman" w:hAnsi="Times New Roman"/>
          <w:sz w:val="30"/>
        </w:rPr>
        <w:lastRenderedPageBreak/>
        <w:t>十四、基金收益与分配</w:t>
      </w:r>
      <w:bookmarkEnd w:id="17"/>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8" w:name="_Toc240548831"/>
      <w:r>
        <w:rPr>
          <w:rFonts w:ascii="Times New Roman" w:hAnsi="Times New Roman"/>
          <w:sz w:val="30"/>
        </w:rPr>
        <w:lastRenderedPageBreak/>
        <w:t>十五、基金的费用与税收</w:t>
      </w:r>
      <w:bookmarkEnd w:id="18"/>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H＝E×1.20%÷当年天数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本基金的托管费按前一日基金资产净值的0.20%的年费率计提。托管费的计算方法如下：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H＝E×0.20%÷当年天数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在履行适当程序后，基金管理人和基金托管人可根据基金发展情况调整基金管理费率、基金托管费率、销售服务费率等相关费率。基金管理人必须依照有关规定于新的费率实施日前在指定媒介上刊登公告。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19" w:name="_Toc240548832"/>
      <w:r>
        <w:rPr>
          <w:rFonts w:ascii="Times New Roman" w:hAnsi="Times New Roman"/>
          <w:sz w:val="30"/>
        </w:rPr>
        <w:lastRenderedPageBreak/>
        <w:t>十六、基金的会计与审计</w:t>
      </w:r>
      <w:bookmarkEnd w:id="19"/>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0" w:name="_Toc240548833"/>
      <w:r>
        <w:rPr>
          <w:rFonts w:ascii="Times New Roman" w:hAnsi="Times New Roman"/>
          <w:sz w:val="30"/>
        </w:rPr>
        <w:lastRenderedPageBreak/>
        <w:t>十七、基金的信息披露</w:t>
      </w:r>
      <w:bookmarkEnd w:id="20"/>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次日，通过指定网站、基金销售机构网站或者营业网点分别披露开放日A类基金份额和C类基金份额所对应的基金份额净值和基金份额累计净值。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基金管理人应在本基金投资非公开发行股票后两个交易日内，在中国证监会指定媒介披露所投资非公开发行股票的名称、数量、总成本、账面价值，以及总成本和账面价值占基金资产净值的比例、锁定期等信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1" w:name="_Toc240548834"/>
      <w:r>
        <w:rPr>
          <w:rFonts w:ascii="Times New Roman" w:hAnsi="Times New Roman"/>
          <w:sz w:val="30"/>
        </w:rPr>
        <w:lastRenderedPageBreak/>
        <w:t>十八、侧袋机制</w:t>
      </w:r>
      <w:bookmarkEnd w:id="21"/>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0700E" w:rsidRDefault="00B1013E">
      <w:pPr>
        <w:pStyle w:val="1"/>
        <w:snapToGrid w:val="0"/>
        <w:spacing w:beforeLines="0" w:before="240" w:after="240"/>
        <w:rPr>
          <w:rFonts w:ascii="宋体" w:hAnsi="宋体"/>
          <w:szCs w:val="30"/>
        </w:rPr>
      </w:pPr>
      <w:bookmarkStart w:id="22" w:name="_Toc240548835"/>
      <w:r>
        <w:rPr>
          <w:rFonts w:ascii="Times New Roman" w:hAnsi="Times New Roman"/>
          <w:sz w:val="30"/>
        </w:rPr>
        <w:lastRenderedPageBreak/>
        <w:t>十九、风险揭示</w:t>
      </w:r>
      <w:bookmarkEnd w:id="22"/>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 因此实施侧袋机制后主袋账户份额存在暂停申购的可能。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主题风险：本基金投资数据产业链上中下游有关证券的比例不低于非现金资产的80%，因此本基金的股票投资与本基金界定的符合“数据产业”主题范畴的上市公司发行证券的相关性较大，需承担相应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（六）投资股指期货的特定风险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w:t>
      </w:r>
      <w:r>
        <w:rPr>
          <w:rFonts w:ascii="宋体" w:hAnsi="宋体"/>
          <w:sz w:val="24"/>
        </w:rPr>
        <w:lastRenderedPageBreak/>
        <w:t>头寸所要求的保证金而带来的风险。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（八）投资流通受限证券的特定风险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通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（九）投资科创板股票的特定风险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w:t>
      </w:r>
      <w:r>
        <w:rPr>
          <w:rFonts w:ascii="宋体" w:hAnsi="宋体"/>
          <w:sz w:val="24"/>
        </w:rPr>
        <w:lastRenderedPageBreak/>
        <w:t>上才可参与，二级市场上个人投资者参与度相对较低，机构持有个股大量流通盘导致个股流动性较差，基金组合存在无法及时变现及其他相关流动性风险。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w:t>
      </w:r>
      <w:r>
        <w:rPr>
          <w:rFonts w:ascii="宋体" w:hAnsi="宋体"/>
          <w:sz w:val="24"/>
        </w:rPr>
        <w:lastRenderedPageBreak/>
        <w:t>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（十二）其他风险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3" w:name="_Toc240548836"/>
      <w:r>
        <w:rPr>
          <w:rFonts w:ascii="Times New Roman" w:hAnsi="Times New Roman"/>
          <w:sz w:val="30"/>
        </w:rPr>
        <w:lastRenderedPageBreak/>
        <w:t>二十、基金合同的变更、终止与基金财产的清算</w:t>
      </w:r>
      <w:bookmarkEnd w:id="23"/>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4" w:name="_Toc240548837"/>
      <w:r>
        <w:rPr>
          <w:rFonts w:ascii="Times New Roman" w:hAnsi="Times New Roman"/>
          <w:sz w:val="30"/>
        </w:rPr>
        <w:lastRenderedPageBreak/>
        <w:t>二十一、基金合同内容摘要</w:t>
      </w:r>
      <w:bookmarkEnd w:id="24"/>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（4）根据相关市场规则，为基金开设资金账户、证券账户、协助开立股指期货业务相关账户及交易编码、为基金办理证券、期货交易资金清算；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w:t>
      </w:r>
      <w:r>
        <w:rPr>
          <w:rFonts w:ascii="宋体" w:hAnsi="宋体"/>
          <w:sz w:val="24"/>
        </w:rPr>
        <w:lastRenderedPageBreak/>
        <w:t>份额申购、赎回价格；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同一类别的每份基金份额具有同等的合法权益。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（2）在符合法律法规及本基金合同规定、并且对基金份额持有人利益无实质不利影响的前提下，以下情况可由基金管理人和基金托管人协商后修改，不需召开基金份额持有人大会：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2）在法律法规和《基金合同》规定的范围内，且在对现有基金份额持有人利益无实质性不利影响的前提下调整本基金的申购费率、调低赎回费率及销售服务费率、变更或增加收费方式；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7）在不违反法律法规及对基金份额持有人利益无实质性不利影响的前提下，基金管理人、登记机构、销售机构调整有关基金认购、申购、赎回、转换、非交易过户、转托管等业务的规则；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w:t>
      </w:r>
      <w:r>
        <w:rPr>
          <w:rFonts w:ascii="宋体" w:hAnsi="宋体"/>
          <w:sz w:val="24"/>
        </w:rPr>
        <w:lastRenderedPageBreak/>
        <w:t>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w:t>
      </w:r>
      <w:r>
        <w:rPr>
          <w:rFonts w:ascii="宋体" w:hAnsi="宋体"/>
          <w:sz w:val="24"/>
        </w:rPr>
        <w:lastRenderedPageBreak/>
        <w:t>或基金托管人拒不派代表对表决意见的计票进行监督的，不影响表决意见的计票效力。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w:t>
      </w:r>
      <w:r>
        <w:rPr>
          <w:rFonts w:ascii="宋体" w:hAnsi="宋体"/>
          <w:sz w:val="24"/>
        </w:rPr>
        <w:lastRenderedPageBreak/>
        <w:t>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9、实施侧袋机制期间基金份额持有人大会的特殊约定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6）将清算报告报中国证监会备案并公告；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5" w:name="_Toc240548838"/>
      <w:r>
        <w:rPr>
          <w:rFonts w:ascii="Times New Roman" w:hAnsi="Times New Roman"/>
          <w:sz w:val="30"/>
        </w:rPr>
        <w:lastRenderedPageBreak/>
        <w:t>二十二、托管协议的内容摘要</w:t>
      </w:r>
      <w:bookmarkEnd w:id="25"/>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（1）股票资产（含存托凭证）占基金资产的0%-95%；本基金投资数据产业链上中下游相关证券的比例不低于非现金基金资产的80%；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（4）本基金与本基金管理人管理的、且由本基金托管人托管的其他基金持有一家公司发行的证券，不超过该证券的10%；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（6）本基金与本基金管理人管理的、且由本基金托管人托管的其他基金持有的同一权证，不得超过该权证的10%；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（11）本基金与本基金管理人管理的、且由本基金托管人托管的其他基金投资于同一原始权益人的各类资产支持证券，不得超过其各类资产支持证券合计规模的10%；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（14）本基金进入全国银行间同业市场进行债券回购的资金余额不超过基金资产净值的40%；本基金在全国银行间同业市场中的债券回购最长期限为1年，债券回购到期后不得展期；</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1）本基金在任何交易日日终，持有的买入股指期货合约价值，不得超过基金资产净值的10%；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（16）本基金持有的同一流通受限证券，其公允价值不得超过基金资产净值的10%；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除上述第（2）、（12）、（19）、（20）项以外，因证券、期货市场波动、证券发</w:t>
      </w:r>
      <w:r>
        <w:rPr>
          <w:rFonts w:ascii="宋体" w:hAnsi="宋体"/>
          <w:sz w:val="24"/>
        </w:rPr>
        <w:lastRenderedPageBreak/>
        <w:t>行人合并或基金规模变动等基金管理人之外的因素致使基金投资比例不符合上述规定的投资比例的，基金管理人应当在10个交易日内进行调整，但中国证监会规定的特殊情形除外。法律法规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w:t>
      </w:r>
      <w:r>
        <w:rPr>
          <w:rFonts w:ascii="宋体" w:hAnsi="宋体"/>
          <w:sz w:val="24"/>
        </w:rPr>
        <w:lastRenderedPageBreak/>
        <w:t>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基金投资银行定期存款的，基金管理人应根据法律法规的规定及基金合同的约定选择存款银行。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w:t>
      </w:r>
      <w:r>
        <w:rPr>
          <w:rFonts w:ascii="宋体" w:hAnsi="宋体"/>
          <w:sz w:val="24"/>
        </w:rPr>
        <w:lastRenderedPageBreak/>
        <w:t>核查。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w:t>
      </w:r>
      <w:r>
        <w:rPr>
          <w:rFonts w:ascii="宋体" w:hAnsi="宋体"/>
          <w:sz w:val="24"/>
        </w:rPr>
        <w:lastRenderedPageBreak/>
        <w:t>报告中国证监会。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（三）基金管理人对基金托管人的业务核查</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协助开立股指期货业务相关账户及交易编码、复核基金管理人计算的基金资产净值和各类基金份额净值、根据基金管理人指令办理清算交收、相关信息披露和监督基金投资运作等行为。</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w:t>
      </w:r>
      <w:r>
        <w:rPr>
          <w:rFonts w:ascii="宋体" w:hAnsi="宋体"/>
          <w:sz w:val="24"/>
        </w:rPr>
        <w:lastRenderedPageBreak/>
        <w:t>基金财产，如有特殊情况双方可另行协商解决。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4、基金证券账户和结算备付金账户的开立和管理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w:t>
      </w:r>
      <w:r>
        <w:rPr>
          <w:rFonts w:ascii="宋体" w:hAnsi="宋体"/>
          <w:sz w:val="24"/>
        </w:rPr>
        <w:lastRenderedPageBreak/>
        <w:t>基金托管人以外机构实际有效控制的证券不承担保管责任。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国家另有规定的，从其规定。</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基金管理人于每工作日计算各类基金份额的基金资产净值及基金份额净值，并按规定公告，但根据法律法规或基金合同的规定暂停估值时除外。</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w:t>
      </w:r>
      <w:r>
        <w:rPr>
          <w:rFonts w:ascii="宋体" w:hAnsi="宋体"/>
          <w:sz w:val="24"/>
        </w:rPr>
        <w:lastRenderedPageBreak/>
        <w:t>工作日内提交。</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6" w:name="_Toc240548839"/>
      <w:r>
        <w:rPr>
          <w:rFonts w:ascii="Times New Roman" w:hAnsi="Times New Roman"/>
          <w:sz w:val="30"/>
        </w:rPr>
        <w:lastRenderedPageBreak/>
        <w:t>二十三、对基金份额持有人的服务</w:t>
      </w:r>
      <w:bookmarkEnd w:id="26"/>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的申购、赎回、定期定额投资、转换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（四）基金转换业务</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本基金已开通基金转换业务，具体实施方法请参见相关公告。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7" w:name="_Toc240548840"/>
      <w:r>
        <w:rPr>
          <w:rFonts w:ascii="Times New Roman" w:hAnsi="Times New Roman"/>
          <w:sz w:val="30"/>
        </w:rPr>
        <w:lastRenderedPageBreak/>
        <w:t>二十四、其他应披露事项</w:t>
      </w:r>
      <w:bookmarkEnd w:id="27"/>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交银施罗德数据产业灵活配置混合型证券投资基金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70700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00E" w:rsidRDefault="00B101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8" w:name="_Toc240548841"/>
      <w:r>
        <w:rPr>
          <w:rFonts w:ascii="Times New Roman" w:hAnsi="Times New Roman"/>
          <w:sz w:val="30"/>
        </w:rPr>
        <w:lastRenderedPageBreak/>
        <w:t>二十五、招募说明书的存放及查阅方式</w:t>
      </w:r>
      <w:bookmarkEnd w:id="28"/>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B1013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00E" w:rsidRDefault="00B1013E">
      <w:pPr>
        <w:pStyle w:val="1"/>
        <w:snapToGrid w:val="0"/>
        <w:spacing w:beforeLines="0" w:before="240" w:after="240"/>
        <w:rPr>
          <w:rFonts w:ascii="宋体" w:hAnsi="宋体"/>
          <w:szCs w:val="30"/>
        </w:rPr>
      </w:pPr>
      <w:bookmarkStart w:id="29" w:name="_Toc240548842"/>
      <w:r>
        <w:rPr>
          <w:rFonts w:ascii="Times New Roman" w:hAnsi="Times New Roman"/>
          <w:sz w:val="30"/>
        </w:rPr>
        <w:lastRenderedPageBreak/>
        <w:t>二十六、备查文件</w:t>
      </w:r>
      <w:bookmarkEnd w:id="29"/>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（一）中国证监会准予交银施罗德数据产业灵活配置混合型证券投资基金募集注册的文件</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（二）《交银施罗德数据产业灵活配置混合型证券投资基金基金合同》</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（三）《交银施罗德数据产业灵活配置混合型证券投资基金托管协议》</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0700E" w:rsidRDefault="00B1013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（六）关于申请募集注册交银施罗数据产业灵活配置混合型证券投资基金的法律意见书</w:t>
      </w:r>
    </w:p>
    <w:sectPr w:rsidR="0070700E">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EB9" w:rsidRDefault="00B1013E">
      <w:r>
        <w:separator/>
      </w:r>
    </w:p>
  </w:endnote>
  <w:endnote w:type="continuationSeparator" w:id="0">
    <w:p w:rsidR="00B52EB9" w:rsidRDefault="00B10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70700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B0239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0700E" w:rsidRDefault="00B1013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02396">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70700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B0239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0700E" w:rsidRDefault="00B1013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B02396">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EB9" w:rsidRDefault="00B1013E">
      <w:r>
        <w:separator/>
      </w:r>
    </w:p>
  </w:footnote>
  <w:footnote w:type="continuationSeparator" w:id="0">
    <w:p w:rsidR="00B52EB9" w:rsidRDefault="00B10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7070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B1013E">
    <w:pPr>
      <w:pStyle w:val="a3"/>
      <w:jc w:val="right"/>
      <w:rPr>
        <w:rFonts w:ascii="宋体" w:hAnsi="宋体"/>
      </w:rPr>
    </w:pPr>
    <w:r>
      <w:rPr>
        <w:rFonts w:ascii="宋体" w:hAnsi="宋体" w:hint="eastAsia"/>
      </w:rPr>
      <w:t>交银施罗德数据产业灵活配置混合型证券投资基金招募说明书更新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70700E">
    <w:pPr>
      <w:pStyle w:val="10"/>
      <w:jc w:val="right"/>
    </w:pPr>
  </w:p>
  <w:p w:rsidR="0070700E" w:rsidRDefault="0070700E">
    <w:pPr>
      <w:pStyle w:val="10"/>
      <w:jc w:val="right"/>
    </w:pPr>
  </w:p>
  <w:p w:rsidR="0070700E" w:rsidRDefault="0070700E">
    <w:pPr>
      <w:pStyle w:val="a3"/>
      <w:jc w:val="right"/>
    </w:pPr>
  </w:p>
  <w:p w:rsidR="0070700E" w:rsidRDefault="00B1013E">
    <w:pPr>
      <w:pStyle w:val="a3"/>
      <w:jc w:val="right"/>
      <w:rPr>
        <w:rFonts w:ascii="宋体" w:hAnsi="宋体"/>
      </w:rPr>
    </w:pPr>
    <w:r>
      <w:rPr>
        <w:rFonts w:ascii="宋体" w:hAnsi="宋体" w:hint="eastAsia"/>
      </w:rPr>
      <w:t>交银施罗德数据产业灵活配置混合型证券投资基金招募说明书更新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00E" w:rsidRDefault="0070700E">
    <w:pPr>
      <w:pStyle w:val="a3"/>
      <w:jc w:val="right"/>
    </w:pPr>
  </w:p>
  <w:p w:rsidR="0070700E" w:rsidRDefault="0070700E">
    <w:pPr>
      <w:pStyle w:val="a3"/>
      <w:jc w:val="right"/>
    </w:pPr>
  </w:p>
  <w:p w:rsidR="0070700E" w:rsidRDefault="0070700E">
    <w:pPr>
      <w:pStyle w:val="a3"/>
      <w:jc w:val="right"/>
    </w:pPr>
  </w:p>
  <w:p w:rsidR="0070700E" w:rsidRDefault="00B1013E">
    <w:pPr>
      <w:pStyle w:val="a3"/>
      <w:jc w:val="right"/>
      <w:rPr>
        <w:rFonts w:ascii="宋体" w:hAnsi="宋体"/>
      </w:rPr>
    </w:pPr>
    <w:r>
      <w:rPr>
        <w:rFonts w:ascii="宋体" w:hAnsi="宋体" w:hint="eastAsia"/>
      </w:rPr>
      <w:t>交银施罗德数据产业灵活配置混合型证券投资基金招募说明书更新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00E"/>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396"/>
    <w:rsid w:val="00B02D39"/>
    <w:rsid w:val="00B03711"/>
    <w:rsid w:val="00B03B6B"/>
    <w:rsid w:val="00B04CC3"/>
    <w:rsid w:val="00B1013E"/>
    <w:rsid w:val="00B17DE2"/>
    <w:rsid w:val="00B2096A"/>
    <w:rsid w:val="00B20E8D"/>
    <w:rsid w:val="00B32541"/>
    <w:rsid w:val="00B3267F"/>
    <w:rsid w:val="00B35F87"/>
    <w:rsid w:val="00B379DA"/>
    <w:rsid w:val="00B37A67"/>
    <w:rsid w:val="00B41203"/>
    <w:rsid w:val="00B41500"/>
    <w:rsid w:val="00B5297F"/>
    <w:rsid w:val="00B52E16"/>
    <w:rsid w:val="00B52EB9"/>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11007960-404B-4681-9311-13483EB6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16213</Words>
  <Characters>92416</Characters>
  <Application>Microsoft Office Word</Application>
  <DocSecurity>0</DocSecurity>
  <Lines>770</Lines>
  <Paragraphs>216</Paragraphs>
  <ScaleCrop>false</ScaleCrop>
  <Company>Microsoft</Company>
  <LinksUpToDate>false</LinksUpToDate>
  <CharactersWithSpaces>108413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