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交银施罗德稳安90天持有期债券型证券投资基金（A类份额）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2026-09-18</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2026-09-21</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交银稳安90天持有期债券A</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018011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中国农业银行股份有限公司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2023-04-25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债券型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其他开放式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每个开放日开放申购，每份基金份额最短持有期限为90天，在最短持有期限内不可赎回</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姬静</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2023-04-25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2013-08-01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20个工作日出现基金份额持有人数量不满200人或者基金资产净值低于5000万元情形的，基金管理人应当在定期报告中予以披露；连续50个工作日出现前述情形的，基金合同终止，不需召开基金份额持有人大会。</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在严格控制风险和保持较高流动性的前提下，力求获得高于业绩比较基准的投资收益。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债券（含国债、金融债、央行票据、地方政府债、政府支持债、政府支持机构债、企业债、公司债、公开发行的次级债、短期融资券、超短期融资券、中期票据）、资产支持证券、债券回购、银行存款（包括定期存款、协议存款、通知存款等）、同业存单、货币市场工具、国债期货以及法律法规或中国证监会允许基金投资的其他金融工具（但须符合中国证监会相关规定）。本基金不投资于股票等权益类资产，也不投资于可转换债券、可交换债券。</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本基金的投资组合比例为：本基金投资于债券资产的比例不低于基金资产的80%。每个交易日日终在扣除国债期货合约需缴纳的交易保证金后，本基金持有的现金或到期日在一年以内的政府债券的比例合计不低于基金资产净值的5%，其中现金不包括结算备付金、存出保证金、应收申购款等。</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融合规范化的基本面研究和严谨的信用分析，在分析和判断宏观经济运行状况和金融市场运行趋势的基础上，动态调整大类金融资产比例，自上而下决定类属资产配置和债券组合久期、期限结构；在严谨深入的信用分析基础上，综合考量信用债券的信用评级，以及各类债券的流动性、供求关系和收益率水平等，自下而上精选投资标的。本基金采用的主要策略包括：1、久期调整策略；2、债券的类属配置策略；3、期限结构配置策略；4、回购策略；5、信用债券（含资产支持证券）投资策略；6、国债期货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中债-综合全价（1-3年）指数收益率×95%+活期存款基准利率×5%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本基金是一只债券型基金，其预期风险与预期收益理论上高于货币市场基金，低于混合型基金和股票型基金。</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详见《交银施罗德稳安90天持有期债券型证券投资基金招募说明书》“基金的投资”。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注：1、净值表现数据的截止日为2024年12月31日。</w:t>
      </w:r>
    </w:p>
    <w:p>
      <w:pPr>
        <w:ind w:left="420" w:firstLine="420" w:firstLineChars="200"/>
        <w:jc w:val="left"/>
        <w:rPr>
          <w:rFonts w:ascii="仿宋_GB2312" w:eastAsia="仿宋_GB2312"/>
          <w:szCs w:val="21"/>
        </w:rPr>
      </w:pPr>
      <w:r>
        <w:rPr>
          <w:rFonts w:hint="eastAsia" w:ascii="仿宋_GB2312" w:eastAsia="仿宋_GB2312"/>
          <w:szCs w:val="21"/>
        </w:rPr>
        <w:t>2、本基金合同于2023年4月25日生效，合同生效当年净值增长率按实际存续期计算。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930"/>
        <w:gridCol w:w="2409"/>
        <w:gridCol w:w="1843"/>
        <w:gridCol w:w="212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申购费（前收费）</w:t>
            </w:r>
          </w:p>
        </w:tc>
        <w:tc>
          <w:tcPr>
            <w:tcW w:w="2409" w:type="dxa"/>
          </w:tcPr>
          <w:p>
            <w:pPr>
              <w:rPr>
                <w:rFonts w:ascii="仿宋_GB2312" w:eastAsia="仿宋_GB2312"/>
                <w:szCs w:val="21"/>
              </w:rPr>
            </w:pPr>
            <w:r>
              <w:rPr>
                <w:rFonts w:hint="eastAsia" w:ascii="仿宋_GB2312" w:eastAsia="仿宋_GB2312"/>
                <w:szCs w:val="21"/>
              </w:rPr>
              <w:t>M＜100万元</w:t>
            </w:r>
          </w:p>
        </w:tc>
        <w:tc>
          <w:tcPr>
            <w:tcW w:w="1843" w:type="dxa"/>
            <w:vAlign w:val="center"/>
          </w:tcPr>
          <w:p>
            <w:pPr>
              <w:rPr>
                <w:rFonts w:ascii="仿宋_GB2312" w:eastAsia="仿宋_GB2312"/>
                <w:szCs w:val="21"/>
              </w:rPr>
            </w:pPr>
            <w:r>
              <w:rPr>
                <w:rFonts w:hint="eastAsia" w:ascii="仿宋_GB2312" w:eastAsia="仿宋_GB2312"/>
                <w:szCs w:val="21"/>
              </w:rPr>
              <w:t>0.3%</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100万元≤M＜200万元</w:t>
            </w:r>
          </w:p>
        </w:tc>
        <w:tc>
          <w:tcPr>
            <w:tcW w:w="1843" w:type="dxa"/>
            <w:vAlign w:val="center"/>
          </w:tcPr>
          <w:p>
            <w:pPr>
              <w:rPr>
                <w:rFonts w:ascii="仿宋_GB2312" w:eastAsia="仿宋_GB2312"/>
                <w:szCs w:val="21"/>
              </w:rPr>
            </w:pPr>
            <w:r>
              <w:rPr>
                <w:rFonts w:hint="eastAsia" w:ascii="仿宋_GB2312" w:eastAsia="仿宋_GB2312"/>
                <w:szCs w:val="21"/>
              </w:rPr>
              <w:t>0.2%</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200万元≤M＜500万元</w:t>
            </w:r>
          </w:p>
        </w:tc>
        <w:tc>
          <w:tcPr>
            <w:tcW w:w="1843" w:type="dxa"/>
            <w:vAlign w:val="center"/>
          </w:tcPr>
          <w:p>
            <w:pPr>
              <w:rPr>
                <w:rFonts w:ascii="仿宋_GB2312" w:eastAsia="仿宋_GB2312"/>
                <w:szCs w:val="21"/>
              </w:rPr>
            </w:pPr>
            <w:r>
              <w:rPr>
                <w:rFonts w:hint="eastAsia" w:ascii="仿宋_GB2312" w:eastAsia="仿宋_GB2312"/>
                <w:szCs w:val="21"/>
              </w:rPr>
              <w:t>0.1%</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500万元≤M</w:t>
            </w:r>
          </w:p>
        </w:tc>
        <w:tc>
          <w:tcPr>
            <w:tcW w:w="1843" w:type="dxa"/>
            <w:vAlign w:val="center"/>
          </w:tcPr>
          <w:p>
            <w:pPr>
              <w:rPr>
                <w:rFonts w:ascii="仿宋_GB2312" w:eastAsia="仿宋_GB2312"/>
                <w:szCs w:val="21"/>
              </w:rPr>
            </w:pPr>
            <w:r>
              <w:rPr>
                <w:rFonts w:hint="eastAsia" w:ascii="仿宋_GB2312" w:eastAsia="仿宋_GB2312"/>
                <w:szCs w:val="21"/>
              </w:rPr>
              <w:t>1000元每笔</w:t>
            </w:r>
          </w:p>
        </w:tc>
        <w:tc>
          <w:tcPr>
            <w:tcW w:w="2126" w:type="dxa"/>
            <w:vAlign w:val="center"/>
          </w:tcPr>
          <w:p>
            <w:pPr>
              <w:widowControl/>
              <w:jc w:val="left"/>
              <w:rPr>
                <w:rFonts w:ascii="仿宋_GB2312" w:hAnsi="宋体" w:eastAsia="仿宋_GB2312" w:cs="宋体"/>
                <w:kern w:val="0"/>
                <w:szCs w:val="21"/>
              </w:rPr>
            </w:pPr>
          </w:p>
        </w:tc>
      </w:tr>
    </w:tbl>
    <w:p>
      <w:pPr>
        <w:jc w:val="left"/>
        <w:rPr>
          <w:rFonts w:ascii="仿宋_GB2312" w:eastAsia="仿宋_GB2312"/>
          <w:szCs w:val="21"/>
        </w:rPr>
      </w:pPr>
      <w:r>
        <w:rPr>
          <w:rFonts w:hint="eastAsia" w:ascii="仿宋_GB2312" w:eastAsia="仿宋_GB2312"/>
          <w:szCs w:val="21"/>
        </w:rPr>
        <w:t>注：1、基金份额持有人持有的每份基金份额最短持有期限为90天，最短持有期限届满后，本基金不收取赎回费。其中，对于不受最短持有期限制的红利再投资所得基金份额，对持续持有期少于7日的投资者收取1.5%的赎回费，并全额计入基金财产。2、本基金管理人对养老金客户实施特定申购费率，请详见本基金招募说明书。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0.05%</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38000.00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0.27%</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（1）政策风险、（2）经济周期风险、（3）利率风险、（4）信用风险、（5）购买力风险、（6）债券收益率曲线变动风险、（7）再投资风险、（8）经营风险、（9）上市公司经营风险、（10）债券回购风险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4、交易对手违约风险</w:t>
      </w:r>
    </w:p>
    <w:p>
      <w:pPr>
        <w:ind w:firstLine="420"/>
        <w:jc w:val="left"/>
        <w:rPr>
          <w:rFonts w:ascii="仿宋_GB2312" w:eastAsia="仿宋_GB2312"/>
          <w:szCs w:val="21"/>
        </w:rPr>
      </w:pPr>
      <w:r>
        <w:rPr>
          <w:rFonts w:hint="eastAsia" w:ascii="仿宋_GB2312" w:eastAsia="仿宋_GB2312"/>
          <w:szCs w:val="21"/>
        </w:rPr>
        <w:t>5、本基金的特有风险</w:t>
      </w:r>
    </w:p>
    <w:p>
      <w:pPr>
        <w:ind w:firstLine="420"/>
        <w:jc w:val="left"/>
        <w:rPr>
          <w:rFonts w:ascii="仿宋_GB2312" w:eastAsia="仿宋_GB2312"/>
          <w:szCs w:val="21"/>
        </w:rPr>
      </w:pPr>
      <w:r>
        <w:rPr>
          <w:rFonts w:hint="eastAsia" w:ascii="仿宋_GB2312" w:eastAsia="仿宋_GB2312"/>
          <w:szCs w:val="21"/>
        </w:rPr>
        <w:t>（1）本基金为债券型基金，投资于债券资产的比例不低于基金资产的80%，因投资固定收益类资产而面临固定收益类资产市场的系统性风险和个券风险；</w:t>
      </w:r>
    </w:p>
    <w:p>
      <w:pPr>
        <w:ind w:firstLine="420"/>
        <w:jc w:val="left"/>
        <w:rPr>
          <w:rFonts w:ascii="仿宋_GB2312" w:eastAsia="仿宋_GB2312"/>
          <w:szCs w:val="21"/>
        </w:rPr>
      </w:pPr>
      <w:r>
        <w:rPr>
          <w:rFonts w:hint="eastAsia" w:ascii="仿宋_GB2312" w:eastAsia="仿宋_GB2312"/>
          <w:szCs w:val="21"/>
        </w:rPr>
        <w:t>（2）本基金每份基金份额的最短持有期限为90天，在最短持有期限内该份基金份额不可赎回，自最短持有期限届满日起（含该日）可赎回。即：自基金合同生效日（对认购份额而言）、基金份额申购确认日（对申购份额而言）起的第90天起（含当日，如为非工作日则顺延至下一工作日），投资者方可提出赎回申请。对于基金份额持有人而言，存在投资本基金后90天内无法赎回的风险。</w:t>
      </w:r>
    </w:p>
    <w:p>
      <w:pPr>
        <w:ind w:firstLine="420"/>
        <w:jc w:val="left"/>
        <w:rPr>
          <w:rFonts w:ascii="仿宋_GB2312" w:eastAsia="仿宋_GB2312"/>
          <w:szCs w:val="21"/>
        </w:rPr>
      </w:pPr>
      <w:r>
        <w:rPr>
          <w:rFonts w:hint="eastAsia" w:ascii="仿宋_GB2312" w:eastAsia="仿宋_GB2312"/>
          <w:szCs w:val="21"/>
        </w:rPr>
        <w:t>（3）对宏观经济趋势、政策以及债券市场基本面研究是否准确、深入，以及对企业债券的优选和判断是否科学、准确将影响本基金的收益。基本面研究及企业债券分析的错误均可能导致所选择的证券不能完全符合本基金的预期目标；</w:t>
      </w:r>
    </w:p>
    <w:p>
      <w:pPr>
        <w:ind w:firstLine="420"/>
        <w:jc w:val="left"/>
        <w:rPr>
          <w:rFonts w:ascii="仿宋_GB2312" w:eastAsia="仿宋_GB2312"/>
          <w:szCs w:val="21"/>
        </w:rPr>
      </w:pPr>
      <w:r>
        <w:rPr>
          <w:rFonts w:hint="eastAsia" w:ascii="仿宋_GB2312" w:eastAsia="仿宋_GB2312"/>
          <w:szCs w:val="21"/>
        </w:rPr>
        <w:t>（4）基金合同提前终止风险。连续50个工作日出现基金份额持有人数量不满200人或者基金资产净值低于5000万元情形的，基金合同终止，不需召开基金份额持有人大会。</w:t>
      </w:r>
    </w:p>
    <w:p>
      <w:pPr>
        <w:ind w:firstLine="420"/>
        <w:jc w:val="left"/>
        <w:rPr>
          <w:rFonts w:ascii="仿宋_GB2312" w:eastAsia="仿宋_GB2312"/>
          <w:szCs w:val="21"/>
        </w:rPr>
      </w:pPr>
      <w:r>
        <w:rPr>
          <w:rFonts w:hint="eastAsia" w:ascii="仿宋_GB2312" w:eastAsia="仿宋_GB2312"/>
          <w:szCs w:val="21"/>
        </w:rPr>
        <w:t>6、投资国债期货的特定风险</w:t>
      </w:r>
    </w:p>
    <w:p>
      <w:pPr>
        <w:ind w:firstLine="420"/>
        <w:jc w:val="left"/>
        <w:rPr>
          <w:rFonts w:ascii="仿宋_GB2312" w:eastAsia="仿宋_GB2312"/>
          <w:szCs w:val="21"/>
        </w:rPr>
      </w:pPr>
      <w:r>
        <w:rPr>
          <w:rFonts w:hint="eastAsia" w:ascii="仿宋_GB2312" w:eastAsia="仿宋_GB2312"/>
          <w:szCs w:val="21"/>
        </w:rPr>
        <w:t>本基金可投资国债期货，国债期货的投资可能给本基金带来额外风险。国债期货的投资可能面临市场风险、基差风险、流动性风险。市场风险是因期货市场价格波动使所持有的期货合约价值发生变化的风险。基差风险是期货市场的特有风险之一，是指由于期货与现货之间价差的波动，影响套期保值或套利效果，使之发生意外损益的风险。流动性风险可分为两类：一类为流通量风险，是指期货合约无法及时以所希望的价格建立或了结头寸的风险，此类风险往往是由市场缺乏广度或深度导致的；另一类为资金量风险，是指资金量无法满足保证金要求，使得所持有的头寸面临被强制平仓的风险。</w:t>
      </w:r>
    </w:p>
    <w:p>
      <w:pPr>
        <w:ind w:firstLine="420"/>
        <w:jc w:val="left"/>
        <w:rPr>
          <w:rFonts w:ascii="仿宋_GB2312" w:eastAsia="仿宋_GB2312"/>
          <w:szCs w:val="21"/>
        </w:rPr>
      </w:pPr>
      <w:r>
        <w:rPr>
          <w:rFonts w:hint="eastAsia" w:ascii="仿宋_GB2312" w:eastAsia="仿宋_GB2312"/>
          <w:szCs w:val="21"/>
        </w:rPr>
        <w:t>7、投资资产支持证券的特定风险</w:t>
      </w:r>
    </w:p>
    <w:p>
      <w:pPr>
        <w:ind w:firstLine="420"/>
        <w:jc w:val="left"/>
        <w:rPr>
          <w:rFonts w:ascii="仿宋_GB2312" w:eastAsia="仿宋_GB2312"/>
          <w:szCs w:val="21"/>
        </w:rPr>
      </w:pPr>
      <w:r>
        <w:rPr>
          <w:rFonts w:hint="eastAsia" w:ascii="仿宋_GB2312" w:eastAsia="仿宋_GB2312"/>
          <w:szCs w:val="21"/>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8、本基金法律文件风险收益特征表述与销售机构基金风险评价可能不一致的风险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9、其他风险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●《交银施罗德稳安90天持有期债券型证券投资基金基金合同》、</w:t>
      </w:r>
    </w:p>
    <w:p>
      <w:pPr>
        <w:ind w:firstLine="420"/>
        <w:jc w:val="left"/>
        <w:rPr>
          <w:rFonts w:ascii="仿宋_GB2312" w:eastAsia="仿宋_GB2312"/>
          <w:szCs w:val="21"/>
        </w:rPr>
      </w:pPr>
      <w:r>
        <w:rPr>
          <w:rFonts w:hint="eastAsia" w:ascii="仿宋_GB2312" w:eastAsia="仿宋_GB2312"/>
          <w:szCs w:val="21"/>
        </w:rPr>
        <w:t>《交银施罗德稳安90天持有期债券型证券投资基金托管协议》、</w:t>
      </w:r>
    </w:p>
    <w:p>
      <w:pPr>
        <w:ind w:firstLine="420"/>
        <w:jc w:val="left"/>
        <w:rPr>
          <w:rFonts w:ascii="仿宋_GB2312" w:eastAsia="仿宋_GB2312"/>
          <w:szCs w:val="21"/>
        </w:rPr>
      </w:pPr>
      <w:r>
        <w:rPr>
          <w:rFonts w:hint="eastAsia" w:ascii="仿宋_GB2312" w:eastAsia="仿宋_GB2312"/>
          <w:szCs w:val="21"/>
        </w:rPr>
        <w:t>《交银施罗德稳安90天持有期债券型证券投资基金招募说明书》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A53E7"/>
    <w:rsid w:val="00755919"/>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75715"/>
    <w:rsid w:val="00F811C4"/>
    <w:rsid w:val="00FC2918"/>
    <w:rsid w:val="6C304A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643</Words>
  <Characters>3667</Characters>
  <Lines>30</Lines>
  <Paragraphs>8</Paragraphs>
  <TotalTime>15</TotalTime>
  <ScaleCrop>false</ScaleCrop>
  <LinksUpToDate>false</LinksUpToDate>
  <CharactersWithSpaces>4302</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2026-09-17T02:42:00Z</dcterms:created>
  <dc:creator>Cc</dc:creator>
  <cp:lastModifiedBy>haotingting</cp:lastModifiedBy>
  <dcterms:modified xsi:type="dcterms:W3CDTF">2026-09-17T08:38:08Z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38FB9EED88414D228C5237C7F3EDD10C</vt:lpwstr>
  </property>
</Properties>
</file>