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交银施罗德强化回报债券型证券投资基金（AB类份额）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交银强化回报债券A/B</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519733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2014-01-28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2023-04-15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519733（A类份额），519734（B类份额）</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本基金在严格控制风险和保持资产流动性的前提下，重点投资于债券资产，力争实现基金资产的长期稳定增值。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短期融资券、中期票据、可转换债券及可分离转债、次级债、债券回购、银行存款、货币市场工具等固定收益类品种，和股票(含中小板、创业板及其他经中国证监会核准上市的股票)、权证等权益类品种以及法律法规或中国证监会允许基金投资的其他金融工具(但须符合中国证监会相关规定)。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的比例不低于基金资产的80%；对股票、权证等权益类资产的投资比例不高于基金资产净值的20%；现金或到期日在一年以内的政府债券的投资比例合计不低于基金资产净值的5%，其中现金不包括结算备付金、存出保证金、应收申购款等。</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动态调整债券、股票等大类资产比例。本基金以债券投资为核心，重点关注债券组合久期调整、期限结构配置及债券类属配置，并在严谨深入的信用分析基础上，综合考量信用债券的信用评级，以及各类债券的流动性、供求关系和收益率水平等，同时本基金也通过综合运用骑乘操作、套利操作等策略精选个券，提高投资组合收益。此外，在风险可控的前提下，本基金适度关注股票、权证市场的运行状况与相应风险收益特征，有效把握投资机会，适时增强组合收益。</w:t>
            </w:r>
          </w:p>
          <w:p>
            <w:pPr>
              <w:ind w:firstLine="420"/>
              <w:jc w:val="left"/>
              <w:rPr>
                <w:rFonts w:ascii="仿宋_GB2312" w:eastAsia="仿宋_GB2312"/>
                <w:szCs w:val="21"/>
              </w:rPr>
            </w:pPr>
            <w:r>
              <w:rPr>
                <w:rFonts w:hint="eastAsia" w:ascii="仿宋_GB2312" w:eastAsia="仿宋_GB2312"/>
                <w:szCs w:val="21"/>
              </w:rPr>
              <w:t>1、资产配置策略；2、债券投资策略；3、股票投资策略；4、权证投资策略。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中债-综合全价（1-3年）指数收益率×60%+中证可转换债券指数收益率×35%+活期存款基准利率×5%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详见《交银施罗德强化回报债券型证券投资基金招募说明书》“基金的投资”。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0.43%</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（1）本基金为债券型基金，固定收益类资产的比例不低于基金资产净值的80%，因投资固定收益类资产而面临的固定收益类资产市场的系统性风险和个券风险；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（3）本基金在主要投资于固定收益类资产的同时也积极关注股票、权证市场的投资机会，会因投资权益类资产而面临的权益类资产市场的系统性风险和个券风险。</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●《交银施罗德强化回报债券型证券投资基金基金合同》、</w:t>
      </w:r>
    </w:p>
    <w:p>
      <w:pPr>
        <w:ind w:firstLine="420"/>
        <w:jc w:val="left"/>
        <w:rPr>
          <w:rFonts w:ascii="仿宋_GB2312" w:eastAsia="仿宋_GB2312"/>
          <w:szCs w:val="21"/>
        </w:rPr>
      </w:pPr>
      <w:r>
        <w:rPr>
          <w:rFonts w:hint="eastAsia" w:ascii="仿宋_GB2312" w:eastAsia="仿宋_GB2312"/>
          <w:szCs w:val="21"/>
        </w:rPr>
        <w:t>《交银施罗德强化回报债券型证券投资基金托管协议》、</w:t>
      </w:r>
    </w:p>
    <w:p>
      <w:pPr>
        <w:ind w:firstLine="420"/>
        <w:jc w:val="left"/>
        <w:rPr>
          <w:rFonts w:ascii="仿宋_GB2312" w:eastAsia="仿宋_GB2312"/>
          <w:szCs w:val="21"/>
        </w:rPr>
      </w:pPr>
      <w:r>
        <w:rPr>
          <w:rFonts w:hint="eastAsia" w:ascii="仿宋_GB2312" w:eastAsia="仿宋_GB2312"/>
          <w:szCs w:val="21"/>
        </w:rPr>
        <w:t>《交银施罗德强化回报债券型证券投资基金招募说明书》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B6F25"/>
    <w:rsid w:val="00C0525C"/>
    <w:rsid w:val="00CD7637"/>
    <w:rsid w:val="00D04A15"/>
    <w:rsid w:val="00D373CC"/>
    <w:rsid w:val="00DB319C"/>
    <w:rsid w:val="00E51B6D"/>
    <w:rsid w:val="00F75715"/>
    <w:rsid w:val="00F811C4"/>
    <w:rsid w:val="00FC2918"/>
    <w:rsid w:val="3C2B7C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651</Words>
  <Characters>3711</Characters>
  <Lines>30</Lines>
  <Paragraphs>8</Paragraphs>
  <TotalTime>0</TotalTime>
  <ScaleCrop>false</ScaleCrop>
  <LinksUpToDate>false</LinksUpToDate>
  <CharactersWithSpaces>4354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2026-09-17T02:43:00Z</dcterms:created>
  <dc:creator>Cc</dc:creator>
  <cp:lastModifiedBy>haotingting</cp:lastModifiedBy>
  <dcterms:modified xsi:type="dcterms:W3CDTF">2026-09-17T08:06:35Z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BAAF5A494B0948C6B4925E7F5C26A212</vt:lpwstr>
  </property>
</Properties>
</file>