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871E3A">
      <w:pPr>
        <w:rPr>
          <w:sz w:val="32"/>
        </w:rPr>
      </w:pPr>
    </w:p>
    <w:p w:rsidR="00C92FC0" w:rsidRPr="00EB07BC" w:rsidRDefault="00871E3A">
      <w:pPr>
        <w:rPr>
          <w:sz w:val="32"/>
        </w:rPr>
      </w:pPr>
    </w:p>
    <w:p w:rsidR="00C92FC0" w:rsidRPr="00EB07BC" w:rsidRDefault="00871E3A">
      <w:pPr>
        <w:rPr>
          <w:sz w:val="32"/>
        </w:rPr>
      </w:pPr>
    </w:p>
    <w:p w:rsidR="003B4AEB" w:rsidRDefault="003B4AE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B4AEB" w:rsidRDefault="003B4AE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B4AEB" w:rsidRDefault="003B4AEB">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B4AEB" w:rsidRDefault="00BB077E">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交银施罗德策略回报灵活配置混合型证券投资基金</w:t>
      </w:r>
    </w:p>
    <w:p w:rsidR="003B4AEB" w:rsidRDefault="00BB077E">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3B4AEB" w:rsidRDefault="003B4AEB">
      <w:pPr>
        <w:snapToGrid w:val="0"/>
        <w:spacing w:line="360" w:lineRule="auto"/>
        <w:jc w:val="center"/>
        <w:rPr>
          <w:rFonts w:ascii="宋体" w:hAnsi="宋体"/>
          <w:b/>
          <w:sz w:val="30"/>
          <w:szCs w:val="30"/>
        </w:rPr>
      </w:pPr>
    </w:p>
    <w:p w:rsidR="003B4AEB" w:rsidRDefault="003B4AE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B4AEB" w:rsidRDefault="003B4AE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B4AEB" w:rsidRDefault="003B4AE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B4AEB" w:rsidRDefault="003B4AE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B4AEB" w:rsidRDefault="003B4AE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B4AEB" w:rsidRDefault="003B4AE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B4AEB" w:rsidRDefault="00BB077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3B4AEB" w:rsidRDefault="00BB077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3B4AEB" w:rsidRDefault="003B4AE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B4AEB" w:rsidRDefault="003B4AEB">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B4AEB" w:rsidRDefault="00BB077E">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3B4AEB" w:rsidRDefault="003B4AEB">
      <w:pPr>
        <w:autoSpaceDE w:val="0"/>
        <w:autoSpaceDN w:val="0"/>
        <w:adjustRightInd w:val="0"/>
        <w:snapToGrid w:val="0"/>
        <w:spacing w:line="360" w:lineRule="auto"/>
        <w:ind w:left="1347" w:rightChars="6" w:right="13"/>
        <w:rPr>
          <w:rFonts w:ascii="宋体" w:hAnsi="宋体"/>
          <w:kern w:val="0"/>
          <w:sz w:val="32"/>
          <w:szCs w:val="32"/>
        </w:rPr>
        <w:sectPr w:rsidR="003B4AEB">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3B4AEB" w:rsidRDefault="00BB077E">
      <w:pPr>
        <w:pStyle w:val="1"/>
        <w:snapToGrid w:val="0"/>
        <w:spacing w:beforeLines="0" w:before="240" w:after="240"/>
        <w:rPr>
          <w:rFonts w:ascii="宋体" w:hAnsi="宋体"/>
          <w:kern w:val="0"/>
        </w:rPr>
      </w:pPr>
      <w:bookmarkStart w:id="0" w:name="_Toc324920538"/>
      <w:bookmarkStart w:id="1" w:name="_Toc496884613"/>
      <w:bookmarkStart w:id="2" w:name="_Toc240548871"/>
      <w:r>
        <w:rPr>
          <w:rFonts w:ascii="Times New Roman" w:hAnsi="Times New Roman"/>
          <w:kern w:val="0"/>
        </w:rPr>
        <w:lastRenderedPageBreak/>
        <w:t>重要提示</w:t>
      </w:r>
      <w:bookmarkEnd w:id="0"/>
      <w:bookmarkEnd w:id="1"/>
      <w:bookmarkEnd w:id="2"/>
    </w:p>
    <w:p w:rsidR="003B4AEB" w:rsidRDefault="00BB07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交银施罗德策略回报灵活配置混合型证券投资基金（以下简称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）为根据《交银施罗德荣安保本混合型证券投资基金基金合同》的约定，由交银施罗德荣安保本混合型证券投资基金第一个保本周期到期后转型而来。</w:t>
      </w:r>
    </w:p>
    <w:p w:rsidR="003B4AEB" w:rsidRDefault="00BB07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交银施罗德荣安保本混合型证券投资基金经</w:t>
      </w:r>
      <w:r>
        <w:rPr>
          <w:rFonts w:ascii="Times New Roman" w:hAnsi="Times New Roman"/>
          <w:kern w:val="0"/>
          <w:sz w:val="24"/>
        </w:rPr>
        <w:t>2012</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2012</w:t>
      </w:r>
      <w:r>
        <w:rPr>
          <w:rFonts w:ascii="Times New Roman" w:hAnsi="Times New Roman"/>
          <w:kern w:val="0"/>
          <w:sz w:val="24"/>
        </w:rPr>
        <w:t>】</w:t>
      </w:r>
      <w:r>
        <w:rPr>
          <w:rFonts w:ascii="Times New Roman" w:hAnsi="Times New Roman"/>
          <w:kern w:val="0"/>
          <w:sz w:val="24"/>
        </w:rPr>
        <w:t>565</w:t>
      </w:r>
      <w:r>
        <w:rPr>
          <w:rFonts w:ascii="Times New Roman" w:hAnsi="Times New Roman"/>
          <w:kern w:val="0"/>
          <w:sz w:val="24"/>
        </w:rPr>
        <w:t>号文核准募集，自</w:t>
      </w:r>
      <w:r>
        <w:rPr>
          <w:rFonts w:ascii="Times New Roman" w:hAnsi="Times New Roman"/>
          <w:kern w:val="0"/>
          <w:sz w:val="24"/>
        </w:rPr>
        <w:t>2012</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日至</w:t>
      </w:r>
      <w:r>
        <w:rPr>
          <w:rFonts w:ascii="Times New Roman" w:hAnsi="Times New Roman"/>
          <w:kern w:val="0"/>
          <w:sz w:val="24"/>
        </w:rPr>
        <w:t>2012</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15</w:t>
      </w:r>
      <w:r>
        <w:rPr>
          <w:rFonts w:ascii="Times New Roman" w:hAnsi="Times New Roman"/>
          <w:kern w:val="0"/>
          <w:sz w:val="24"/>
        </w:rPr>
        <w:t>日进行公开募集，募集结束后基金管理人向中国证监会办理基金备案手续。经中国证监会书面确认，《交银施罗德荣安保本混合型证券投资基金基金合同》于</w:t>
      </w:r>
      <w:r>
        <w:rPr>
          <w:rFonts w:ascii="Times New Roman" w:hAnsi="Times New Roman"/>
          <w:kern w:val="0"/>
          <w:sz w:val="24"/>
        </w:rPr>
        <w:t>2012</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日生效。</w:t>
      </w:r>
    </w:p>
    <w:p w:rsidR="003B4AEB" w:rsidRDefault="00BB07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交银施罗德荣安保本混合型证券投资基金第一个保本周期于</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23</w:t>
      </w:r>
      <w:r>
        <w:rPr>
          <w:rFonts w:ascii="Times New Roman" w:hAnsi="Times New Roman"/>
          <w:kern w:val="0"/>
          <w:sz w:val="24"/>
        </w:rPr>
        <w:t>日到期。按照《交银施罗德荣安保本混合型证券投资基金基金合同》的约定，该基金保本周期到期后转型为非保本的混合型基金，名称相应变更为</w:t>
      </w:r>
      <w:r>
        <w:rPr>
          <w:rFonts w:ascii="Times New Roman" w:hAnsi="Times New Roman"/>
          <w:kern w:val="0"/>
          <w:sz w:val="24"/>
        </w:rPr>
        <w:t>“</w:t>
      </w:r>
      <w:r>
        <w:rPr>
          <w:rFonts w:ascii="Times New Roman" w:hAnsi="Times New Roman"/>
          <w:kern w:val="0"/>
          <w:sz w:val="24"/>
        </w:rPr>
        <w:t>交银施罗德策略回报灵活配置混合型证券投资基金</w:t>
      </w:r>
      <w:r>
        <w:rPr>
          <w:rFonts w:ascii="Times New Roman" w:hAnsi="Times New Roman"/>
          <w:kern w:val="0"/>
          <w:sz w:val="24"/>
        </w:rPr>
        <w:t>”</w:t>
      </w:r>
      <w:r>
        <w:rPr>
          <w:rFonts w:ascii="Times New Roman" w:hAnsi="Times New Roman"/>
          <w:kern w:val="0"/>
          <w:sz w:val="24"/>
        </w:rPr>
        <w:t>。</w:t>
      </w:r>
    </w:p>
    <w:p w:rsidR="003B4AEB" w:rsidRDefault="00BB07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根据本基金的基金合同编写，本基金的基金合同经中国证监会备案。但中国证监会对交银施罗德荣安保本混合型证券投资基金募集的核准以及其转型为本基金的备案，并不表明其对本基金的价值和收益作出实质性判断或保证，也不表明投资于本基金没有风险。</w:t>
      </w:r>
    </w:p>
    <w:p w:rsidR="003B4AEB" w:rsidRDefault="00BB07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3B4AEB" w:rsidRDefault="00BB07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科创板股票的特定风险；本基金投资策略所特有的风险等等。本基金是一只混合</w:t>
      </w:r>
      <w:r>
        <w:rPr>
          <w:rFonts w:ascii="Times New Roman" w:hAnsi="Times New Roman"/>
          <w:kern w:val="0"/>
          <w:sz w:val="24"/>
        </w:rPr>
        <w:lastRenderedPageBreak/>
        <w:t>型基金，其预期收益和风险高于货币市场基金、债券型基金，而低于股票型基金，属于证券投资基金中的中高风险品种。</w:t>
      </w:r>
    </w:p>
    <w:p w:rsidR="003B4AEB" w:rsidRDefault="00BB07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3B4AEB" w:rsidRDefault="00BB07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3B4AEB" w:rsidRDefault="00BB07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投资有风险，投资人在投资本基金前应认真阅读本招募说明书。基金的过往业绩并不代表未来表现。基金管理人管理的其他基金的业绩并不构成对本基金业绩表现的保证。</w:t>
      </w:r>
    </w:p>
    <w:p w:rsidR="003B4AEB" w:rsidRDefault="00BB07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3B4AEB" w:rsidRDefault="003B4AEB">
      <w:pPr>
        <w:autoSpaceDE w:val="0"/>
        <w:autoSpaceDN w:val="0"/>
        <w:adjustRightInd w:val="0"/>
        <w:snapToGrid w:val="0"/>
        <w:spacing w:before="51" w:line="360" w:lineRule="auto"/>
        <w:ind w:left="120" w:rightChars="6" w:right="13" w:firstLine="480"/>
        <w:rPr>
          <w:rFonts w:ascii="宋体" w:hAnsi="宋体"/>
          <w:kern w:val="0"/>
          <w:szCs w:val="24"/>
        </w:rPr>
        <w:sectPr w:rsidR="003B4AEB">
          <w:headerReference w:type="default" r:id="rId14"/>
          <w:pgSz w:w="11920" w:h="16840"/>
          <w:pgMar w:top="1440" w:right="1680" w:bottom="280" w:left="1680" w:header="0" w:footer="1073" w:gutter="0"/>
          <w:pgNumType w:start="1"/>
          <w:cols w:space="720"/>
        </w:sectPr>
      </w:pPr>
    </w:p>
    <w:p w:rsidR="00871E3A" w:rsidRPr="00871E3A" w:rsidRDefault="00BB077E" w:rsidP="00871E3A">
      <w:pPr>
        <w:pStyle w:val="ad"/>
        <w:snapToGrid w:val="0"/>
        <w:spacing w:after="240" w:line="360" w:lineRule="auto"/>
        <w:jc w:val="center"/>
        <w:rPr>
          <w:rFonts w:ascii="宋体" w:hAnsi="宋体"/>
          <w:noProof/>
          <w:sz w:val="24"/>
        </w:rPr>
      </w:pPr>
      <w:r w:rsidRPr="00871E3A">
        <w:rPr>
          <w:rFonts w:ascii="宋体" w:hAnsi="宋体"/>
          <w:color w:val="000000"/>
          <w:position w:val="-4"/>
          <w:sz w:val="24"/>
          <w:szCs w:val="30"/>
        </w:rPr>
        <w:lastRenderedPageBreak/>
        <w:t>目</w:t>
      </w:r>
      <w:r w:rsidRPr="00871E3A">
        <w:rPr>
          <w:rFonts w:ascii="宋体" w:hAnsi="宋体"/>
          <w:color w:val="000000"/>
          <w:position w:val="-4"/>
          <w:sz w:val="24"/>
          <w:szCs w:val="30"/>
        </w:rPr>
        <w:tab/>
        <w:t>录</w:t>
      </w:r>
      <w:r w:rsidR="00871E3A" w:rsidRPr="00871E3A">
        <w:rPr>
          <w:rFonts w:ascii="宋体" w:hAnsi="宋体"/>
          <w:color w:val="000000"/>
          <w:position w:val="-4"/>
          <w:sz w:val="24"/>
          <w:szCs w:val="30"/>
        </w:rPr>
        <w:fldChar w:fldCharType="begin"/>
      </w:r>
      <w:r w:rsidR="00871E3A" w:rsidRPr="00871E3A">
        <w:rPr>
          <w:rFonts w:ascii="宋体" w:hAnsi="宋体"/>
          <w:color w:val="000000"/>
          <w:position w:val="-4"/>
          <w:sz w:val="24"/>
          <w:szCs w:val="30"/>
        </w:rPr>
        <w:instrText xml:space="preserve"> TOC \o "1-3" \f - \h \t "-1" </w:instrText>
      </w:r>
      <w:r w:rsidR="00871E3A" w:rsidRPr="00871E3A">
        <w:rPr>
          <w:rFonts w:ascii="宋体" w:hAnsi="宋体"/>
          <w:color w:val="000000"/>
          <w:position w:val="-4"/>
          <w:sz w:val="24"/>
          <w:szCs w:val="30"/>
        </w:rPr>
        <w:fldChar w:fldCharType="separate"/>
      </w:r>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71" w:history="1">
        <w:r w:rsidRPr="00871E3A">
          <w:rPr>
            <w:rStyle w:val="aa"/>
            <w:rFonts w:ascii="宋体" w:hAnsi="宋体" w:hint="eastAsia"/>
            <w:noProof/>
            <w:kern w:val="0"/>
            <w:sz w:val="24"/>
          </w:rPr>
          <w:t>重要提示</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_Toc240548871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72" w:history="1">
        <w:r w:rsidRPr="00871E3A">
          <w:rPr>
            <w:rStyle w:val="aa"/>
            <w:rFonts w:ascii="宋体" w:hAnsi="宋体" w:hint="eastAsia"/>
            <w:noProof/>
            <w:sz w:val="24"/>
          </w:rPr>
          <w:t>一、绪言</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_Toc240548872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4</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73" w:history="1">
        <w:r w:rsidRPr="00871E3A">
          <w:rPr>
            <w:rStyle w:val="aa"/>
            <w:rFonts w:ascii="宋体" w:hAnsi="宋体" w:hint="eastAsia"/>
            <w:noProof/>
            <w:sz w:val="24"/>
          </w:rPr>
          <w:t>二、释义</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_Toc240548873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5</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74" w:history="1">
        <w:r w:rsidRPr="00871E3A">
          <w:rPr>
            <w:rStyle w:val="aa"/>
            <w:rFonts w:ascii="宋体" w:hAnsi="宋体" w:hint="eastAsia"/>
            <w:noProof/>
            <w:sz w:val="24"/>
          </w:rPr>
          <w:t>三、基金管理人</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_Toc240548874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9</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75" w:history="1">
        <w:r w:rsidRPr="00871E3A">
          <w:rPr>
            <w:rStyle w:val="aa"/>
            <w:rFonts w:ascii="宋体" w:hAnsi="宋体" w:hint="eastAsia"/>
            <w:noProof/>
            <w:sz w:val="24"/>
          </w:rPr>
          <w:t>四、基金托管人</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_Toc240548875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16</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76" w:history="1">
        <w:r w:rsidRPr="00871E3A">
          <w:rPr>
            <w:rStyle w:val="aa"/>
            <w:rFonts w:ascii="宋体" w:hAnsi="宋体" w:hint="eastAsia"/>
            <w:noProof/>
            <w:sz w:val="24"/>
          </w:rPr>
          <w:t>五、相关服务机构</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_Toc240548876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20</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77" w:history="1">
        <w:r w:rsidRPr="00871E3A">
          <w:rPr>
            <w:rStyle w:val="aa"/>
            <w:rFonts w:ascii="宋体" w:hAnsi="宋体" w:hint="eastAsia"/>
            <w:noProof/>
            <w:sz w:val="24"/>
          </w:rPr>
          <w:t>六、基金的历史沿革与基金合同的生效</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_Toc240548877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56</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78" w:history="1">
        <w:r w:rsidRPr="00871E3A">
          <w:rPr>
            <w:rStyle w:val="aa"/>
            <w:rFonts w:ascii="宋体" w:hAnsi="宋体" w:hint="eastAsia"/>
            <w:noProof/>
            <w:sz w:val="24"/>
          </w:rPr>
          <w:t>七、基金份额的申购与赎回</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_Toc240548878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58</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79" w:history="1">
        <w:r w:rsidRPr="00871E3A">
          <w:rPr>
            <w:rStyle w:val="aa"/>
            <w:rFonts w:ascii="宋体" w:hAnsi="宋体" w:hint="eastAsia"/>
            <w:noProof/>
            <w:sz w:val="24"/>
          </w:rPr>
          <w:t>八、基金的转换</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_Toc240548879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70</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80" w:history="1">
        <w:r w:rsidRPr="00871E3A">
          <w:rPr>
            <w:rStyle w:val="aa"/>
            <w:rFonts w:ascii="宋体" w:hAnsi="宋体" w:hint="eastAsia"/>
            <w:noProof/>
            <w:sz w:val="24"/>
          </w:rPr>
          <w:t>九、基金的投资</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_Toc240548880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77</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81" w:history="1">
        <w:r w:rsidRPr="00871E3A">
          <w:rPr>
            <w:rStyle w:val="aa"/>
            <w:rFonts w:ascii="宋体" w:hAnsi="宋体" w:hint="eastAsia"/>
            <w:noProof/>
            <w:sz w:val="24"/>
          </w:rPr>
          <w:t>十、基金的业绩</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_Toc240548881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89</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82" w:history="1">
        <w:r w:rsidRPr="00871E3A">
          <w:rPr>
            <w:rStyle w:val="aa"/>
            <w:rFonts w:ascii="宋体" w:hAnsi="宋体" w:hint="eastAsia"/>
            <w:noProof/>
            <w:sz w:val="24"/>
          </w:rPr>
          <w:t>十一、基金的财产</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_Toc240548882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93</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83" w:history="1">
        <w:r w:rsidRPr="00871E3A">
          <w:rPr>
            <w:rStyle w:val="aa"/>
            <w:rFonts w:ascii="宋体" w:hAnsi="宋体" w:hint="eastAsia"/>
            <w:noProof/>
            <w:sz w:val="24"/>
          </w:rPr>
          <w:t>十二、基金资产的估值</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_Toc240548883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94</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84" w:history="1">
        <w:r w:rsidRPr="00871E3A">
          <w:rPr>
            <w:rStyle w:val="aa"/>
            <w:rFonts w:ascii="宋体" w:hAnsi="宋体" w:hint="eastAsia"/>
            <w:noProof/>
            <w:sz w:val="24"/>
          </w:rPr>
          <w:t>十三、基金收益与分配</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_Toc240548884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99</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85" w:history="1">
        <w:r w:rsidRPr="00871E3A">
          <w:rPr>
            <w:rStyle w:val="aa"/>
            <w:rFonts w:ascii="宋体" w:hAnsi="宋体" w:hint="eastAsia"/>
            <w:noProof/>
            <w:sz w:val="24"/>
          </w:rPr>
          <w:t>十四、基金的费用与税收</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_Toc240548885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101</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86" w:history="1">
        <w:r w:rsidRPr="00871E3A">
          <w:rPr>
            <w:rStyle w:val="aa"/>
            <w:rFonts w:ascii="宋体" w:hAnsi="宋体" w:hint="eastAsia"/>
            <w:noProof/>
            <w:sz w:val="24"/>
          </w:rPr>
          <w:t>十五、基金的会计与审计</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_Toc240548886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103</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87" w:history="1">
        <w:r w:rsidRPr="00871E3A">
          <w:rPr>
            <w:rStyle w:val="aa"/>
            <w:rFonts w:ascii="宋体" w:hAnsi="宋体" w:hint="eastAsia"/>
            <w:noProof/>
            <w:sz w:val="24"/>
          </w:rPr>
          <w:t>十六、基金的信息披露</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_Toc240548887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104</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88" w:history="1">
        <w:r w:rsidRPr="00871E3A">
          <w:rPr>
            <w:rStyle w:val="aa"/>
            <w:rFonts w:ascii="宋体" w:hAnsi="宋体" w:hint="eastAsia"/>
            <w:noProof/>
            <w:sz w:val="24"/>
          </w:rPr>
          <w:t>十七、风险揭示</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_Toc240548888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110</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89" w:history="1">
        <w:r w:rsidRPr="00871E3A">
          <w:rPr>
            <w:rStyle w:val="aa"/>
            <w:rFonts w:ascii="宋体" w:hAnsi="宋体" w:hint="eastAsia"/>
            <w:noProof/>
            <w:sz w:val="24"/>
          </w:rPr>
          <w:t>十八、基金合同的终止与基金财产的清算</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_Toc240548889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117</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90" w:history="1">
        <w:r w:rsidRPr="00871E3A">
          <w:rPr>
            <w:rStyle w:val="aa"/>
            <w:rFonts w:ascii="宋体" w:hAnsi="宋体" w:hint="eastAsia"/>
            <w:noProof/>
            <w:sz w:val="24"/>
          </w:rPr>
          <w:t>十九、基金合同内容摘要</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_Toc240548890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119</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91" w:history="1">
        <w:r w:rsidRPr="00871E3A">
          <w:rPr>
            <w:rStyle w:val="aa"/>
            <w:rFonts w:ascii="宋体" w:hAnsi="宋体" w:hint="eastAsia"/>
            <w:noProof/>
            <w:sz w:val="24"/>
          </w:rPr>
          <w:t>二十、托管协议的内容摘要</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_Toc240548891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132</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92" w:history="1">
        <w:r w:rsidRPr="00871E3A">
          <w:rPr>
            <w:rStyle w:val="aa"/>
            <w:rFonts w:ascii="宋体" w:hAnsi="宋体" w:hint="eastAsia"/>
            <w:noProof/>
            <w:sz w:val="24"/>
          </w:rPr>
          <w:t>二十一、对基金份额持有人的服务</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_Toc240548892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149</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93" w:history="1">
        <w:r w:rsidRPr="00871E3A">
          <w:rPr>
            <w:rStyle w:val="aa"/>
            <w:rFonts w:ascii="宋体" w:hAnsi="宋体" w:hint="eastAsia"/>
            <w:noProof/>
            <w:sz w:val="24"/>
          </w:rPr>
          <w:t>二十二、其他应披露事项</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_Toc240548893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151</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94" w:history="1">
        <w:r w:rsidRPr="00871E3A">
          <w:rPr>
            <w:rStyle w:val="aa"/>
            <w:rFonts w:ascii="宋体" w:hAnsi="宋体" w:hint="eastAsia"/>
            <w:noProof/>
            <w:sz w:val="24"/>
          </w:rPr>
          <w:t>二十三、招募说明书的存放及查阅方式</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_Toc240548894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152</w:t>
        </w:r>
        <w:r w:rsidRPr="00871E3A">
          <w:rPr>
            <w:rFonts w:ascii="宋体" w:hAnsi="宋体"/>
            <w:noProof/>
            <w:sz w:val="24"/>
          </w:rPr>
          <w:fldChar w:fldCharType="end"/>
        </w:r>
      </w:hyperlink>
    </w:p>
    <w:p w:rsidR="00871E3A" w:rsidRPr="00871E3A" w:rsidRDefault="00871E3A" w:rsidP="00871E3A">
      <w:pPr>
        <w:pStyle w:val="10"/>
        <w:tabs>
          <w:tab w:val="right" w:leader="dot" w:pos="8550"/>
        </w:tabs>
        <w:spacing w:line="360" w:lineRule="auto"/>
        <w:rPr>
          <w:rFonts w:ascii="宋体" w:hAnsi="宋体" w:cstheme="minorBidi"/>
          <w:noProof/>
          <w:sz w:val="24"/>
        </w:rPr>
      </w:pPr>
      <w:hyperlink w:anchor="_Toc240548895" w:history="1">
        <w:r w:rsidRPr="00871E3A">
          <w:rPr>
            <w:rStyle w:val="aa"/>
            <w:rFonts w:ascii="宋体" w:hAnsi="宋体" w:hint="eastAsia"/>
            <w:noProof/>
            <w:sz w:val="24"/>
          </w:rPr>
          <w:t>二十四、备查文件</w:t>
        </w:r>
        <w:r w:rsidRPr="00871E3A">
          <w:rPr>
            <w:rFonts w:ascii="宋体" w:hAnsi="宋体"/>
            <w:noProof/>
            <w:sz w:val="24"/>
          </w:rPr>
          <w:tab/>
        </w:r>
        <w:r w:rsidRPr="00871E3A">
          <w:rPr>
            <w:rFonts w:ascii="宋体" w:hAnsi="宋体"/>
            <w:noProof/>
            <w:sz w:val="24"/>
          </w:rPr>
          <w:fldChar w:fldCharType="begin"/>
        </w:r>
        <w:r w:rsidRPr="00871E3A">
          <w:rPr>
            <w:rFonts w:ascii="宋体" w:hAnsi="宋体"/>
            <w:noProof/>
            <w:sz w:val="24"/>
          </w:rPr>
          <w:instrText xml:space="preserve"> PAGEREF _Toc240548895 \h </w:instrText>
        </w:r>
        <w:r w:rsidRPr="00871E3A">
          <w:rPr>
            <w:rFonts w:ascii="宋体" w:hAnsi="宋体"/>
            <w:noProof/>
            <w:sz w:val="24"/>
          </w:rPr>
        </w:r>
        <w:r w:rsidRPr="00871E3A">
          <w:rPr>
            <w:rFonts w:ascii="宋体" w:hAnsi="宋体"/>
            <w:noProof/>
            <w:sz w:val="24"/>
          </w:rPr>
          <w:fldChar w:fldCharType="separate"/>
        </w:r>
        <w:r w:rsidRPr="00871E3A">
          <w:rPr>
            <w:rFonts w:ascii="宋体" w:hAnsi="宋体"/>
            <w:noProof/>
            <w:sz w:val="24"/>
          </w:rPr>
          <w:t>153</w:t>
        </w:r>
        <w:r w:rsidRPr="00871E3A">
          <w:rPr>
            <w:rFonts w:ascii="宋体" w:hAnsi="宋体"/>
            <w:noProof/>
            <w:sz w:val="24"/>
          </w:rPr>
          <w:fldChar w:fldCharType="end"/>
        </w:r>
      </w:hyperlink>
    </w:p>
    <w:p w:rsidR="003B4AEB" w:rsidRPr="00871E3A" w:rsidRDefault="00871E3A" w:rsidP="00871E3A">
      <w:pPr>
        <w:pStyle w:val="ad"/>
        <w:snapToGrid w:val="0"/>
        <w:spacing w:after="240" w:line="360" w:lineRule="auto"/>
        <w:jc w:val="center"/>
        <w:rPr>
          <w:rFonts w:ascii="宋体" w:hAnsi="宋体"/>
          <w:color w:val="000000"/>
          <w:sz w:val="24"/>
        </w:rPr>
      </w:pPr>
      <w:r w:rsidRPr="00871E3A">
        <w:rPr>
          <w:rFonts w:ascii="宋体" w:hAnsi="宋体"/>
          <w:color w:val="000000"/>
          <w:position w:val="-4"/>
          <w:sz w:val="24"/>
          <w:szCs w:val="30"/>
        </w:rPr>
        <w:fldChar w:fldCharType="end"/>
      </w:r>
      <w:bookmarkStart w:id="3" w:name="_GoBack"/>
      <w:bookmarkEnd w:id="3"/>
    </w:p>
    <w:p w:rsidR="003B4AEB" w:rsidRDefault="003B4AEB">
      <w:pPr>
        <w:autoSpaceDE w:val="0"/>
        <w:autoSpaceDN w:val="0"/>
        <w:adjustRightInd w:val="0"/>
        <w:snapToGrid w:val="0"/>
        <w:spacing w:line="360" w:lineRule="auto"/>
        <w:ind w:left="120" w:rightChars="6" w:right="13"/>
        <w:rPr>
          <w:rFonts w:ascii="宋体" w:hAnsi="宋体"/>
          <w:kern w:val="0"/>
          <w:szCs w:val="24"/>
        </w:rPr>
        <w:sectPr w:rsidR="003B4AEB">
          <w:pgSz w:w="11920" w:h="16840"/>
          <w:pgMar w:top="1480" w:right="1680" w:bottom="280" w:left="1680" w:header="0" w:footer="1073" w:gutter="0"/>
          <w:cols w:space="720"/>
        </w:sectPr>
      </w:pPr>
    </w:p>
    <w:p w:rsidR="003B4AEB" w:rsidRDefault="00BB077E">
      <w:pPr>
        <w:pStyle w:val="1"/>
        <w:snapToGrid w:val="0"/>
        <w:spacing w:beforeLines="0" w:before="240" w:after="240"/>
        <w:rPr>
          <w:rFonts w:ascii="宋体" w:hAnsi="宋体"/>
          <w:szCs w:val="30"/>
        </w:rPr>
      </w:pPr>
      <w:bookmarkStart w:id="4" w:name="_Toc240548872"/>
      <w:r>
        <w:rPr>
          <w:rFonts w:ascii="Times New Roman" w:hAnsi="Times New Roman"/>
          <w:sz w:val="30"/>
        </w:rPr>
        <w:lastRenderedPageBreak/>
        <w:t>一、绪言</w:t>
      </w:r>
      <w:bookmarkEnd w:id="4"/>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策略回报灵活配置混合型证券投资基金招募说明书》（以下简称“本招募说明书”）依据《中华人民共和国证券投资基金法》、《公开募集证券投资基金运作管理办法》、《证券投资基金销售管理办法》、《公开募集证券投资基金信息披露管理办法》、《公开募集开放式证券投资基金流动性风险管理规定》(以下简称“《流动性规定》”)和其他相关法律法规的规定以及《交银施罗德策略回报灵活配置混合型证券投资基金基金合同》（以下简称“基金合同”或“《基金合同》”）编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备案。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5" w:name="_Toc240548873"/>
      <w:r>
        <w:rPr>
          <w:rFonts w:ascii="Times New Roman" w:hAnsi="Times New Roman"/>
          <w:sz w:val="30"/>
        </w:rPr>
        <w:lastRenderedPageBreak/>
        <w:t>二、释义</w:t>
      </w:r>
      <w:bookmarkEnd w:id="5"/>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指交银施罗德策略回报灵活配置混合型证券投资基金</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基金托管人或本基金托管人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指中信银行股份有限公司</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基金合同、《基金合同》或本基金合同：</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指《交银施罗德策略回报灵活配置混合型证券投资基金基金合同》及对本基金合同的任何有效修订和补充</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指基金管理人与基金托管人就本基金签订之《交银施罗德策略回报灵活配置混合型证券投资基金托管协议》及对该托管协议的任何有效修订和补充</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招募说明书或本招募说明书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指《交银施罗德策略回报灵活配置混合型证券投资基金招募说明书》及其更新</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指《交银施罗德策略回报灵活配置混合型证券投资基金基金产品资料概要》及其更新</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指中国现行有效并公布实施的法律、行政法规、规范性文件、司法解释、行政规章以及其他对基金合同当事人有约束力的决定、决议、通知等</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2003</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日经第十届全国人民代表大会常务委员会第五次会议通过，并经</w:t>
            </w: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日第十一届全国人民代表大会常务委员会第三十次会议修订，自</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日起实施的《中华人民共和国证券投资基金法》及其后颁布机关对其不时做出的修订</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15</w:t>
            </w:r>
            <w:r>
              <w:rPr>
                <w:rFonts w:ascii="Times New Roman" w:hAnsi="Times New Roman"/>
                <w:color w:val="000000"/>
                <w:kern w:val="0"/>
                <w:sz w:val="25"/>
                <w:szCs w:val="24"/>
              </w:rPr>
              <w:t>日颁布、同年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日实施的《证券投资基金销售管理办法》及颁布机关对其不时做出的修订</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日实施的《公开募集证券投资基金信息披露管理办法》及颁布机关对其不时做出的修订</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7</w:t>
            </w:r>
            <w:r>
              <w:rPr>
                <w:rFonts w:ascii="Times New Roman" w:hAnsi="Times New Roman"/>
                <w:color w:val="000000"/>
                <w:kern w:val="0"/>
                <w:sz w:val="25"/>
                <w:szCs w:val="24"/>
              </w:rPr>
              <w:t>日颁布、同年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8</w:t>
            </w:r>
            <w:r>
              <w:rPr>
                <w:rFonts w:ascii="Times New Roman" w:hAnsi="Times New Roman"/>
                <w:color w:val="000000"/>
                <w:kern w:val="0"/>
                <w:sz w:val="25"/>
                <w:szCs w:val="24"/>
              </w:rPr>
              <w:t>日实施的《公开募集证券投资基金运作管理办法》及颁布机关对其不时做出的修订</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指中华人民共和国，就本基金基金合同而言，不包括香港特别行政区、澳门特别行政区和台湾地区</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银行业监督管理机构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指中国人民银行和</w:t>
            </w:r>
            <w:r>
              <w:rPr>
                <w:rFonts w:ascii="Times New Roman" w:hAnsi="Times New Roman"/>
                <w:color w:val="000000"/>
                <w:kern w:val="0"/>
                <w:sz w:val="25"/>
                <w:szCs w:val="24"/>
              </w:rPr>
              <w:t>/</w:t>
            </w:r>
            <w:r>
              <w:rPr>
                <w:rFonts w:ascii="Times New Roman" w:hAnsi="Times New Roman"/>
                <w:color w:val="000000"/>
                <w:kern w:val="0"/>
                <w:sz w:val="25"/>
                <w:szCs w:val="24"/>
              </w:rPr>
              <w:t>或中国银行业监督管理委员会</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指依据有关法律法规规定可投资于证券投资基金的自然人</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指依法可以投资证券投资基金的、在中华人民共和国境内合法登记并存续或经有关政府部门批准设立并存续的企业法人、事业法人、社会团体或其他组织</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指符合《合格境外机构投资者境内证券投资管理办法》及相关法律法规规定可以投资于在中国境内依法募集的证券投资基金的中国境外的机构投资者</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人民币合格境外机构投资者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指按照《人民币合格境外机构投资者境内证券投资试点办法》及相关法律法规规定，运用来自境外的人民币资金进行中国境内证券投资的境外机构投资者</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投资人</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指个人投资者、机构投资者和合格境外机构投资者和人民币合格境外机构投资者以及法律法规或中国证监会允许购买证券投资基金的其他投资人的合称（以下或称</w:t>
            </w:r>
            <w:r>
              <w:rPr>
                <w:rFonts w:ascii="Times New Roman" w:hAnsi="Times New Roman"/>
                <w:color w:val="000000"/>
                <w:kern w:val="0"/>
                <w:sz w:val="25"/>
                <w:szCs w:val="24"/>
              </w:rPr>
              <w:t>“</w:t>
            </w:r>
            <w:r>
              <w:rPr>
                <w:rFonts w:ascii="Times New Roman" w:hAnsi="Times New Roman"/>
                <w:color w:val="000000"/>
                <w:kern w:val="0"/>
                <w:sz w:val="25"/>
                <w:szCs w:val="24"/>
              </w:rPr>
              <w:t>基金投资者</w:t>
            </w:r>
            <w:r>
              <w:rPr>
                <w:rFonts w:ascii="Times New Roman" w:hAnsi="Times New Roman"/>
                <w:color w:val="000000"/>
                <w:kern w:val="0"/>
                <w:sz w:val="25"/>
                <w:szCs w:val="24"/>
              </w:rPr>
              <w:t>”</w:t>
            </w:r>
            <w:r>
              <w:rPr>
                <w:rFonts w:ascii="Times New Roman" w:hAnsi="Times New Roman"/>
                <w:color w:val="000000"/>
                <w:kern w:val="0"/>
                <w:sz w:val="25"/>
                <w:szCs w:val="24"/>
              </w:rPr>
              <w:t>、</w:t>
            </w:r>
            <w:r>
              <w:rPr>
                <w:rFonts w:ascii="Times New Roman" w:hAnsi="Times New Roman"/>
                <w:color w:val="000000"/>
                <w:kern w:val="0"/>
                <w:sz w:val="25"/>
                <w:szCs w:val="24"/>
              </w:rPr>
              <w:t>“</w:t>
            </w:r>
            <w:r>
              <w:rPr>
                <w:rFonts w:ascii="Times New Roman" w:hAnsi="Times New Roman"/>
                <w:color w:val="000000"/>
                <w:kern w:val="0"/>
                <w:sz w:val="25"/>
                <w:szCs w:val="24"/>
              </w:rPr>
              <w:t>投资者</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指依基金合同和招募说明书合法取得基金份额的投资人</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指基金管理人或销售机构宣传推介基金，发售基金份额，办理基金份额的申购、赎回、转换、转托管及定期定额投资等业务</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w:t>
            </w:r>
            <w:r>
              <w:rPr>
                <w:rFonts w:ascii="Times New Roman" w:hAnsi="Times New Roman"/>
                <w:color w:val="000000"/>
                <w:kern w:val="0"/>
                <w:sz w:val="25"/>
                <w:szCs w:val="24"/>
              </w:rPr>
              <w:t>(</w:t>
            </w:r>
            <w:r>
              <w:rPr>
                <w:rFonts w:ascii="Times New Roman" w:hAnsi="Times New Roman"/>
                <w:color w:val="000000"/>
                <w:kern w:val="0"/>
                <w:sz w:val="25"/>
                <w:szCs w:val="24"/>
              </w:rPr>
              <w:t>即直销机构</w:t>
            </w:r>
            <w:r>
              <w:rPr>
                <w:rFonts w:ascii="Times New Roman" w:hAnsi="Times New Roman"/>
                <w:color w:val="000000"/>
                <w:kern w:val="0"/>
                <w:sz w:val="25"/>
                <w:szCs w:val="24"/>
              </w:rPr>
              <w:t>)</w:t>
            </w:r>
            <w:r>
              <w:rPr>
                <w:rFonts w:ascii="Times New Roman" w:hAnsi="Times New Roman"/>
                <w:color w:val="000000"/>
                <w:kern w:val="0"/>
                <w:sz w:val="25"/>
                <w:szCs w:val="24"/>
              </w:rPr>
              <w:t>和代销机构</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直销机构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代销机构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指符合《销售办法》和中国证监会规定的其他条件，取得基金代销业务资格并与基金管理人签订了基金销售服务代理协议，代为办理基金销售业务的机构</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指直销机构的直销中心及代销机构的代销网点</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登记业务</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指基金登记、存管、过户、清算和结算业务，具体内容包括投资人基金账户的建立和管理、基金份额登记、基金销售业务的确认、清算和结算、代理发放红利、建立并保管基金份额持有人名册和办理非交易过户等</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登记机构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指办理登记业务的机构。基金的登记机构为交银施罗德基金管理有限公司或接受交银施罗德基金管理有限公司委托代为办理登记业务的机构</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指登记机构为投资人开立的、记录其持有的、基金管理人所管理的基金份额余额及其变动情况的账户</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指销售机构为投资人开立的、记录投资人通过该销售机构办理交易业务而引起的基金份额的变动及结余情况的账户</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指基金募集达到法律法规规定及基金合同规定的条件，基金管理人向中国证监会办理基金备案手续完毕，并获得中国证监会书面确认的日期</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基金合同终止日</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r>
              <w:rPr>
                <w:rFonts w:ascii="Times New Roman" w:hAnsi="Times New Roman"/>
                <w:color w:val="000000"/>
                <w:kern w:val="0"/>
                <w:sz w:val="25"/>
                <w:szCs w:val="24"/>
              </w:rPr>
              <w:t>/</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指销售机构在规定时间受理投资人申购、赎回或其他业务申请的开放日</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指为投资人办理基金份额申购、赎回或其他业务的工作日</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开放时间</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指《交银施罗德基金管理有限公司开放式基金业务规则》，是规范基金管理人所管理的开放式证券投资基金登记方面的业务规则，由基金管理人和投资人共同遵守</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指在基金募集期内，投资人申请购买基金份额的行为</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指基金合同生效后，投资人根据基金合同和招募说明书的规定申请购买基金份额的行为</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指基金合同生效后，基金份额持有人按基金合同规定的条件要求将基金份额兑换为现金的行为</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指基金份额持有人按照本基金基金合同和基金管理人届时有效公告规定的条件，申请将其持有基金管理人管理的、某一基金的基金份额转换为基金管理人管理的其他基金基金份额的行为</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指基金份额持有人在本基金的不同销售机构之间实施的变更所持基金份额销售机构的操作</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指投资人通过有关销售机构提出申请，约定每期申购日、扣款金额及扣款方式，由销售机构于每期约定扣款日在投资人指定银行账户内自动完成扣款及基金申购申请的一种投资方式</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指本基金单个开放日，基金净赎回申请（赎回申请份额总数加上基金转换中转出申请份额总数后扣除申购申请份额总数及基金转换中转入申请份额总数后的余额）超过上一开放日基金总份额的</w:t>
            </w:r>
            <w:r>
              <w:rPr>
                <w:rFonts w:ascii="Times New Roman" w:hAnsi="Times New Roman"/>
                <w:color w:val="000000"/>
                <w:kern w:val="0"/>
                <w:sz w:val="25"/>
                <w:szCs w:val="24"/>
              </w:rPr>
              <w:t>10%</w:t>
            </w:r>
            <w:r>
              <w:rPr>
                <w:rFonts w:ascii="Times New Roman" w:hAnsi="Times New Roman"/>
                <w:color w:val="000000"/>
                <w:kern w:val="0"/>
                <w:sz w:val="25"/>
                <w:szCs w:val="24"/>
              </w:rPr>
              <w:t>的情形</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基金收益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指基金投资所得红利、股息、债券利息、买卖证券价差、银行存款利息、已实现的其他合法收入及因运用基金财产带来的成本和费用的节约</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指基金拥有的各类有价证券、银行存款本息、基金应收申购款及其他资产的价值总和</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指基金资产总值减去基金负债后的价值</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指计算日基金资产净值除以计算日基金份额总数的数值</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指本基金基金合同当事人不能预见、不能避免且不能克服的客观事件</w:t>
            </w:r>
          </w:p>
        </w:tc>
      </w:tr>
    </w:tbl>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6" w:name="_Toc240548874"/>
      <w:r>
        <w:rPr>
          <w:rFonts w:ascii="Times New Roman" w:hAnsi="Times New Roman"/>
          <w:sz w:val="30"/>
        </w:rPr>
        <w:lastRenderedPageBreak/>
        <w:t>三、基金管理人</w:t>
      </w:r>
      <w:bookmarkEnd w:id="6"/>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韩威俊先生:基金经理。上海财经大学金融学硕士，21年证券投资行业从业经验。2005年至2008年担任申银万国证券研究所助理分析师，2008年至2009年担任北京鼎天资产管理有限公司董事助理，2009年至2010年担任申银万国证券研究所行业分析师，2010年至2013年担任信诚基金管理有限公司投资分析师。2013年加入交银施罗德基金管理有限公司，曾任行业分析师，现任权益部基金经理。曾任交银施罗德趋势优先混合型证券投资基金(2017年06月03日至2020年05月26日)的基金经理。现任交银施罗德策略回报灵活配置混合型证券投资基金(2016年01月20日至今)、交银施罗德股息优化混合型证券投资基金(2017年08月25日至今)、交银施罗德品质升级混合型证券投资基金(2018年02月08日至今)、交银施罗德消费新驱动股票型证券投资基金(2018年08月24日至今)、交银施罗德内需增长一年持有期混合型证券投资基金(2020年12月11日至今)、交银施罗德品质增长一年持有期混合型证券投资基金(2021年07月23日至今)、交银施罗德港股消费混合型证券投资基金（QDII）(2026年09月02日至今)的基金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项廷锋先生(2012年06月20日至2015年10月06日)；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王少成先生(2015年11月07日至2018年06月07日)。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1、依法募集资金，办理或者委托经中国证监会认定的其他机构办理基金份额的发售、申购、赎回和登记事宜；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w:t>
      </w:r>
      <w:r>
        <w:rPr>
          <w:rFonts w:ascii="宋体" w:hAnsi="宋体"/>
          <w:sz w:val="24"/>
        </w:rPr>
        <w:lastRenderedPageBreak/>
        <w:t>有关法律法规及行业规范，诚实信用、勤勉尽责；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（1）董事会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风险管理是每一个业务部门首要的责任。部门负责人对本部门的风险负全部责任，负责履行公司的风险管理程序，负责本部门的风险管理系统的开发、执行和维护，用于识别、监控和降低风险。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7" w:name="_Toc240548875"/>
      <w:r>
        <w:rPr>
          <w:rFonts w:ascii="Times New Roman" w:hAnsi="Times New Roman"/>
          <w:sz w:val="30"/>
        </w:rPr>
        <w:lastRenderedPageBreak/>
        <w:t>四、基金托管人</w:t>
      </w:r>
      <w:bookmarkEnd w:id="7"/>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方合英先生，本行党委书记、董事长、执行董事，代为履行行长职责。方先生于2020年12月起任中国中信集团有限公司副总经理、中国中信股份有限公司副总经</w:t>
      </w:r>
      <w:r>
        <w:rPr>
          <w:rFonts w:ascii="宋体" w:hAnsi="宋体"/>
          <w:sz w:val="24"/>
        </w:rPr>
        <w:lastRenderedPageBreak/>
        <w:t>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w:t>
      </w:r>
      <w:r>
        <w:rPr>
          <w:rFonts w:ascii="宋体" w:hAnsi="宋体"/>
          <w:sz w:val="24"/>
        </w:rPr>
        <w:lastRenderedPageBreak/>
        <w:t>析、控制和避免风险，确保基金财产安全，维护基金份额持有人利益。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8" w:name="_Toc240548876"/>
      <w:r>
        <w:rPr>
          <w:rFonts w:ascii="Times New Roman" w:hAnsi="Times New Roman"/>
          <w:sz w:val="30"/>
        </w:rPr>
        <w:lastRenderedPageBreak/>
        <w:t>五、相关服务机构</w:t>
      </w:r>
      <w:bookmarkEnd w:id="8"/>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本基金直销机构为本公司以及本公司的网上直销交易平台（网站及手机APP，下同）。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（2）名称：中国工商银行股份有限公司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注册地址：北京市西城区复兴门内大街55号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（3）名称：杭州银行股份有限公司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（4）名称：中国建设银行股份有限公司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（5）名称：交通银行股份有限公司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网址：www.bankcomm.com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（6）名称：招商银行股份有限公司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（7）名称：上海银行股份有限公司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（9）名称：东莞农村商业银行股份有限公司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办公地址：东莞市东城区鸿福东路2号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（10）名称：中国农业银行股份有限公司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（11）名称：中国民生银行股份有限公司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（12）名称：宁波银行股份有限公司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联系人：胡技勋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（13）名称：平安银行股份有限公司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（14）名称：中国光大银行股份有限公司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（15）名称：中国邮政储蓄银行股份有限公司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（16）名称：光大证券股份有限公司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住所：上海市静安区新闸路1508号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（18）名称：中国中金财富证券有限公司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（19）名称：山西证券股份有限公司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客户服务电话：400-666-1618、95573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（20）名称：东北证券股份有限公司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（21）名称：中银国际证券股份有限公司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（22）名称：华福证券股份有限公司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（23）名称：方正证券股份有限公司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传真：（010）68546792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（24）名称：德邦证券股份有限公司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（25）名称：国投证券股份有限公司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（26）名称：中航证券有限公司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（27）名称：财通证券股份有限公司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注册地址：杭州市杭大路15号嘉华国际商务中心201、501、502、1103、1601-1615、1701-1716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（28）名称：中信建投证券股份有限公司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（29）名称：中原证券股份有限公司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（30）名称：东方财富证券股份有限公司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传真：（021）021-23586860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（31）名称：国信证券股份有限公司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（32）名称：金融街证券股份有限公司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（33）名称：华泰证券股份有限公司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客户服务电话：95597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（34）名称：兴业证券股份有限公司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（35）名称：广发证券股份有限公司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（36）名称：中国银河证券股份有限公司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（37）名称：申万宏源证券有限公司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法定代表人：杨玉成</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（38）名称：国都证券股份有限公司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（39）名称：平安证券股份有限公司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（40）名称：中信证券（山东）有限责任公司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（41）名称：申万宏源西部证券有限公司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住所：新疆乌鲁木齐市建设路2号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（42）名称：中泰证券股份有限公司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（43）名称：江海证券有限公司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（44）名称：中国国际金融股份有限公司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传真：（010）85679203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（45）名称：瑞银证券有限责任公司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（46）名称：长城证券有限责任公司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（47）名称：国金证券股份有限公司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（48）名称：渤海证券股份有限公司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住所：天津经济技术开发区第二大街42号写字楼101室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（49）名称：信达证券股份有限公司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（50）名称：国新证券股份有限公司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（51）名称：粤开证券股份有限公司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客服电话：95564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（52）名称：华西证券股份有限公司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（53）名称：第一创业证券股份有限公司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（54）名称：联储证券有限责任公司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（55）名称：中信证券华南股份有限公司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办公地址：广州市天河区珠江西路5号广州国际金融中心主塔19层、20层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（56）名称：国泰海通证券股份有限公司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（57）名称：招商证券股份有限公司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（58）名称：长江证券股份有限公司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传真：（027）85481900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（59）名称：爱建证券有限责任公司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（60）名称：大同证券有限责任公司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（61）名称：长城国瑞证券有限公司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网址：www.gwgsc.com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（62）名称：华宝证券股份有限公司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（63）名称：万联证券股份有限公司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（64）名称：华龙证券股份有限公司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（65）名称：天风证券股份有限公司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法定代表人：余磊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（66）名称：国元证券股份有限公司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（67）名称：东方证券股份有限公司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（68）名称：东莞证券股份有限公司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网址：www.dgzq.com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（69）名称：北京广源达信基金销售有限公司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（70）名称：大连网金基金销售有限公司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（71）名称：阳光人寿保险股份有限公司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（72）名称：玄元保险代理有限公司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办公地址：中国(上海)自由贸易试验区张杨路707号1105室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（73）名称：京东肯特瑞基金销售有限公司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（74）名称：上海大智慧基金销售有限公司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（75）名称：腾安基金销售（深圳）有限公司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电话：95017（拨通后转1转8）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（76）名称：珠海盈米基金销售有限公司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（77）名称：上海华夏财富投资管理有限公司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（78）名称：北京度小满基金销售有限公司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公司网址：www.baiyingfund.com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（79）名称：南京苏宁基金销售有限公司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（80）名称：嘉实财富管理有限公司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（81）名称：北京汇成基金销售有限公司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（82）名称：上海利得基金销售有限公司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办公地址：上海市虹口区东大名路1098号浦江国际金融广场53层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（83）名称：北京虹点基金销售有限公司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（84）名称：上海陆金所基金销售有限公司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（85）名称：上海挖财基金销售有限公司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传真：021-50810687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（86）名称：万家财富基金销售（天津）有限公司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（87）名称：上海万得基金销售有限公司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（88）名称：格上富信投资顾问有限公司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客户服务电话：400-066-8586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（89）名称：深圳市金斧子基金销售有限公司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（90）名称：北京雪球基金销售有限公司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（91）名称：北京新浪仓石基金销售有限公司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（92）名称：中证金牛（北京）基金销售有限公司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（93）名称：上海证达通基金销售有限公司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（94）名称：北京创金启富基金销售有限公司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（95）名称：奕丰基金销售有限公司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办公地址：深圳市南山区海德三道航天科技广场A座17楼1704室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（96）名称：上海天天基金销售有限公司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（97）名称：和讯信息科技有限公司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（98）名称：诺亚正行基金销售有限公司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传真：（021）80358749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（99）名称：上海好买基金销售有限公司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（100）名称：上海长量基金销售有限公司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（101）名称：深圳众禄基金销售股份有限公司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（102）名称：蚂蚁（杭州）基金销售有限公司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（103）名称：中信期货有限公司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（104）名称：天相投资顾问有限公司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（105）名称：上海基煜基金销售有限公司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住所：上海市崇明县长兴镇路潘园公路1800号2号楼6153室（上海泰和经济发展区）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（106）名称：浙江同花顺基金销售有限公司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（107）名称：上海联泰基金销售有限公司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（108）名称：中国人寿保险股份有限公司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（109）名称：泛华普益基金销售有限公司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（110）名称：北京展恒基金销售股份有限公司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（111）名称：深圳市新兰德证券投资咨询有限公司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（112）名称：和耕传承基金销售有限公司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（113）名称：上海中欧财富基金销售有限公司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（114）名称：济安财富（北京）基金销售有限公司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（115）名称：博时财富基金销售有限公司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办公地址：深圳市福田区莲花街道福新社区益田路5999号基金大厦19层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（116）名称：深圳前海微众银行股份有限公司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办公地址：上海市银城中路68号时代金融中心19楼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9" w:name="_Toc240548877"/>
      <w:r>
        <w:rPr>
          <w:rFonts w:ascii="Times New Roman" w:hAnsi="Times New Roman"/>
          <w:sz w:val="30"/>
        </w:rPr>
        <w:lastRenderedPageBreak/>
        <w:t>六、基金的历史沿革与基金合同的生效</w:t>
      </w:r>
      <w:bookmarkEnd w:id="9"/>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本基金由交银施罗德荣安保本混合型证券投资基金转型而来。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安保本混合型证券投资基金经中国证监会《关于核准交银施罗德荣安保本混合型证券投资基金募集的批复》（证监许可[2012]565号）核准募集，基金管理人为交银施罗德基金管理有限公司，基金托管人为中信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交银施罗德荣安保本混合型证券投资基金为契约型开放式保本混合型基金。基金存续期间为不定期。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安保本混合型证券投资基金保本周期为三年，自《交银施罗德荣安保本混合型证券投资基金基金合同》生效之日起至三个公历年后对应日止。如果该对应日为非工作日，保本周期到期日顺延至下一个工作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安保本混合型证券投资基金自2012年5月14日至2012年6月15日进行公开募集，该基金募集期间基金份额净值为人民币1.00元，按初始面值发售。募集期间募集及利息结转的基金份额共计1,631,624,464.77份基金份额，有效认购户数为13,487户。募集结束后基金管理人向中国证监会办理基金备案手续。经中国证监会书面确认，《交银施罗德荣安保本混合型证券投资基金基金合同》于2012年6月20日生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安保本混合型证券投资基金于2015年6月23日保本周期到期，按照《交银施罗德荣安保本混合型证券投资基金基金合同》的约定，该基金保本周期到期后转型为非保本的混合型基金，名称相应变更为“交银施罗德策略回报灵活配置混合型证券投资基金”。</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荣安保本混合型证券投资基金的保本周期到期选择期为保本周期到期日及之后3个工作日（含第3个工作日），即2015年6月23日至2015年6月26日。自2015年6月27日本基金正式转型为交银施罗德策略回报灵活配置混合型证券投资基金，转型后的《交银施罗德策略回报灵活配置混合型证券投资基金基金合同》自该日起生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策略回报灵活配置混合型证券投资基金基金合同》生效后，连续二十个工作日基金份额持有人数量不满200人或者基金资产净值低于5000万元的，基金管理人应当在定期报告中予以披露；连续六十个工作日出现前述情形的，基金管理人应当向中国证监会报告并提出解决方案，如转换运作方式、与其他基金合并</w:t>
      </w:r>
      <w:r>
        <w:rPr>
          <w:rFonts w:ascii="宋体" w:hAnsi="宋体"/>
          <w:sz w:val="24"/>
        </w:rPr>
        <w:lastRenderedPageBreak/>
        <w:t>或者终止基金合同等，并召开基金份额持有人大会进行表决。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10" w:name="_Toc240548878"/>
      <w:r>
        <w:rPr>
          <w:rFonts w:ascii="Times New Roman" w:hAnsi="Times New Roman"/>
          <w:sz w:val="30"/>
        </w:rPr>
        <w:lastRenderedPageBreak/>
        <w:t>七、基金份额的申购与赎回</w:t>
      </w:r>
      <w:bookmarkEnd w:id="10"/>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本基金管理人的直销机构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个人投资者可以通过本公司网上直销交易平台办理开户、本基金的申购、赎回、定期定额投资、转换等业务，具体交易细则请参阅本公司网站。网上直销交易平台网址：www.fund001.com。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代销机构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本基金代销机构的代销网点参见本招募说明书“五、相关服务机构”章节或拨打本公司客户服务电话进行咨询。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投资人可通过上述销售机构办理基金申购、赎回业务的营业场所或按上述销售机构提供的其他方式进行申购、赎回。本基金管理人可根据情况变更或增减基金代销机构，并在管理人网站公示。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若基金管理人或其指定的代销机构开通电话、传真或网上等交易方式，投资人可以通过上述方式进行申购、赎回。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证监会的要求或本基金合同的规定公告暂停申购、赎回时除外。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本基金已于2015年6月30日起开放申购、赎回业务。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者赎回。投资者在基金合同约定之外的日期和时间提出申购、赎回申请且登记机构确认接受的，其基金份额申购、赎回价格为下一开放日基金份额申购、赎回的价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对于由本基金转入变更后基金的基金份额，其持有期将从原份额取得之日起连续计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人不受首次申购最低金额的限制。通过本公司网上直销交易平台办理基金申购业务的不受直销中心单笔申购最低金额的限制，申购最低金额为单笔1元。本基金直销中心单笔申购最低金额可由基金管理人酌情调整。各代销网点接受申购申请的最低金额为单笔1元，如果代销机构业务规则规定的最低单笔申购金额高于1元，以代销机构的规定为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2、赎回份额的限制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前依照《信息披露办法》的有关规定在指定的媒介上刊登公告并报中国证监会备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投资人必须根据基金销售机构规定的程序，在开放日的业务办理时间向基金销售机构提出申购或赎回的申请。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投资人在申购本基金时须按销售机构规定的方式备足申购资金，投资人在提交赎回申请时，必须有足够的基金份额余额，否则所提交的申购、赎回的申请无效而不予成交。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规定时间受理的申请，正常情况下，登记机构在T+1日内（包括该日）为投资人对该交易的有效性进行确认，投资人应在T＋2日后（包括该日）及时到销售网点柜台或以销售机构规定的其他方式查询申请的确认情况，否则如因申请未得到登记机构的确认而产生的后果，由投资人自行承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基金管理人可以在法律法规允许的范围内，依法对上述申购和赎回申请的确认时间进行调整，并必须在调整实施日前按照《信息披露办法》有关规定在指定媒介上公告。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销售机构申购、赎回申请的受理并不代表该申请一定成功，而仅代表销售机构</w:t>
      </w:r>
      <w:r>
        <w:rPr>
          <w:rFonts w:ascii="宋体" w:hAnsi="宋体"/>
          <w:sz w:val="24"/>
        </w:rPr>
        <w:lastRenderedPageBreak/>
        <w:t>确实接收到申购、赎回申请。申购、赎回申请的确认以登记机构的确认结果为准。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申购采用全额缴款方式，若申购资金在规定时间内未全额到账，则申购不成功，若申购不成功或无效，申购款项将退回投资人账户。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投资人T日赎回申请成功后，基金管理人将通过登记机构及相关销售机构在T＋7日（包括该日）内将赎回款项划往基金份额持有人账户。在发生巨额赎回情形时，款项的支付办法参照基金合同的有关条款处理。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4、申购和赎回的注册登记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（1）投资人T日申购基金成功后，正常情况下，登记机构在T＋1日为投资人增加权益并办理注册登记手续，投资人自T＋2日（包括该日）起有权赎回该部分基金份额。投资人应及时查询有关申请的确认情况。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（2）投资人T日赎回基金成功后，正常情况下，登记机构在T＋1日为投资人扣除权益并办理相应的注册登记手续。</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（3）基金管理人可在法律法规允许的范围内，对上述注册登记办理时间进行调整，并于开始实施前按照《信息披露办法》的有关规定在指定媒介上公告。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本基金的申购费用由基金份额申购人承担，不列入基金财产，主要用于本基金的市场推广、销售、注册登记等各项费用。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投资人可以多次申购本基金，申购费率按每笔申购申请单独计算，申购费率如下：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本基金目前提供前端收费模式，即在申购时支付申购费用，具体前端申购费率如下：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B4AEB">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前端申购费率</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本基金可择机开通后端收费模式，即在赎回时才支付相应的申购费用，该费用随基金份额的持有时间递减，具体后端申购费率如下：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B4AEB">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持有时间</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后端申购费率</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本基金对通过本公司直销柜台申购本基金的养老金客户实施特定申购费率。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3B4AEB">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前端特定申购费率</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3B4AEB">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B4AEB" w:rsidRDefault="003B4AEB">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由赎回基金份额的基金份额持有人承担，不低于赎回费总额的25%应归基金财产，其余用于支付注册登记费和其他必要的手续费。其中，对持续持有期少于7日的投资者收取不低于1.5%的赎回费并全额计入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整基金申购费率、赎回费率和转换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按实际确认的申购金额在扣除相应的费用后，以当日基金份额净值为基准计算，申购份额计算结果保留到小数点后2位，小数点后两位以后的部分四舍五入，由此误差产生的收益或损失由基金财产承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（2）赎回金额为按实际确认的有效赎回份额乘以当日基金份额净值并扣除相应的费用，赎回金额计算结果保留到小数点后2位，小数点后两位以后的部分四舍五入，由此误差产生的收益或损失由基金财产承担。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本基金可择机开通场内申购，场内申购目前只支持前端收费模式。场内申购金额的有效份额保留到整数位，剩余部分对应申购资金返还投资者。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例一：某投资者（非养老金客户）投资40,000元申购本基金，假设申购当日基金份额净值为1.040元，如果其选择前端收费方式，申购费率为1.5%，则其可得到的申购份额为：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净申购金额=40,000/（1+1.5%）=39,408.87元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申购份额=（40,000-591.13）/1.040=37,893.14份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如果投资人是场外申购，申购份额为37,893.14份。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如果投资人是场内申购，则申购份额为37,893份，其余0.14份对应金额返回给投资者。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申购份额＝申购总金额/T日基金份额净值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当投资人提出赎回时，后端申购费用的计算方法为：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例二：某投资人投资40,000元申购本基金，假设申购当日基金份额净值为1.040元，如果本基金开通后端收费模式且该投资者选择后端收费方式，则其可得到的申购份额为：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 ＝ 38,461.54份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即：投资人投资40,000元申购本基金，假设申购当日基金份额净值为1.040元，则可得到38,461.54份基金份额，但其在赎回时需根据其持有时间按对应的后端申购费率交纳后端申购费用。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（1）如果投资人申购时选择交纳前端申购费用，则赎回金额的计算方法如下：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例三：某投资人赎回通过前端申购持有的10,000份基金份额，对应的赎回费率为0.5%，假设赎回当日基金份额净值是1.016元，则其可得到的赎回金额为：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10,000×1.016-50.80 ＝ 10,109.20元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即：投资人赎回本基金10,000份基金份额，假设赎回当日基金份额净值是1.016元，则其可得到的赎回金额为10,109.20元。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（2）如果本基金开通后端收费模式且投资人申购时选择交纳后端申购费用，</w:t>
      </w:r>
      <w:r>
        <w:rPr>
          <w:rFonts w:ascii="宋体" w:hAnsi="宋体"/>
          <w:sz w:val="24"/>
        </w:rPr>
        <w:lastRenderedPageBreak/>
        <w:t>则赎回金额的计算方法如下：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赎回总额＝赎回份额×T日基金份额净值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赎回金额＝赎回总额－后端申购费用－赎回费用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例四：某投资人赎回通过后端申购持有的10,000份基金份额，对应的后端申购费率是1.8%，赎回费率为0.5%，假设赎回当日基金份额净值是1.016元，申购时的基金份额净值为1.010元，则其可得到的赎回金额为：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赎回总额=10,000×1.016=10,160元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后端申购费用=10,000×1.010×1.8%=181.80元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即：投资人赎回本基金10,000份基金份额，对应的赎回费率为0.5%，假设赎回当日基金份额净值是1.016元，投资者对应的后端申购费率是1.8%，申购时的基金净值为1.010元，则其可得到的赎回金额为9,927.40元。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本基金基金份额净值的计算，保留到小数点后3位，小数点后第4位四舍五入，由此误差产生的收益或损失由基金财产承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（八）拒绝或暂停申购的情形及处理方式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2、证券交易所交易时间非正常停市，导致基金管理人无法计算当日基金资产净值。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w:t>
      </w:r>
      <w:r>
        <w:rPr>
          <w:rFonts w:ascii="宋体" w:hAnsi="宋体"/>
          <w:sz w:val="24"/>
        </w:rPr>
        <w:lastRenderedPageBreak/>
        <w:t>对基金业绩产生负面影响，从而损害现有基金份额持有人利益的情形。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7、基金管理人接受某笔或者某些申购申请有可能导致单一投资者持有基金份额的比例超过50%，或者变相规避50%集中度的情形时。出现上述情形时，基金管理人有权将上述申购申请全部或部分确认失败。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且基金管理人决定暂停或拒绝基金投资者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（九）暂停赎回或者延缓支付赎回款项的情形及处理方式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2、证券交易所交易时间非正常停市，导致基金管理人无法计算当日基金资产净值；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3、连续两个或两个以上开放日发生巨额赎回，导致本基金的现金支付出现困难；</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4、发生本基金基金合同规定的暂停基金资产估值情况；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且基金管理人决定暂停接受投资人的赎回申请或延缓支付赎回款项时，基金管理人应在当日向中国证监会备案，已成功确认的赎回申请，基金管理人应足额支付；如暂时不能足额支付，应将可支付部分按单个账户申请量占申请总量的比例分配给赎回申请人，未支付部分可延期支付，并以后续开放日的基金份额净值为依据计算赎回金额。若出现上述第3项所述情形，按基金合同的相关条款处</w:t>
      </w:r>
      <w:r>
        <w:rPr>
          <w:rFonts w:ascii="宋体" w:hAnsi="宋体"/>
          <w:sz w:val="24"/>
        </w:rPr>
        <w:lastRenderedPageBreak/>
        <w:t>理。投资人在申请赎回时可事先选择将当日可能未获受理部分予以撤销。在暂停赎回的情况消除时，基金管理人应及时恢复赎回业务的办理并公告。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上一开放日的基金总份额的10%，即认为是发生了巨额赎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投资人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w:t>
      </w:r>
      <w:r>
        <w:rPr>
          <w:rFonts w:ascii="宋体" w:hAnsi="宋体"/>
          <w:sz w:val="24"/>
        </w:rPr>
        <w:lastRenderedPageBreak/>
        <w:t>必要，可暂停接受基金的赎回申请；已经接受的赎回申请可以延缓支付赎回款项，但不得超过20个工作日，并应当在指定媒介上进行公告。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当发生上述延期赎回并延期办理时，基金管理人应当通过邮寄、传真、刊登公告或者通知代销机构代为告知等方式在3个交易日内通知基金份额持有人，说明有关处理方法，并在2日内在指定媒介上刊登公告。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1、发生上述暂停申购或赎回情况的，基金管理人应依照有关规定在指定媒介上刊登暂停公告。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2、如发生暂停的时间为1日，基金管理人应于重新开放日，在指定媒介上刊登基金重新开放申购或赎回公告，并公布最近1个开放日的基金份额净值。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3、若暂停时间超过1日，暂停结束，基金重新开放申购或赎回时，基金管理人应依照《信息披露管理办法》的有关规定，在指定媒介上刊登基金重新开放申购或赎回公告，并公告最近1个工作日的基金份额净值。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指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有关规定办理，并按基金登记机构规定的标准收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如果基金管理人、登记机构、办理转托管的销售机构出现技术系统性能限制或出于其它合理原因，可以暂停该业务或者拒绝基金份额持有人的转托管申请。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本基金2015年6月25日刊登公告自2015年6月30日起开通定期定额投资计划业务，具体开通销售机构名单和业务规则参见相关公告。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（十五）基金的冻结和解冻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基金份额的冻结和解冻的业务，由登记机构办理。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关机关依法要求的基金份额的冻结与解冻以及登记机构认可、符合法律法规的其他情况下的基金份额的冻结与解冻。基金份额被冻结的，被冻结部分所产生的权益按照法律法规、监管规章以及国家有权机关的要求来决定是否冻结。</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当基金份额处于冻结状态时，登记机构或其他相关机构有权拒绝该部分基金份额的赎回、转换出、非交易过户以及基金的转托管。</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11" w:name="_Toc240548879"/>
      <w:r>
        <w:rPr>
          <w:rFonts w:ascii="Times New Roman" w:hAnsi="Times New Roman"/>
          <w:sz w:val="30"/>
        </w:rPr>
        <w:lastRenderedPageBreak/>
        <w:t>八、基金的转换</w:t>
      </w:r>
      <w:bookmarkEnd w:id="11"/>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本基金2015年7月28日刊登公告自2015年7月29日起开放日常转换业务。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基金遵循“份额转换”的原则，单笔转换份额不得低于1份。基金持有人可将其全部或部分基金份额转换成其它基金，单笔转换申请不受转入基金最低申购限额限制。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投资人在单个交易账户最低保留余额的规定，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w:t>
      </w:r>
      <w:r>
        <w:rPr>
          <w:rFonts w:ascii="宋体" w:hAnsi="宋体"/>
          <w:sz w:val="24"/>
        </w:rPr>
        <w:lastRenderedPageBreak/>
        <w:t>阅本基金管理人网站。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证券投资基金信息披露管理办法》的有关规定在中国证监会指定媒介上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转入基金确认份额=（100,495-0）/2.2700=44,270.93份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转出基金的赎回费=转出确认金额×对应的转出基金的赎回费率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w:t>
      </w:r>
      <w:r>
        <w:rPr>
          <w:rFonts w:ascii="宋体" w:hAnsi="宋体"/>
          <w:sz w:val="24"/>
        </w:rPr>
        <w:lastRenderedPageBreak/>
        <w:t>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4、基金份额持有人申请将其账户内交银货币的基金份额转换为其他基金份额</w:t>
      </w:r>
      <w:r>
        <w:rPr>
          <w:rFonts w:ascii="宋体" w:hAnsi="宋体"/>
          <w:sz w:val="24"/>
        </w:rPr>
        <w:lastRenderedPageBreak/>
        <w:t>时，注册登记机构将自动结转该转出份额对应的待支付收益，该收益将一并计入转出金额并折算为转入基金的基金份额，但收益部分不收取转换费用。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12" w:name="_Toc240548880"/>
      <w:r>
        <w:rPr>
          <w:rFonts w:ascii="Times New Roman" w:hAnsi="Times New Roman"/>
          <w:sz w:val="30"/>
        </w:rPr>
        <w:lastRenderedPageBreak/>
        <w:t>九、基金的投资</w:t>
      </w:r>
      <w:bookmarkEnd w:id="12"/>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1、投资目标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根据对宏观经济周期和市场环境的分析研究，自上而下配置资产，并通过对类属资产灵活运用多种投资策略，力争实现基金资产的长期稳定增值。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2、投资范围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公开发行交易的债券、股票（包括中小板、创业板及其他经中国证监会核准上市的股票、存托凭证）、货币市场工具、权证以及法律法规或中国证监会允许基金投资的其他金融工具，但需符合中国证监会的相关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如法律法规或监管机构以后允许基金投资的其他品种，基金管理人在履行适当程序后，可以将其纳入投资范围。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正常情况下，本基金的投资组合比例为：股票资产（含存托凭证）占基金资产的30%-80%；债券、货币市场工具、权证、资产支持证券以及法律法规或中国证监会允许基金投资的其他证券品种占基金资产的20%-70%，其中基金应保留不低于基金资产净值5%的现金或到期日在一年以内的政府债券，现金不包括结算备付金、存出保证金、应收申购款等。在基金实际管理过程中，基金管理人将根据中国宏观经济情况和证券市场的阶段性变化，适时调整基金资产在股票、债券及货币市场工具间的配置比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自上而下”的定性分析和定量分析相结合以实现大类资产的灵活配置。具体而言，本基金首先利用经济周期理论，对宏观经济的经济周期进行预测，在此基础上形成对不同资产市场表现的预测和判断，确定基金资产在各类别资产间的分配比例，并随着各类证券风险收益特征的相对变化，动态调整组合中各类资产的比例，以规避或分散市场风险，提高基金收益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操作中，基金管理人采用经济周期理论下的资产配置模型，通过对宏观经济运行指标、利率和货币政策等相关因素的分析，对中国的宏观经济运行情况进行判断和预测，并利用经济周期理论确定基金资产在各类别资产间的战略配置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根据经济周期理论，一个宏观经济运行的周期可以分为减速、衰退、复苏和扩</w:t>
      </w:r>
      <w:r>
        <w:rPr>
          <w:rFonts w:ascii="宋体" w:hAnsi="宋体"/>
          <w:sz w:val="24"/>
        </w:rPr>
        <w:lastRenderedPageBreak/>
        <w:t>张四个阶段，在经济周期的不同阶段，通货膨胀、利率水平和货币政策等对金融市场有着重要影响的因素往往表现出不同的规律，从而影响到不同大类金融资产的定价和市场表现。实证研究也表明，经济周期与金融市场的表现往往呈现出很强的相关性，当宏观经济运行处于不同的阶段时，股票、债券和现金等各大类资产也体现出不同的市场表现。经济周期理论下的资产配置模型依据经济周期和金融市场表现所呈现的相关关系，通过预测宏观经济运行所处的阶段，对各类资产在该阶段下可能的市场表现进行判断，为资产配置的调整提供依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（2）股票选择策略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本基金综合运用交银施罗德的股票研究分析方法和其它投资分析工具，通过综合运用多种投资策略精选具有投资潜力的股票构建股票投资组合。具体而言，本基金的股票投资策略包括：</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1）事件驱动策略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对影响市场、行业及公司的当前或未来价值的重大事件的预测、分析和判断，把握各类型事件所产生的投资机会，深入挖掘预期将受益于事件发生及其后续影响的上市公司股票，并跟踪事件发展的持续影响，对股票投资组合进行动态调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本基金将重点关注的事件性因素包括：</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①资产重组、资产注入及并购；</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②股权转移及变动；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③重大合同公告或重大新产品推出；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④再融资；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⑤管理层变动；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⑥非流通股份解禁；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⑦上下游公司及其它相关行业的重大事件。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此外，本基金也会对包括公司股权激励、管理层收购、股东与管理层关系等其它因素予以跟踪分析。</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2）主题跟踪策略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还将针对经济周期和产业结构发展趋势及成长动因进行前瞻性的研究分析，深入挖掘经济结构变化和发展趋势产生和持续的内在驱动因素以及潜在的投资主题，力争动态把握经济发展和企业盈利的关键性因素所带来的投资机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主题跟踪策略的关键步骤包括：</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主题挖掘：从经济体制变革、产业结构调整、技术发展创新等多个角度出发，分析经济结构、产业结构或企业商业运作模式变化的根本性趋势以及导致上述根本性变化的关键性驱动因素，从而前瞻性地发掘经济发展过程中的投资主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②主题配置：通过对投资主题的全面分析和评估，明确投资主题所对应的主题行业或主题板块，从而确定受惠于相关主题的企业。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③主题投资：在主题配置的基础上，依据企业对投资主题的敏感程度、反应速度以及获益水平等指标，精选个股。那些敏感程度高、反应速度快、获益水平高的企业将是本基金的投资重点。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主题转换：通过紧密跟踪经济发展趋势及其内在驱动因素的变化，不断地挖掘和研究新的投资主题，并对主题投资方向做出适时调整，从而准确把握新旧投资主题的转换时机，充分分享不同投资主题兴起所带来的投资机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3）逆向投资策略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本基金通过定量和定性的手段，通过全方位的分析，筛选相对价值被深度低估并具有较高安全边际的股票，获取其价值回归所带来的收益。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①定量分析：本基金将重点考察股票的市盈率、市净率、市现率及收益指标，选取具有低市盈率、低市净率、低市现率和高收益指标的个股，发掘其增值潜力。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②定性分析：在定量分析的基础上，本基金将详尽考察选取个股的基本面情况，确定基本面素质良好、价值回归期望较高的个股。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债券投资方面，本基金可投资于国债、央行票据、金融债、企业债和可转换债券等债券品种。本基金的债券投资采取主动的投资管理方式，获得与风险相匹配的投资收益，以实现在一定程度上规避股票市场的系统性风险和保证基金资产的流动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基金运用久期控制策</w:t>
      </w:r>
      <w:r>
        <w:rPr>
          <w:rFonts w:ascii="宋体" w:hAnsi="宋体"/>
          <w:sz w:val="24"/>
        </w:rPr>
        <w:lastRenderedPageBreak/>
        <w:t>略、期限结构配置策略、类属配置策略、骑乘策略、杠杆放大策略和换券等多种策略，获取债券市场的长期稳定收益。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（5）资产支持证券的投资策略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4、业绩比较基准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本基金业绩比较基准：沪深300指数收益率×75%+中债-国债总财富（1-3年）指数收益率×25%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股票、债券等资产，相应选取与之匹配的股票指数、债券指数作为基准要素。同时基于基金投资股票资产（含存托凭证）占基金资产的比例为30%-80%等投资比例限制，以及预期的资产配置比例，本基金将股票资产与债券资产所对应的基准要素权重分别设置为75%与25%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指数作为股票部分的业绩比较基准要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沪深市场中规模大、流动性好的最具代表性的300只证券组成，以反映沪深市场上市公司证券的整体表现。该指数样本对沪深市场的覆盖度高，具有良好的市场代表性，与市场整体表现具有较高的相关度，适合作为本基金股票部分的业绩比较基准要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w:t>
      </w:r>
      <w:r>
        <w:rPr>
          <w:rFonts w:ascii="宋体" w:hAnsi="宋体"/>
          <w:sz w:val="24"/>
        </w:rPr>
        <w:lastRenderedPageBreak/>
        <w:t>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沪深300指数由中证指数有限公司编制发布，指数代码为000300，指数具体信息详见中证指数有限公司网站，网址：www.csindex.com.cn。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沪深300指数、中债-国债总财富（1-3年）指数的每日收益率，再按照预设权重比例计算当日组合要素基准的日收益率，并连乘每日收益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w:t>
      </w:r>
      <w:r>
        <w:rPr>
          <w:rFonts w:ascii="宋体" w:hAnsi="宋体"/>
          <w:sz w:val="24"/>
        </w:rPr>
        <w:lastRenderedPageBreak/>
        <w:t>和权重可能存在偏离。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5、风险收益特征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证券投资基金，其预期收益和风险高于货币市场基金、债券型基金，而低于股票型基金，属于证券投资基金中的中高风险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1、投资组合限制：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（1）股票资产（含存托凭证）占基金资产的30%-80%；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（2）债券、货币市场工具、权证、资产支持证券以及法律法规或中国证监会允许基金投资的其他证券品种占基金资产的20%-70%；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（3）基金应保留不低于基金资产净值5%的现金或到期日在一年以内的政府债券，其中现金不包括结算备付金、存出保证金、应收申购款等；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（4）本基金持有一家公司发行的证券，其市值不超过基金资产净值的10％；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（5）本基金管理人管理的全部基金持有一家公司发行的证券，不超过该证券的10％；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（6）本基金持有的全部权证，其市值不得超过基金资产净值的3％；</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（7）本基金管理人管理的全部基金持有的同一权证，不得超过该权证的 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（8）本基金在任何交易日买入权证的总金额，不得超过上一交易日基金资产净值的0.5％；</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（9）本基金投资于同一原始权益人的各类资产支持证券的比例，不得超过基金资产净值的10％；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（10）本基金持有的全部资产支持证券，其市值不得超过基金资产净值的20％；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（11）本基金持有的同一(指同一信用级别)资产支持证券的比例，不得超过该资产支持证券规模的10％；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（12）本基金管理人管理的全部基金投资于同一原始权益人的各类资产支持证券，不得超过其各类资产支持证券合计规模的10％；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（13）本基金应投资于信用级别评级为BBB以上(含BBB)的资产支持证券。基金持有资产支持证券期间，如果其信用等级下降、不再符合投资标准，应在评级报告发布之日起3个月内予以全部卖出；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（14）基金财产参与股票发行申购，本基金所申报的金额不超过本基金的总资产，本基金所申报的股票数量不超过拟发行股票公司本次发行股票的总量；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（15）本基金进入全国银行间同业市场进行债券回购的资金余额不得超过基金资产净值的40%，本基金在全国银行间同业市场中的债券回购最长期限为1 年，债券回购到期后不得展期；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w:t>
      </w:r>
      <w:r>
        <w:rPr>
          <w:rFonts w:ascii="宋体" w:hAnsi="宋体"/>
          <w:sz w:val="24"/>
        </w:rPr>
        <w:lastRenderedPageBreak/>
        <w:t>股票，不得超过该上市公司可流通股票的30%；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（19）本基金与私募类证券资管产品及中国证监会认定的其他主体为交易对手开展逆回购交易的，可接受质押品的资质要求应当与基金合同约定的投资范围保持一致；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3）、（13）、（18）、（19）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交银施罗德策略回报灵活配置混合型证券投资基金基金合同》生效之日起不超过3个月的时间区间内为其投资转型期，投资转型期的具体起止日期由基金管理人确定并届时公告。基金管理人应当自投资转型期结束日起次个工作日使基金的投资组合比例符合基金合同的有关约定。基金托管人对基金的投资的监督与检查自本基金转型之日起开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监管部门对本基金合同约定投资组合比例限制进行变更的，以变更后的规定为准。法律法规或监管部门取消上述限制，如适用于本基金，基金管理人在履行适当程序后，则本基金投资不再受相关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（5）向其基金管理人、基金托管人出资或者买卖其基金管理人、基金托管人发行的股票或者债券；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（6）买卖与其基金管理人、基金托管人有控股关系的股东或者与其基金管理人、基金托管人有其他重大利害关系的公司发行的证券或者承销期内承销的证券；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法律法规或监管部门取消上述限制，如适用于本基金，则履行适当程序后本基金投资不再受相关限制。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（四）基金管理人代表基金行使股东和债权人权利的处理原则及方法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1、基金管理人按照国家有关规定代表基金独立行使股东和债权人权利，保护基金份额持有人的利益；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（五）基金的融资、融券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本基金可以按照国家的有关规定进行融资、融券。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（六）基金投资组合报告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116,399,362.00</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78.69</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116,399,362.00</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78.69</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30,600,867.06</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20.69</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912,711.98</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147,912,941.04</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1,425,996.00</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99,483,123.13</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67.77</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1,424.72</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6,738,996.00</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4.59</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20,083.63</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724,914.00</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7,993,555.80</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5.45</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11,268.72</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116,399,362.00</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79.30</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9,497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13,770,650.00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9.38</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燕京啤酒</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776,700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10,174,770.00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6.93</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002847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盐津铺子</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165,240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9,810,298.80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6.68</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605499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东鹏饮料</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36,500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7,492,355.00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5.10</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300888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稳健医疗</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219,120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7,235,342.40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4.93</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002293</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罗莱生活</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704,300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7,057,086.00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4.81</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600754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锦江酒店</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250,800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6,738,996.00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4.59</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66,798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6,552,883.80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4.46</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000596</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古井贡酒</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57,979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5,963,140.15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4.06</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600702</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舍得酒业</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129,400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5,851,468.00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3.99</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10、报告期末本基金投资的国债期货交易情况说明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53,054.45</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840,230.67</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19,426.86</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right"/>
              <w:rPr>
                <w:rFonts w:ascii="宋体" w:hAnsi="宋体"/>
                <w:color w:val="000000"/>
                <w:kern w:val="0"/>
                <w:sz w:val="25"/>
                <w:szCs w:val="24"/>
              </w:rPr>
            </w:pPr>
            <w:r>
              <w:rPr>
                <w:rFonts w:ascii="Times New Roman" w:hAnsi="Times New Roman"/>
                <w:color w:val="000000"/>
                <w:kern w:val="0"/>
                <w:sz w:val="25"/>
                <w:szCs w:val="24"/>
              </w:rPr>
              <w:t>912,711.98</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13" w:name="_Toc240548881"/>
      <w:r>
        <w:rPr>
          <w:rFonts w:ascii="Times New Roman" w:hAnsi="Times New Roman"/>
          <w:sz w:val="30"/>
        </w:rPr>
        <w:lastRenderedPageBreak/>
        <w:t>十、基金的业绩</w:t>
      </w:r>
      <w:bookmarkEnd w:id="13"/>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（1）交银施罗德策略回报灵活配置混合型证券投资基金</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-4.88%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-2.91%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-4.46%</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-15.35%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-9.58%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-22.10%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-14.39%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-9.37%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-4.34%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7.70%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2.03%</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2.79%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91.01%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73.38%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31.37%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8.28%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-22.71%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-9.78%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39.50%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12.81%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26.69%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4.00%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-5.60%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9.60%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年度（自基金转型日起至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-10.78%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2.61%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-5.98%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1.64%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-4.80%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交银施罗德荣安保本混合型证券投资基金从2015年6月27日起正式转型为交银施罗德策略回报灵活配置混合型证券投资基金，本表列示的是基金转型后的基金净值表现，转型后基金的业绩比较基准为60%×沪深300指数收益率+40%×中信标普全债指数收益率。本基金业绩比较基准自2015年10月1日起，由“60%×沪深300指数收益率+40%×中信标普全债指数收益率”变更为“60%×沪深300指数收益率+40%×中证综合债券指数收益率”，下图同。详情见本基金管理人于2015年9月28</w:t>
      </w:r>
      <w:r>
        <w:rPr>
          <w:rFonts w:ascii="宋体" w:hAnsi="宋体"/>
          <w:sz w:val="24"/>
        </w:rPr>
        <w:lastRenderedPageBreak/>
        <w:t>日发布的《交银施罗德基金管理有限公司关于旗下部分基金业绩比较基准变更并修改基金合同相关内容的公告》。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（2）交银施罗德荣安保本混合型证券投资基金</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17.64%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1.85%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15.79%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17.39%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4.28%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13.11%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6.78%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4.31%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2.47%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r w:rsidR="003B4AEB">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2.32%</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bl>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交银施罗德荣安保本混合型证券投资基金从2015年6月27日起正式转型为交银施罗德策略回报灵活配置混合型证券投资基金，本表列示的是基金转型前的基金净值表现，转型前基金的业绩比较基准为三年期银行定期存款税后收益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（1）自基金转型以来基金份额累计净值增长率变动及其与同期业绩比较基准收益率变动的比较</w:t>
      </w:r>
    </w:p>
    <w:p w:rsidR="003B4AEB" w:rsidRDefault="00BB077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交银施罗德策略回报灵活配置混合型证券投资基金</w:t>
      </w:r>
    </w:p>
    <w:p w:rsidR="003B4AEB" w:rsidRDefault="00BB077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3B4AEB" w:rsidRDefault="00BB077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（2015年6月27日至2026年03月31日）</w:t>
      </w:r>
    </w:p>
    <w:p w:rsidR="003B4AEB" w:rsidRDefault="00871E3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由交银施罗德荣安保本混合型证券投资基金转型而来。基金转型日为2015年6月27日。本基金的投资转型期为交银施罗德荣安保本混合型证券投资基金保本周期到期选择期截止日次日（即2015年6月27日）起的3个月。截至投资转型期结束，本基金各项资产配置比例符合基金合同及招募说明书有关投资比例的约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3B4AEB" w:rsidRDefault="00BB077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交银施罗德荣安保本混合型证券投资基金</w:t>
      </w:r>
    </w:p>
    <w:p w:rsidR="003B4AEB" w:rsidRDefault="00BB077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3B4AEB" w:rsidRDefault="00BB077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(2012年6月20日-2015年6月26日)</w:t>
      </w:r>
    </w:p>
    <w:p w:rsidR="003B4AEB" w:rsidRDefault="00871E3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注：交银施罗德荣安保本混合型证券投资基金的建仓期为自基金合同生效日起的6个月。截至建仓期结束，其各项资产配置比例符合基金合同及招募说明书有关投资比例的约定。</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14" w:name="_Toc240548882"/>
      <w:r>
        <w:rPr>
          <w:rFonts w:ascii="Times New Roman" w:hAnsi="Times New Roman"/>
          <w:sz w:val="30"/>
        </w:rPr>
        <w:lastRenderedPageBreak/>
        <w:t>十一、基金的财产</w:t>
      </w:r>
      <w:bookmarkEnd w:id="14"/>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（一）基金资产的总值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基金资产总值是指购买的各类证券及票据价值、银行存款本息和基金应收的申购基金款以及其他投资所形成的价值总和。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销售机构和登记机构自有的财产账户以及其他基金财产账户相独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（四）基金财产的保管与处分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登记机构和基金销售机构以其自有资产承担法律责任，其债权人不得对基金财产行使请求冻结、扣押和其他权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基金管理人、基金托管人、代销机构因依法解散、被依法撤销或者被依法宣告破产等原因进行清算的，基金财产不属于其清算财产。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15" w:name="_Toc240548883"/>
      <w:r>
        <w:rPr>
          <w:rFonts w:ascii="Times New Roman" w:hAnsi="Times New Roman"/>
          <w:sz w:val="30"/>
        </w:rPr>
        <w:lastRenderedPageBreak/>
        <w:t>十二、基金资产的估值</w:t>
      </w:r>
      <w:bookmarkEnd w:id="15"/>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（二）估值方法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3、全国银行间债券市场交易的债券、资产支持证券等固定收益品种，采用估值技术确定公允价值。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（三）估值对象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基金所拥有的股票、权证、债券和银行存款本息、应收款项、其它投资等资产和负债。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1、基金份额净值是按照每个工作日闭市后，基金资产净值除以当日基金份额的余额数量计算，精确到0.001元，小数点后第四位四舍五入。国家另有规定的，从其规定。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基金合同的规定暂停估值时除外。基金管理人每个工作日对基金资产估值后，将基金份额净值结果发送基金托管人，经基金托管人复核无误后，由基金管理人对外公布。月末、年中和年末估值复核与基金会计账目的核对同时进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w:t>
      </w:r>
      <w:r>
        <w:rPr>
          <w:rFonts w:ascii="宋体" w:hAnsi="宋体"/>
          <w:sz w:val="24"/>
        </w:rPr>
        <w:lastRenderedPageBreak/>
        <w:t>准确性、及时性。当基金份额净值小数点后3位以内（含第3位）发生估值错误时，视为基金份额净值错误。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本基金基金合同的当事人应按照以下约定处理：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代销机构、或投资人自身的过错造成估值错误，导致其他当事人遭受损失的，过错的责任人应当对由于该估值错误遭受损失当事人（“受损方”）的直接损失按下述“估值错误处理原则”给予赔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对于因技术原因引起的估值错误，若系同行业现有技术水平不能预见、不能避免、不能克服，则属不可抗力，按照下述规定执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估值错误，因不可抗力原因出现估值错误的当事人不对其他当事人承担赔偿责任，但因该估值错误取得不当得利的当事人仍应负有返还不当得利的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w:t>
      </w:r>
      <w:r>
        <w:rPr>
          <w:rFonts w:ascii="宋体" w:hAnsi="宋体"/>
          <w:sz w:val="24"/>
        </w:rPr>
        <w:lastRenderedPageBreak/>
        <w:t>总和超过其实际损失的差额部分支付给估值错误责任方。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错误责任方拒绝进行赔偿时，如果因基金管理人过错造成基金财产损失时，基金托管人应为基金的利益向基金管理人追偿，如果因基金托管人过错造成基金财产损失时，基金管理人应为基金的利益向基金托管人追偿。基金管理人和基金托管人之外的第三方造成基金财产的损失，并拒绝进行赔偿时，由基金管理人负责向估值错误方追偿；追偿过程中产生的有关费用，应列入基金费用，从基金资产中支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估值错误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直接损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（7）按法律法规规定的其他原则处理估值错误。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4、基金份额净值估值错误处理的原则和方法如下：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w:t>
      </w:r>
      <w:r>
        <w:rPr>
          <w:rFonts w:ascii="宋体" w:hAnsi="宋体"/>
          <w:sz w:val="24"/>
        </w:rPr>
        <w:lastRenderedPageBreak/>
        <w:t>差，以基金管理人计算结果为准。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（4）前述内容如法律法规或监管机关另有规定的，从其规定处理。如果行业有通行做法，基金管理人和基金托管人应本着平等和保护基金份额持有人利益的原则进行协商。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照法律法规的规定对基金净值予以公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（八）特殊情况的处理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和基金托管人应当积极采取必要的措施消除由此造成的影响。</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16" w:name="_Toc240548884"/>
      <w:r>
        <w:rPr>
          <w:rFonts w:ascii="Times New Roman" w:hAnsi="Times New Roman"/>
          <w:sz w:val="30"/>
        </w:rPr>
        <w:lastRenderedPageBreak/>
        <w:t>十三、基金收益与分配</w:t>
      </w:r>
      <w:bookmarkEnd w:id="16"/>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（三）收益分配原则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1、本基金的每份基金份额享有同等分配权。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2、在符合有关基金分红条件的前提下，本基金收益每年最多分配10次，每次基金收益分配比例不低于收益分配基准日可供分配利润的10%，若《基金合同》生效不满3个月可不进行收益分配。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3、本基金收益分配方式：分为现金分红与红利再投资，投资人可选择现金红利或将现金红利按除权日的单位净值自动转为基金份额进行再投资；若投资人不选择，本基金默认的收益分配方式是现金分红。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4、基金红利发放日距离收益分配基准日（即可供分配利润计算截止日）的时间不得超过15个工作日。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5、基金收益分配后每一基金份额净值不能低于面值，即基金收益分配基准日的基金份额净值减去每单位基金份额收益分配金额后不能低于面值。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6、法律法规或监管机构另有规定的从其规定。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基金收益分配方案中应载明收益分配基准日以及该日的可供分配利润、基金收益分配对象、分配时间、分配数额及比例、分配方式、支付方式等内容。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（五）收益分配的时间和程序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1、基金收益分配方案由基金管理人拟订，由基金托管人复核，依照《信息披露办法》的有关规定在指定媒介公告；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2、在收益分配方案公布后，基金管理人依据具体方案的规定就支付的现金红利向基金托管人发送划款指令，基金托管人按照基金管理人的指令及时进行分红资</w:t>
      </w:r>
      <w:r>
        <w:rPr>
          <w:rFonts w:ascii="宋体" w:hAnsi="宋体"/>
          <w:sz w:val="24"/>
        </w:rPr>
        <w:lastRenderedPageBreak/>
        <w:t>金的划付；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3、法律法规或监管机关另有规定的，从其规定。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人的现金红利小于一定金额，不足以支付银行转账或其他手续费用时，基金登记机构可将投资人的现金红利按除权后的基金份额净值自动转为基金份额，红利再投资的计算方法，依照登记机构的业务规则执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投资人同一日多次申报分红方式变更的，按照《业务规则》执行，最终确认的分红方式以登记机构记录为准。</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17" w:name="_Toc240548885"/>
      <w:r>
        <w:rPr>
          <w:rFonts w:ascii="Times New Roman" w:hAnsi="Times New Roman"/>
          <w:sz w:val="30"/>
        </w:rPr>
        <w:lastRenderedPageBreak/>
        <w:t>十四、基金的费用与税收</w:t>
      </w:r>
      <w:bookmarkEnd w:id="17"/>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9、按照国家有关规定和《基金合同》约定，可以在基金财产中列支的其他费用。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在通常情况下，基金管理费按前一日基金资产净值的1.2%年费率计提。计算方法如下：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在通常情况下，基金托管费按前一日基金资产净值的0.2%年费率计提。计算方法如下：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w:t>
      </w:r>
      <w:r>
        <w:rPr>
          <w:rFonts w:ascii="宋体" w:hAnsi="宋体"/>
          <w:sz w:val="24"/>
        </w:rPr>
        <w:lastRenderedPageBreak/>
        <w:t>划付指令，经基金托管人复核后于次月首日起3个工作日内从基金财产中一次性支付给基金托管人，若遇法定节假日、休息日，支付日期顺延。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3、除管理费和托管费之外的基金费用，由基金托管人根据其他有关法规及相应协议的规定，按费用支出金额支付，列入或摊入当期基金费用。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合同生效前所发生的信息披露费、律师费和会计师费以及其他费用不从基金财产中支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（四）基金管理人和基金托管人可根据基金发展情况调整基金管理费率和基金托管费率。基金管理人必须在调整实施日前按照《信息披露办法》的规定在指定媒介上刊登公告。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18" w:name="_Toc240548886"/>
      <w:r>
        <w:rPr>
          <w:rFonts w:ascii="Times New Roman" w:hAnsi="Times New Roman"/>
          <w:sz w:val="30"/>
        </w:rPr>
        <w:lastRenderedPageBreak/>
        <w:t>十五、基金的会计与审计</w:t>
      </w:r>
      <w:bookmarkEnd w:id="18"/>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2、本基金的会计年度为公历每年的1月1日至12月31日；基金首次募集的会计年度按如下原则：如果《基金合同》生效少于2个月，可以并入下一个会计年度；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7、基金托管人每月与基金管理人就基金的会计核算、报表编制等进行核对并书面确认。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（二）基金的审计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19" w:name="_Toc240548887"/>
      <w:r>
        <w:rPr>
          <w:rFonts w:ascii="Times New Roman" w:hAnsi="Times New Roman"/>
          <w:sz w:val="30"/>
        </w:rPr>
        <w:lastRenderedPageBreak/>
        <w:t>十六、基金的信息披露</w:t>
      </w:r>
      <w:bookmarkEnd w:id="19"/>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本基金的信息披露应符合《基金法》、《运作办法》、《信息披露办法》、《流动性规定》、《基金合同》及其他有关规定。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本基金信息披露义务人承诺公开披露的基金信息，不得有下列行为：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本基金公开披露的信息应采用中文文本。如同时采用外文文本的，基金信息披露义务人应保证不同文本的内容一致。不同文本之间发生歧义的，以中文文本为准。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（一）基金招募说明书、《基金合同》、基金托管协议、基金产品资料概要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（二）基金份额发售公告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（三）《基金合同》生效公告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（四）基金净值信息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在开始办理基金份额申购或者赎回后，基金管理人应当在不晚于每个开放日的次日，通过指定网站、销售机构网站或者营业网点披露开放日的基金份额净值和基金份额累计净值。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w:t>
      </w:r>
      <w:r>
        <w:rPr>
          <w:rFonts w:ascii="宋体" w:hAnsi="宋体"/>
          <w:sz w:val="24"/>
        </w:rPr>
        <w:lastRenderedPageBreak/>
        <w:t>度和年度最后一日的基金份额净值和基金份额累计净值。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（五）基金份额申购、赎回价格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（六）基金定期报告，包括基金年度报告、基金中期报告和基金季度报告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（七）临时报告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w:t>
      </w:r>
      <w:r>
        <w:rPr>
          <w:rFonts w:ascii="宋体" w:hAnsi="宋体"/>
          <w:sz w:val="24"/>
        </w:rPr>
        <w:lastRenderedPageBreak/>
        <w:t>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（八）澄清公告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（九）基金份额持有人大会决议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（十）清算报告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（十一）中国证监会规定的其他信息。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w:t>
      </w:r>
      <w:r>
        <w:rPr>
          <w:rFonts w:ascii="宋体" w:hAnsi="宋体"/>
          <w:sz w:val="24"/>
        </w:rPr>
        <w:lastRenderedPageBreak/>
        <w:t>机构，应当制作工作底稿，并将相关档案至少保存到《基金合同》终止后10年。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本基金信息披露事项以法律法规规定及本章节约定的内容为准。</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20" w:name="_Toc240548888"/>
      <w:r>
        <w:rPr>
          <w:rFonts w:ascii="Times New Roman" w:hAnsi="Times New Roman"/>
          <w:sz w:val="30"/>
        </w:rPr>
        <w:lastRenderedPageBreak/>
        <w:t>十七、风险揭示</w:t>
      </w:r>
      <w:bookmarkEnd w:id="20"/>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投资人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w:t>
      </w:r>
      <w:r>
        <w:rPr>
          <w:rFonts w:ascii="宋体" w:hAnsi="宋体"/>
          <w:sz w:val="24"/>
        </w:rPr>
        <w:lastRenderedPageBreak/>
        <w:t>回处理。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2、本基金可投资创业板股票，创业板个股上市后的前五个交易日不设价格涨跌幅限制，第六个交易日开始涨跌幅限制比例为20%。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（六）投资科创板股票的特定风险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 投资存托凭证的特定风险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（八）本基金法律文件风险收益特征表述与销售机构基金风险评价可能不一致的风险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（九）其他风险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7、其他意外导致的风险。</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21" w:name="_Toc240548889"/>
      <w:r>
        <w:rPr>
          <w:rFonts w:ascii="Times New Roman" w:hAnsi="Times New Roman"/>
          <w:sz w:val="30"/>
        </w:rPr>
        <w:lastRenderedPageBreak/>
        <w:t>十八、基金合同的终止与基金财产的清算</w:t>
      </w:r>
      <w:bookmarkEnd w:id="21"/>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（一）基金合同的终止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有下列情形之一的，本基金基金合同应当终止：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4、法律法规或中国证监会规定的其他情况。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（二）基金财产的清算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（1）自出现《基金合同》终止事由之日起30个工作日内成立清算小组，基金管理人组织基金财产清算小组并在中国证监会的监督下进行基金清算。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（2）基金财产清算小组成员由基金管理人、基金托管人、具有从事证券相关业务资格的注册会计师、律师以及中国证监会指定的人员组成。基金财产清算小组可以聘用必要的工作人员。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（3）基金财产清算小组负责基金财产的保管、清理、估价、变现和分配。基金财产清算小组可以依法进行必要的民事活动。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基金合同终止，应当按法律法规和本基金基金合同的有关规定对基金财产进行清算。基金财产清算程序主要包括：</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（3）对基金财产进行估价和变现；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（7）将基金财产清算报告报中国证监会备案并公告；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（8）对基金剩余财产进行分配。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基金财产清算的期限为6个月（若遇基金持有的股票出现长期休市、停牌或其</w:t>
      </w:r>
      <w:r>
        <w:rPr>
          <w:rFonts w:ascii="宋体" w:hAnsi="宋体"/>
          <w:sz w:val="24"/>
        </w:rPr>
        <w:lastRenderedPageBreak/>
        <w:t>他流通受限的情形除外）。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律师事务所出具法律意见书后，由基金财产清算小组报中国证监会备案并公告。基金财产清算公告于基金财产清算报告报中国证监会备案后5个工作日内由基金财产清算小组进行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22" w:name="_Toc240548890"/>
      <w:r>
        <w:rPr>
          <w:rFonts w:ascii="Times New Roman" w:hAnsi="Times New Roman"/>
          <w:sz w:val="30"/>
        </w:rPr>
        <w:lastRenderedPageBreak/>
        <w:t>十九、基金合同内容摘要</w:t>
      </w:r>
      <w:bookmarkEnd w:id="22"/>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（一）基金合同当事人及权利义务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16）在符合有关法律、法规的前提下，制订和调整有关基金认购、申购、赎</w:t>
      </w:r>
      <w:r>
        <w:rPr>
          <w:rFonts w:ascii="宋体" w:hAnsi="宋体"/>
          <w:sz w:val="24"/>
        </w:rPr>
        <w:lastRenderedPageBreak/>
        <w:t>回、转换和非交易过户的业务规则；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17）法律法规和《基金合同》规定的其他权利。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24）基金管理人在募集期间未能达到基金的备案条件，《基金合同》不能生效，基金管理人承担全部募集费用，将已募集资金并加计银行同期存款利息在基金募集期结束后30日内退还基金认购人；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4）根据相关市场规则，为基金开设证券账户、为基金办理证券交易资金清算；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7）法律法规和《基金合同》规定的其他权利。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15）依据《基金法》、《基金合同》及其他有关规定，召集基金份额持有人大会或配合基金份额持有人依法召集基金份额持有人大会；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的基金份额，即成为本基金份额持有人和《基金合同》的当事人，直至其不再持有本基金的基金份额。基金份额持有人作为《基金合同》当事人并不以在《基金合同》上书面签章或签字为必要条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每份基金份额具有同等的合法权益，基金合同另有约定的除外。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3）依法申请赎回其持有的基金份额；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4）缴纳基金认购、申购、赎回款项及法律法规和《基金合同》所规定的费用；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10）法律法规及中国证监会规定的和《基金合同》约定的其他义务。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1、召开事由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5）提高基金管理人、基金托管人的报酬标准，但法律法规要求提高该等报酬标准的除外；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8）变更基金投资目标、范围或策略，但法律法规和中国证监会另有规定的除外；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5）对《基金合同》的修改对基金份额持有人利益无实质性不利影响或修改不涉及《基金合同》当事人权利义务关系发生变化；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6）按照法律法规和《基金合同》规定不需召开基金份额持有人大会的以外的</w:t>
      </w:r>
      <w:r>
        <w:rPr>
          <w:rFonts w:ascii="宋体" w:hAnsi="宋体"/>
          <w:sz w:val="24"/>
        </w:rPr>
        <w:lastRenderedPageBreak/>
        <w:t>其他情形。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3）有权出席基金份额持有人大会的基金份额持有人的权益登记日；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书面表决意见的计票进行监督的，不影响表决意见的计票效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托管人不派代表列席的，不影响表决效力。现场开会同时符合以下条件时，可以进行基金份额持有人大会议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2）经核对，汇总到会者出示的在权益登记日持有基金份额的凭证显示，有效的基金份额不少于本基金在权益登记日基金总份额的50%（含50%）。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在同时符合以下条件时，通讯开会的方式视为有效：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（3）在法律法规或监管机构允许的情况下，经会议通知载明，基金份额持有人也可以采用网络、电话或其他方式进行表决，或者采用网络、电话或其他方式授权他人代为出席会议并表决。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w:t>
      </w:r>
      <w:r>
        <w:rPr>
          <w:rFonts w:ascii="宋体" w:hAnsi="宋体"/>
          <w:sz w:val="24"/>
        </w:rPr>
        <w:lastRenderedPageBreak/>
        <w:t>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2/3以上（含2/3）通过方可做出。转换基金运作方式、更换基金管理人或者基金托管人、终止《基金合同》、本基金与其他基金合并以特别决议通过方为有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w:t>
      </w:r>
      <w:r>
        <w:rPr>
          <w:rFonts w:ascii="宋体" w:hAnsi="宋体"/>
          <w:sz w:val="24"/>
        </w:rPr>
        <w:lastRenderedPageBreak/>
        <w:t>议、逐项表决。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（2）关于《基金合同》变更的基金份额持有人大会决议自表决通过后生效执行，自决议生效之日起在指定媒介公告。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（五）基金合同存放地及投资者取得基金合同的方式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23" w:name="_Toc240548891"/>
      <w:r>
        <w:rPr>
          <w:rFonts w:ascii="Times New Roman" w:hAnsi="Times New Roman"/>
          <w:sz w:val="30"/>
        </w:rPr>
        <w:lastRenderedPageBreak/>
        <w:t>二十、托管协议的内容摘要</w:t>
      </w:r>
      <w:bookmarkEnd w:id="23"/>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联系人：郭佳敏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 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w:t>
      </w:r>
      <w:r>
        <w:rPr>
          <w:rFonts w:ascii="宋体" w:hAnsi="宋体"/>
          <w:sz w:val="24"/>
        </w:rPr>
        <w:lastRenderedPageBreak/>
        <w:t>式基金业务；办理黄金业务；黄金进出口；开展证券投资基金、企业年金基金、保险资金、合格境外机构投资者托管业务；经国务院银行业监督管理机构批准的其他业务；保险兼业代理业务（有效期至2017年09月08日）。（依法须经批准的项目，经相关部门批准后依批准的内容开展经营活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公开发行交易的债券、股票（包括中小板、创业板及其他经中国证监会核准上市的股票、存托凭证）、货币市场工具、权证以及法律法规或中国证监会允许基金投资的其他金融工具，但需符合中国证监会的相关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本基金不得投资于相关法律、法规、部门规章及《基金合同》禁止投资的投资工具。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（2）基金托管人根据有关法律法规的规定及《基金合同》的约定对下述基金投资比例进行监督：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为：股票资产（含存托凭证）占基金资产的30%-80%；债券、货币市场工具、权证、资产支持证券以及法律法规或中国证监会允许基金投资的其他证券品种占基金资产的20%-70%，其中基金应保留不低于基金资产净值5%的现金或到期日在一年以内的政府债券，现金不包括结算备付金、存出保证金、应收申购款等。在基金实际管理过程中，基金管理人将根据中国宏观经济情况和证券市场的阶段性变化，适时调整基金资产在股票、债券及货币市场工具间的配置比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a）股票资产（含存托凭证）占基金资产的30%-80%；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b）债券、货币市场工具、权证、资产支持证券以及法律法规或中国证监会允许基金投资的其他证券品种占基金资产的20%-70%；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c)持有一家公司发行的证券，其市值不得超过基金资产净值的10%；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d)本基金与由本基金管理人管理的其他基金共同持有一家公司发行的证券，不得超过该证券的10%；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e)本基金进入全国银行间同业市场进行债券回购的资金余额不得超过基金资产净值的40%，本基金在全国银行间同业市场中的债券回购最长期限为1 年，债券回购到期后不得展期；</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在任何交易日买入权证的总金额，不超过上一交易日基金资产净值的0.5%，基金持有的全部权证的市值不超过基金资产净值的3%，基金管理人管理的全部基金持有同一权证的比例不超过该权证的10%。法律法规或中国证监会另有规定的，遵从其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 保留不低于基金资产净值5%的现金或到期日不超过1年的政府债券，其中现金不包括结算备付金、存出保证金、应收申购款等；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h)本基金持有的全部资产支持证券，其市值不得超过基金资产净值的20%；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i)本基金持有的同一原始权益人的各类资产支持证券的比例，不得超过基金资产净值的10%；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j)本基金持有的同一（指同一信用级别）资产支持证券的比例，不得超过该资产支持证券规模的10%；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k)本基金管理人管理的全部基金投资于同一原始权益人的各类资产支持证券，不得超过其各类资产支持证券合计规模的10%；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l)本基金财产参与股票发行申购，所申报的金额不得超过本基金的总资产，所申报的股票数量不得超过拟发行股票公司本次发行股票的总量；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 本基金不得违反《基金合同》关于投资范围和投资比例的约定；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 本基金应投资于信用级别评级为BBB以上(含BBB)的资产支持证券。基金持有资产支持证券期间，如果其信用等级下降、不再符合投资标准，应在评级报告发布之日起3个月内予以全部卖出；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o)本基金持有一家公司发行的流通受限证券，其市值不得超过基金资产净值的3%；本基金持有的所有流通受限证券，其市值不得超过本基金资产净值的15%；经基金管理人和基金托管人协商，可对以上比例进行调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p）本基金的基金资产总值不得超过基金资产净值的140%；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q）本基金管理人管理的全部开放式基金（包括开放式基金以及处于开放期的</w:t>
      </w:r>
      <w:r>
        <w:rPr>
          <w:rFonts w:ascii="宋体" w:hAnsi="宋体"/>
          <w:sz w:val="24"/>
        </w:rPr>
        <w:lastRenderedPageBreak/>
        <w:t>定期开放基金）持有一家上市公司发行的可流通股票，不得超过该上市公司可流通股票的15%；本基金管理人管理的全部投资组合持有一家上市公司发行的可流通股票，不得超过该上市公司可流通股票的30%；</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r）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s）本基金与私募类证券资管产品及中国证监会认定的其他主体为交易对手开展逆回购交易的，可接受质押品的资质要求应当与基金合同约定的投资范围保持一致；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t）本基金投资存托凭证的比例限制依照境内上市交易的股票执行；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u)相关法律法规以及监管部门规定的其它投资限制。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如果法律法规或监管部门对《基金合同》约定投资组合比例限制进行变更的，以变更后的规定为准。法律法规或监管部门取消上述限制，如适用于本基金，则履行适当程序后本基金投资不再受相关限制。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g）、n）、r）、s）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交银施罗德策略回报灵活配置混合型证券投资基金基金合同》生效之日起不超过3个月的时间区间内为“交银施罗德策略回报灵活配置混合型证券投资基金”的投资转型期，投资转型期的具体起止日期由基金管理人确定并届时公告。基金管理人应当自投资转型期结束日起次个工作日使“交银施罗德策略回报灵活配置混合型证券投资基金”的投资组合比例符合基金合同的有关约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3）本基金可以按照国家的有关规定进行融资融券。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4）相关法律、法规或部门规章规定的其他比例限制。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1）承销证券；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2）向他人贷款或提供担保；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3）从事可能使基金承担无限责任的投资；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4）买卖其他基金份额，但是法律法规或国务院另有规定的除外；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5）向其基金管理人、基金托管人出资或者买卖其基金管理人、基金托管人发行的股票或债券；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7）从事内幕交易、操纵证券价格及其他不正当的证券交易活动；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8）当时有效的法律法规、中国证监会及《基金合同》规定禁止从事的其他行为。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如法律法规或监管部门取消上述禁止性规定，基金管理人在履行适当程序后可不受上述规定的限制。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禁止从事的关联交易的规定，基金管理人和基金托管人应事先相互提供与本机构有控股关系的股东或与本机构有其他重大利害关系的公司名单及有关关联方发行的证券名单及其更新，并确保所提供的关联交易名单的真实性、完整性、全面性。基金管理人和基金托管人有责任保管真实、完整、全面的关联交易名单，并负责及时更新该名单。名单变更后，变更一方应及时将变更信息发送对方，对方应于2个工作日内进行回函确认已知名单的变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若基金托管人采取必要措施后仍无法阻止关联交易发生时，基金托管人有权向中国证监会报告，由此造成的损失和责任由基金管理人承担。如果基金托管人在运作中严格遵循了监督流程，基金管理人仍违规进行关联交易，并造成基金资产损失的，由基金管理人承担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w:t>
      </w:r>
      <w:r>
        <w:rPr>
          <w:rFonts w:ascii="宋体" w:hAnsi="宋体"/>
          <w:sz w:val="24"/>
        </w:rPr>
        <w:lastRenderedPageBreak/>
        <w:t>定，确定符合条件的所有存款银行的名单，并及时提供给基金托管人，基金托管人应据以对基金投资银行存款的交易对手是否符合有关规定进行监督。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（6）基金托管人依据有关法律法规的规定和《基金合同》的约定对基金管理人参与银行间债券市场进行监督。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1）基金托管人依据有关法律法规的规定和《基金合同》的约定对于基金管理人参与银行间市场交易时面临的交易对手资信风险进行监督。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市场交易对手的名单。基金托管人在收到名单后2个工作日内回函确认收到该名单。基金管理人应定期或不定期对银行间市场现券及回购交易对手的名单进行更新，名单中增加或减少银行间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协议进行结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如果基金托管人发现基金管理人与不在名单内的银行间市场交易对手进行交易，应及时提醒基金管理人撤销交易，经提醒后基金管理人仍执行交易并造成基金资产损失的，基金托管人不承担责任。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2）基金托管人对于基金管理人参与银行间市场交易的交易方式的控制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在银行间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交易对手重新确定交易方式，经提醒后仍未改正并造成基金资产损失的，基金托管人不承担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（7）基金托管人对基金投资流通受限证券的监督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流动性风险处置预案。上述资料应包括但不限于基金投资流通受限证券的投资额度和投资比例控制情况。</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流动性风险处置预案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w:t>
      </w:r>
      <w:r>
        <w:rPr>
          <w:rFonts w:ascii="宋体" w:hAnsi="宋体"/>
          <w:sz w:val="24"/>
        </w:rPr>
        <w:lastRenderedPageBreak/>
        <w:t>如果基金托管人切实履行监督职责，则不承担任何责任。如果基金托管人没有切实履行监督职责，导致基金出现风险，基金托管人应承担连带责任。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基金托管人对基金投资中期票据的监督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基金份额净值计算、应收资金到账、基金费用开支及收入确定、基金收益分配（如有）、相关信息披露、基金宣传推介材料中登载基金业绩表现数据等进行监督和核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及其他有关规定时，应及时以书面形式通知基金管理人限期纠正，基金管理人收到通知后应在下一个工作日及时核对，并以书面形式向基金托管人发出回函，进行解释或举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基金托管人发现基金管理人的投资指令违反相关法律法规规定或者违反《基金</w:t>
      </w:r>
      <w:r>
        <w:rPr>
          <w:rFonts w:ascii="宋体" w:hAnsi="宋体"/>
          <w:sz w:val="24"/>
        </w:rPr>
        <w:lastRenderedPageBreak/>
        <w:t>合同》约定的，应当拒绝执行，立即通知基金管理人。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复核基金管理人计算的基金资产净值和基金份额净值、根据基金管理人指令办理清算交收、相关信息披露和监督基金投资运作等行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w:t>
      </w:r>
      <w:r>
        <w:rPr>
          <w:rFonts w:ascii="宋体" w:hAnsi="宋体"/>
          <w:sz w:val="24"/>
        </w:rPr>
        <w:lastRenderedPageBreak/>
        <w:t>改正。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（2）基金托管人应安全保管基金财产。未经基金管理人的正当指令，不得自行运用、处分、分配基金的任何财产。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（7）除依据法律法规和《基金合同》的规定外，基金托管人不得委托第三人托管基金资产。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基金募集期间募集的资金应存于专用账户，该账户由基金管理人委托的登记机构开立并管理。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若基金募集期限届满，未能达到《基金合同》生效的条件，由基金管理人按规定办理退款事宜，基金托管人应提供充分协助。</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3、基金的银行账户的开立和管理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基金托管人以基金托管人和本基金联名的方式在中国证券登记结算有限公司上海分公司/深圳分公司开设证券账户。</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基金证券账户的开立和证券账户卡的保管由基金托管人负责，账户资产的管理和运用由基金管理人负责。</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基金的名义申请并取得进入全国银行间同业拆借市场的交易资格，并代表基金进行交易；基金托管人负责以基金的名义在中央国债登记结算有限责任公司开设银行间债券市场债券托管账户，并由基金托管人负责基金的债券的后台匹配及资金的清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（2）基金管理人和基金托管人应一起负责为基金对外签订全国银行间国债市场回购主协议，正本由基金托管人保管，基金管理人保存副本。</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7、基金财产投资的有关实物证券、银行定期存款存单等有价凭证的保管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有关的重大合同的原件分别应由基金托管人、基金管理人保管。基金管理人在代表基金签署与基金有关的重大合同时应保证基金一方持有两份以上的正本或正本的复印件，以便基金管理人和基金托管人至少各持有一份正本的原件或正本的复印件。基金管理人在合同签署后30个工作日内通过专人送达、挂号邮寄等安全方式将合同送达基金托管人处。合同应存放于基金管理人和基金托管人各自文件保管部门15年以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基金份额净值是指计算日基金资产净值除以该计算日基金份额总份额后的数值。基金份额净值的计算保留到小数点后3位，小数点后第4位四舍五入，由此产生的误差计入基金财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工作日对基金资产估值。估值原则应符合《基金合同》、《证券投资基金会计核算办法》及其他法律、法规的规定。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对基金净值予以公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2、基金资产估值方法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基金所拥有的股票、权证、债券和银行存款本息、应收款项、其它投资等资产和负债。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本基金的估值方法为：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②交易所市场上市交易或挂牌转让的固定收益品种（另有规定的除外），选取第三方估值机构提供的相应品种当日的估值净价进行估值；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④交易所上市不存在活跃市场的有价证券，采用估值技术确定公允价值。交易所上市的资产支持证券，采用估值技术确定公允价值，在估值技术难以可靠计量公允价值的情况下，按成本估值。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②首次公开发行未上市的股票、债券和权证，采用估值技术确定公允价值，在估值技术难以可靠计量公允价值的情况下，按成本估值；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③首次公开发行有明确锁定期的股票，同一股票在交易所上市后，按交易所上市的同一股票的估值方法估值；非公开发行有明确锁定期的股票，按监管机构或行业协会有关规定确定公允价值。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3）全国银行间债券市场交易的债券、资产支持证券等固定收益品种，采用估值技术确定公允价值。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因基金估值错误给投资人造成损失的应先由基金管理人承担，基金管理人对不应由其承担的责任，有权向过错人追偿。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证券交易所及其登记结算公司发送的数据错误，有关会计制度变化或由于其他不可抗力原因，基金管理人和基金托管人虽然已经采取必要、适当、合理的措施进行检查，但是未能发现该错误的，由此造成的基金资产估值错误，基金管理人</w:t>
      </w:r>
      <w:r>
        <w:rPr>
          <w:rFonts w:ascii="宋体" w:hAnsi="宋体"/>
          <w:sz w:val="24"/>
        </w:rPr>
        <w:lastRenderedPageBreak/>
        <w:t>和基金托管人可以免除赔偿责任。但基金管理人和基金托管人应当积极采取必要的措施消除由此造成的影响。</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以及因该交易日基金资产净值计算顺延错误而引起的损失由基金管理人承担赔偿责任，基金托管人不负赔偿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基金管理人或基金托管人按估值方法的第5）项进行估值的，所造成的误差不作为基金资产估值错误处理。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基金管理人应及时完成报表编制，将有关报表提供基金托管人复核；基金托管人在复核过程中，发现相关各方的报表存在不符时，基金管理人和基金托管人应共同查明原因，进行调整，调整以相关各方认可的账务处理方式为准。核对无误后，基金托管人在基金管理人提供的报告上加盖业务印鉴或者出具加盖托管业务部门公章的复核意见书，相关各方各自留存一份。如果</w:t>
      </w:r>
      <w:r>
        <w:rPr>
          <w:rFonts w:ascii="宋体" w:hAnsi="宋体"/>
          <w:sz w:val="24"/>
        </w:rPr>
        <w:lastRenderedPageBreak/>
        <w:t>基金管理人与基金托管人不能于应当发布公告之日之前就相关报表达成一致，基金管理人有权按照其编制的报表对外发布公告。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基金管理人和基金托管人须分别妥善保管基金份额持有人名册，基金份额持有人名册的内容必须包括基金份额持有人的名称和持有的基金份额。</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在上海，仲裁裁决是终局性的并对相关各方均有约束力，仲裁费用由败诉方承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本协议双方当事人经协商一致，可以对协议的内容进行变更。变更后的托管协议，其内容不得与《基金合同》的规定有任何冲突。基金托管协议的变更报中国证监会备案。</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24" w:name="_Toc240548892"/>
      <w:r>
        <w:rPr>
          <w:rFonts w:ascii="Times New Roman" w:hAnsi="Times New Roman"/>
          <w:sz w:val="30"/>
        </w:rPr>
        <w:lastRenderedPageBreak/>
        <w:t>二十一、对基金份额持有人的服务</w:t>
      </w:r>
      <w:bookmarkEnd w:id="24"/>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和赎回等业务。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本基金已开通转换业务，具体实施方法请参见相关公告。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25" w:name="_Toc240548893"/>
      <w:r>
        <w:rPr>
          <w:rFonts w:ascii="Times New Roman" w:hAnsi="Times New Roman"/>
          <w:sz w:val="30"/>
        </w:rPr>
        <w:lastRenderedPageBreak/>
        <w:t>二十二、其他应披露事项</w:t>
      </w:r>
      <w:bookmarkEnd w:id="25"/>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交银施罗德策略回报灵活配置混合型证券投资基金基金产品资料概要更新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交银施罗德策略回报灵活配置混合型证券投资基金招募说明书更新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B4AEB">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交银施罗德策略回报灵活配置混合型证券投资基金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B4AEB" w:rsidRDefault="00BB07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26" w:name="_Toc240548894"/>
      <w:r>
        <w:rPr>
          <w:rFonts w:ascii="Times New Roman" w:hAnsi="Times New Roman"/>
          <w:sz w:val="30"/>
        </w:rPr>
        <w:lastRenderedPageBreak/>
        <w:t>二十三、招募说明书的存放及查阅方式</w:t>
      </w:r>
      <w:bookmarkEnd w:id="26"/>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BB07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B4AEB" w:rsidRDefault="00BB077E">
      <w:pPr>
        <w:pStyle w:val="1"/>
        <w:snapToGrid w:val="0"/>
        <w:spacing w:beforeLines="0" w:before="240" w:after="240"/>
        <w:rPr>
          <w:rFonts w:ascii="宋体" w:hAnsi="宋体"/>
          <w:szCs w:val="30"/>
        </w:rPr>
      </w:pPr>
      <w:bookmarkStart w:id="27" w:name="_Toc240548895"/>
      <w:r>
        <w:rPr>
          <w:rFonts w:ascii="Times New Roman" w:hAnsi="Times New Roman"/>
          <w:sz w:val="30"/>
        </w:rPr>
        <w:lastRenderedPageBreak/>
        <w:t>二十四、备查文件</w:t>
      </w:r>
      <w:bookmarkEnd w:id="27"/>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（一）中国证监会批准交银施罗德荣安保本混合型证券投资基金募集的文件</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（二）《交银施罗德策略回报灵活配置混合型证券投资基金基金合同》</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（三）《交银施罗德策略回报灵活配置混合型证券投资基金托管协议》</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（六）关于申请募集交银施罗德荣安保本混合型证券投资基金之法律意见书</w:t>
      </w:r>
    </w:p>
    <w:p w:rsidR="003B4AEB" w:rsidRDefault="00BB07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（七）关于修改交银施罗德荣安保本混合型证券投资基金基金合同的法律意见书</w:t>
      </w:r>
    </w:p>
    <w:sectPr w:rsidR="003B4AEB">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626" w:rsidRDefault="00BB077E">
      <w:r>
        <w:separator/>
      </w:r>
    </w:p>
  </w:endnote>
  <w:endnote w:type="continuationSeparator" w:id="0">
    <w:p w:rsidR="00C46626" w:rsidRDefault="00BB0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AEB" w:rsidRDefault="003B4AE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AEB" w:rsidRDefault="00871E3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3B4AEB" w:rsidRDefault="00BB077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71E3A">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AEB" w:rsidRDefault="003B4AEB">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AEB" w:rsidRDefault="00871E3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3B4AEB" w:rsidRDefault="00BB077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71E3A">
                  <w:rPr>
                    <w:rFonts w:ascii="Times New Roman" w:hAnsi="Times New Roman"/>
                    <w:noProof/>
                    <w:kern w:val="0"/>
                    <w:sz w:val="18"/>
                    <w:szCs w:val="18"/>
                  </w:rPr>
                  <w:t>153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626" w:rsidRDefault="00BB077E">
      <w:r>
        <w:separator/>
      </w:r>
    </w:p>
  </w:footnote>
  <w:footnote w:type="continuationSeparator" w:id="0">
    <w:p w:rsidR="00C46626" w:rsidRDefault="00BB07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AEB" w:rsidRDefault="003B4AE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AEB" w:rsidRDefault="00BB077E">
    <w:pPr>
      <w:pStyle w:val="a3"/>
      <w:jc w:val="right"/>
      <w:rPr>
        <w:rFonts w:ascii="宋体" w:hAnsi="宋体"/>
      </w:rPr>
    </w:pPr>
    <w:r>
      <w:rPr>
        <w:rFonts w:ascii="宋体" w:hAnsi="宋体" w:hint="eastAsia"/>
      </w:rPr>
      <w:t>交银施罗德策略回报灵活配置混合型证券投资基金招募说明书更新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AEB" w:rsidRDefault="003B4AEB">
    <w:pPr>
      <w:pStyle w:val="10"/>
      <w:jc w:val="right"/>
    </w:pPr>
  </w:p>
  <w:p w:rsidR="003B4AEB" w:rsidRDefault="003B4AEB">
    <w:pPr>
      <w:pStyle w:val="10"/>
      <w:jc w:val="right"/>
    </w:pPr>
  </w:p>
  <w:p w:rsidR="003B4AEB" w:rsidRDefault="003B4AEB">
    <w:pPr>
      <w:pStyle w:val="a3"/>
      <w:jc w:val="right"/>
    </w:pPr>
  </w:p>
  <w:p w:rsidR="003B4AEB" w:rsidRDefault="00BB077E">
    <w:pPr>
      <w:pStyle w:val="a3"/>
      <w:jc w:val="right"/>
      <w:rPr>
        <w:rFonts w:ascii="宋体" w:hAnsi="宋体"/>
      </w:rPr>
    </w:pPr>
    <w:r>
      <w:rPr>
        <w:rFonts w:ascii="宋体" w:hAnsi="宋体" w:hint="eastAsia"/>
      </w:rPr>
      <w:t>交银施罗德策略回报灵活配置混合型证券投资基金招募说明书更新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AEB" w:rsidRDefault="003B4AEB">
    <w:pPr>
      <w:pStyle w:val="a3"/>
      <w:jc w:val="right"/>
    </w:pPr>
  </w:p>
  <w:p w:rsidR="003B4AEB" w:rsidRDefault="003B4AEB">
    <w:pPr>
      <w:pStyle w:val="a3"/>
      <w:jc w:val="right"/>
    </w:pPr>
  </w:p>
  <w:p w:rsidR="003B4AEB" w:rsidRDefault="003B4AEB">
    <w:pPr>
      <w:pStyle w:val="a3"/>
      <w:jc w:val="right"/>
    </w:pPr>
  </w:p>
  <w:p w:rsidR="003B4AEB" w:rsidRDefault="00BB077E">
    <w:pPr>
      <w:pStyle w:val="a3"/>
      <w:jc w:val="right"/>
      <w:rPr>
        <w:rFonts w:ascii="宋体" w:hAnsi="宋体"/>
      </w:rPr>
    </w:pPr>
    <w:r>
      <w:rPr>
        <w:rFonts w:ascii="宋体" w:hAnsi="宋体" w:hint="eastAsia"/>
      </w:rPr>
      <w:t>交银施罗德策略回报灵活配置混合型证券投资基金招募说明书更新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4AEB"/>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1E3A"/>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077E"/>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46626"/>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A60972E8-9AE0-4E6B-B927-0C0FA1297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154</Pages>
  <Words>15908</Words>
  <Characters>90677</Characters>
  <Application>Microsoft Office Word</Application>
  <DocSecurity>0</DocSecurity>
  <Lines>755</Lines>
  <Paragraphs>212</Paragraphs>
  <ScaleCrop>false</ScaleCrop>
  <Company>Microsoft</Company>
  <LinksUpToDate>false</LinksUpToDate>
  <CharactersWithSpaces>106373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2026-09-17T06:47:00Z</dcterms:created>
  <dcterms:modified xsi:type="dcterms:W3CDTF">2026-09-17T06:47:00Z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