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交银施罗德周期回报灵活配置混合型证券投资基金（C类份额）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交银周期回报灵活配置混合C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519759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2014-05-22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交银施罗德投资时钟分析框架为基础，结合基金管理人对宏观经济周期和金融市场运行趋势的判断，通过灵活的资产配置策略和积极主动的投资管理，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股票资产按照基金所持有的股票市值以及买入、卖出股指期货合约价值合计（轧差计算)；权证的投资比例不超过基金资产净值的3%；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资产管理人的研究优势，在分析和判断宏观经济周期和金融市场运行趋势的基础上，运用交银施罗德投资时钟分析框架，自上而下调整基金大类资产配置比例和股票行业配置比例，确定债券组合久期和债券类别配置；在严谨深入的股票和债券研究分析基础上，自下而上精选股票和债券。</w:t>
            </w:r>
          </w:p>
          <w:p>
            <w:pPr>
              <w:ind w:firstLine="420"/>
              <w:jc w:val="left"/>
              <w:rPr>
                <w:rFonts w:ascii="仿宋_GB2312" w:eastAsia="仿宋_GB2312"/>
                <w:szCs w:val="21"/>
              </w:rPr>
            </w:pPr>
            <w:r>
              <w:rPr>
                <w:rFonts w:hint="eastAsia" w:ascii="仿宋_GB2312" w:eastAsia="仿宋_GB2312"/>
                <w:szCs w:val="21"/>
              </w:rPr>
              <w:t>1、资产配置；2、行业配置；3、股票选择；4、债券投资；5、权证投资；6、资产支持证券投资；7、股指期货投资。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中债-综合全价（总值）指数收益率×75%+沪深300指数收益率×25%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本基金是一只混合型基金，其长期平均风险和预期收益高于债券型基金和货币市场基金，低于股票型基金。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详见《交银施罗德周期回报灵活配置混合型证券投资基金招募说明书》“基金的投资”。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（1）政策风险、（2）经济周期风险、（3）利率风险、（4）上市公司经营风险、（5）信用风险、（6）购买力风险、（7）债券收益率曲线变动风险、（8）再投资风险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混合型基金，通过在股票、债券和现金等各类资产之间进行配置来降低风险，提高收益。资产配置策略对基金的投资业绩具有较大的影响。对宏观经济周期、经济政策的研究是否准确、深入将影响本基金资产配置策略的实施效果。对宏观经济周期的判断错误可能导致资产配置偏离优化水平，影响本基金的投资业绩。</w:t>
      </w:r>
    </w:p>
    <w:p>
      <w:pPr>
        <w:ind w:firstLine="420"/>
        <w:jc w:val="left"/>
        <w:rPr>
          <w:rFonts w:ascii="仿宋_GB2312" w:eastAsia="仿宋_GB2312"/>
          <w:szCs w:val="21"/>
        </w:rPr>
      </w:pPr>
      <w:r>
        <w:rPr>
          <w:rFonts w:hint="eastAsia" w:ascii="仿宋_GB2312" w:eastAsia="仿宋_GB2312"/>
          <w:szCs w:val="21"/>
        </w:rPr>
        <w:t>（2）本基金采用自上而下资产配置的投资策略，在合同约定的范围内进行大类资产配置比例的调整，在股市大幅上涨时不能完全保证基金净值能够完全跟随或超越大盘走势。当债券市场和股票市场同时出现整体下跌时，本基金只能通过配置现金等安全性高的资产来抵御风险，如果不能及时调整资产配置，本基金的净值表现将受到影响。</w:t>
      </w:r>
    </w:p>
    <w:p>
      <w:pPr>
        <w:ind w:firstLine="420"/>
        <w:jc w:val="left"/>
        <w:rPr>
          <w:rFonts w:ascii="仿宋_GB2312" w:eastAsia="仿宋_GB2312"/>
          <w:szCs w:val="21"/>
        </w:rPr>
      </w:pPr>
      <w:r>
        <w:rPr>
          <w:rFonts w:hint="eastAsia" w:ascii="仿宋_GB2312" w:eastAsia="仿宋_GB2312"/>
          <w:szCs w:val="21"/>
        </w:rPr>
        <w:t>（3）本基金可投资于股指期货，股指期货作为一种金融衍生品，具备一些特有的风险点。投资股指期货所面临的风险主要是市场风险、流动性风险、基差风险、保证金风险、信用风险和操作风险。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●《交银施罗德周期回报灵活配置混合型证券投资基金基金合同》、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《交银施罗德周期回报灵活配置混合型证券投资基金托管协议》、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《交银施罗德周期回报灵活配置混合型证券投资基金招募说明书》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01815"/>
    <w:rsid w:val="00F75715"/>
    <w:rsid w:val="00F811C4"/>
    <w:rsid w:val="00FC2918"/>
    <w:rsid w:val="61EB4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680</Words>
  <Characters>3879</Characters>
  <Lines>32</Lines>
  <Paragraphs>9</Paragraphs>
  <TotalTime>0</TotalTime>
  <ScaleCrop>false</ScaleCrop>
  <LinksUpToDate>false</LinksUpToDate>
  <CharactersWithSpaces>4550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2026-09-17T09:14:09Z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329B54DA7A5D45B3AC13914AA39F45F6</vt:lpwstr>
  </property>
</Properties>
</file>