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317489">
      <w:pPr>
        <w:rPr>
          <w:sz w:val="32"/>
        </w:rPr>
      </w:pPr>
    </w:p>
    <w:p w:rsidR="00C92FC0" w:rsidRPr="00EB07BC" w:rsidRDefault="00317489">
      <w:pPr>
        <w:rPr>
          <w:sz w:val="32"/>
        </w:rPr>
      </w:pPr>
    </w:p>
    <w:p w:rsidR="00C92FC0" w:rsidRPr="00EB07BC" w:rsidRDefault="00317489">
      <w:pPr>
        <w:rPr>
          <w:sz w:val="32"/>
        </w:rPr>
      </w:pPr>
    </w:p>
    <w:p w:rsidR="009F152F" w:rsidRDefault="009F152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F152F" w:rsidRDefault="009F152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F152F" w:rsidRDefault="009F152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F152F" w:rsidRDefault="00C903A3">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交银施罗德品质升级混合型证券投资基金</w:t>
      </w:r>
    </w:p>
    <w:p w:rsidR="009F152F" w:rsidRDefault="00C903A3">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9F152F" w:rsidRDefault="009F152F">
      <w:pPr>
        <w:snapToGrid w:val="0"/>
        <w:spacing w:line="360" w:lineRule="auto"/>
        <w:jc w:val="center"/>
        <w:rPr>
          <w:rFonts w:ascii="宋体" w:hAnsi="宋体"/>
          <w:b/>
          <w:sz w:val="30"/>
          <w:szCs w:val="30"/>
        </w:rPr>
      </w:pPr>
    </w:p>
    <w:p w:rsidR="009F152F" w:rsidRDefault="009F152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F152F" w:rsidRDefault="009F152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F152F" w:rsidRDefault="009F152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F152F" w:rsidRDefault="009F152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F152F" w:rsidRDefault="009F152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F152F" w:rsidRDefault="009F152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F152F" w:rsidRDefault="00C903A3">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9F152F" w:rsidRDefault="00C903A3">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9F152F" w:rsidRDefault="009F152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F152F" w:rsidRDefault="009F152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F152F" w:rsidRDefault="00C903A3">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9F152F" w:rsidRDefault="009F152F">
      <w:pPr>
        <w:autoSpaceDE w:val="0"/>
        <w:autoSpaceDN w:val="0"/>
        <w:adjustRightInd w:val="0"/>
        <w:snapToGrid w:val="0"/>
        <w:spacing w:line="360" w:lineRule="auto"/>
        <w:ind w:left="1347" w:rightChars="6" w:right="13"/>
        <w:rPr>
          <w:rFonts w:ascii="宋体" w:hAnsi="宋体"/>
          <w:kern w:val="0"/>
          <w:sz w:val="32"/>
          <w:szCs w:val="32"/>
        </w:rPr>
        <w:sectPr w:rsidR="009F152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9F152F" w:rsidRDefault="00C903A3">
      <w:pPr>
        <w:pStyle w:val="1"/>
        <w:snapToGrid w:val="0"/>
        <w:spacing w:beforeLines="0" w:before="240" w:after="240"/>
        <w:rPr>
          <w:rFonts w:ascii="宋体" w:hAnsi="宋体"/>
          <w:kern w:val="0"/>
        </w:rPr>
      </w:pPr>
      <w:bookmarkStart w:id="0" w:name="_Toc324920538"/>
      <w:bookmarkStart w:id="1" w:name="_Toc496884613"/>
      <w:bookmarkStart w:id="2" w:name="_Toc240548854"/>
      <w:r>
        <w:rPr>
          <w:rFonts w:ascii="Times New Roman" w:hAnsi="Times New Roman"/>
          <w:kern w:val="0"/>
        </w:rPr>
        <w:lastRenderedPageBreak/>
        <w:t>重要提示</w:t>
      </w:r>
      <w:bookmarkEnd w:id="0"/>
      <w:bookmarkEnd w:id="1"/>
      <w:bookmarkEnd w:id="2"/>
    </w:p>
    <w:p w:rsidR="009F152F" w:rsidRDefault="00C903A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交银施罗德品质升级混合型证券投资基金（以下简称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2017</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2017</w:t>
      </w:r>
      <w:r>
        <w:rPr>
          <w:rFonts w:ascii="Times New Roman" w:hAnsi="Times New Roman"/>
          <w:kern w:val="0"/>
          <w:sz w:val="24"/>
        </w:rPr>
        <w:t>】</w:t>
      </w:r>
      <w:r>
        <w:rPr>
          <w:rFonts w:ascii="Times New Roman" w:hAnsi="Times New Roman"/>
          <w:kern w:val="0"/>
          <w:sz w:val="24"/>
        </w:rPr>
        <w:t>1196</w:t>
      </w:r>
      <w:r>
        <w:rPr>
          <w:rFonts w:ascii="Times New Roman" w:hAnsi="Times New Roman"/>
          <w:kern w:val="0"/>
          <w:sz w:val="24"/>
        </w:rPr>
        <w:t>号文准予募集注册。本基金基金合同于</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8</w:t>
      </w:r>
      <w:r>
        <w:rPr>
          <w:rFonts w:ascii="Times New Roman" w:hAnsi="Times New Roman"/>
          <w:kern w:val="0"/>
          <w:sz w:val="24"/>
        </w:rPr>
        <w:t>日正式生效。</w:t>
      </w:r>
    </w:p>
    <w:p w:rsidR="009F152F" w:rsidRDefault="00C903A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9F152F" w:rsidRDefault="00C903A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9F152F" w:rsidRDefault="00C903A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交易对手违约产生的信用风险；本基金投资策略所特有的风险；投资股指期货的特定风险；投资资产支持证券的特定风险；投资流通受限证券的特定风险；投资科创板股票的特定风险；投资本基金的其他风险等等。本基金是一只混合型基金，其风险和预期收益高于债券型基金和货币市场基金，低于股票型基金，属于承担较高风险、预期收益较高的证券投资基金品种。</w:t>
      </w:r>
    </w:p>
    <w:p w:rsidR="009F152F" w:rsidRDefault="00C903A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9F152F" w:rsidRDefault="00C903A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9F152F" w:rsidRDefault="00C903A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9F152F" w:rsidRDefault="00C903A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9F152F" w:rsidRDefault="00C903A3">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9F152F" w:rsidRDefault="009F152F">
      <w:pPr>
        <w:autoSpaceDE w:val="0"/>
        <w:autoSpaceDN w:val="0"/>
        <w:adjustRightInd w:val="0"/>
        <w:snapToGrid w:val="0"/>
        <w:spacing w:before="51" w:line="360" w:lineRule="auto"/>
        <w:ind w:left="120" w:rightChars="6" w:right="13" w:firstLine="480"/>
        <w:rPr>
          <w:rFonts w:ascii="宋体" w:hAnsi="宋体"/>
          <w:kern w:val="0"/>
          <w:szCs w:val="24"/>
        </w:rPr>
        <w:sectPr w:rsidR="009F152F">
          <w:headerReference w:type="default" r:id="rId14"/>
          <w:pgSz w:w="11920" w:h="16840"/>
          <w:pgMar w:top="1440" w:right="1680" w:bottom="280" w:left="1680" w:header="0" w:footer="1073" w:gutter="0"/>
          <w:pgNumType w:start="1"/>
          <w:cols w:space="720"/>
        </w:sectPr>
      </w:pPr>
    </w:p>
    <w:p w:rsidR="00317489" w:rsidRPr="00317489" w:rsidRDefault="00C903A3" w:rsidP="00317489">
      <w:pPr>
        <w:pStyle w:val="ad"/>
        <w:snapToGrid w:val="0"/>
        <w:spacing w:after="240" w:line="360" w:lineRule="auto"/>
        <w:jc w:val="center"/>
        <w:rPr>
          <w:rFonts w:ascii="宋体" w:hAnsi="宋体"/>
          <w:noProof/>
          <w:sz w:val="24"/>
        </w:rPr>
      </w:pPr>
      <w:r w:rsidRPr="00317489">
        <w:rPr>
          <w:rFonts w:ascii="宋体" w:hAnsi="宋体"/>
          <w:color w:val="000000"/>
          <w:position w:val="-4"/>
          <w:sz w:val="24"/>
          <w:szCs w:val="30"/>
        </w:rPr>
        <w:lastRenderedPageBreak/>
        <w:t>目</w:t>
      </w:r>
      <w:r w:rsidRPr="00317489">
        <w:rPr>
          <w:rFonts w:ascii="宋体" w:hAnsi="宋体"/>
          <w:color w:val="000000"/>
          <w:position w:val="-4"/>
          <w:sz w:val="24"/>
          <w:szCs w:val="30"/>
        </w:rPr>
        <w:tab/>
        <w:t>录</w:t>
      </w:r>
      <w:r w:rsidR="00317489" w:rsidRPr="00317489">
        <w:rPr>
          <w:rFonts w:ascii="宋体" w:hAnsi="宋体"/>
          <w:color w:val="000000"/>
          <w:position w:val="-4"/>
          <w:sz w:val="24"/>
          <w:szCs w:val="30"/>
        </w:rPr>
        <w:fldChar w:fldCharType="begin"/>
      </w:r>
      <w:r w:rsidR="00317489" w:rsidRPr="00317489">
        <w:rPr>
          <w:rFonts w:ascii="宋体" w:hAnsi="宋体"/>
          <w:color w:val="000000"/>
          <w:position w:val="-4"/>
          <w:sz w:val="24"/>
          <w:szCs w:val="30"/>
        </w:rPr>
        <w:instrText xml:space="preserve"> TOC \o "1-3" \f - \h \t "-1" </w:instrText>
      </w:r>
      <w:r w:rsidR="00317489" w:rsidRPr="00317489">
        <w:rPr>
          <w:rFonts w:ascii="宋体" w:hAnsi="宋体"/>
          <w:color w:val="000000"/>
          <w:position w:val="-4"/>
          <w:sz w:val="24"/>
          <w:szCs w:val="30"/>
        </w:rPr>
        <w:fldChar w:fldCharType="separate"/>
      </w:r>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54" w:history="1">
        <w:r w:rsidRPr="00317489">
          <w:rPr>
            <w:rStyle w:val="aa"/>
            <w:rFonts w:ascii="宋体" w:hAnsi="宋体" w:hint="eastAsia"/>
            <w:noProof/>
            <w:kern w:val="0"/>
            <w:sz w:val="24"/>
          </w:rPr>
          <w:t>重要提示</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_Toc240548854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55" w:history="1">
        <w:r w:rsidRPr="00317489">
          <w:rPr>
            <w:rStyle w:val="aa"/>
            <w:rFonts w:ascii="宋体" w:hAnsi="宋体" w:hint="eastAsia"/>
            <w:noProof/>
            <w:sz w:val="24"/>
          </w:rPr>
          <w:t>一、绪言</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_Toc240548855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4</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56" w:history="1">
        <w:r w:rsidRPr="00317489">
          <w:rPr>
            <w:rStyle w:val="aa"/>
            <w:rFonts w:ascii="宋体" w:hAnsi="宋体" w:hint="eastAsia"/>
            <w:noProof/>
            <w:sz w:val="24"/>
          </w:rPr>
          <w:t>二、释义</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_Toc240548856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5</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57" w:history="1">
        <w:r w:rsidRPr="00317489">
          <w:rPr>
            <w:rStyle w:val="aa"/>
            <w:rFonts w:ascii="宋体" w:hAnsi="宋体" w:hint="eastAsia"/>
            <w:noProof/>
            <w:sz w:val="24"/>
          </w:rPr>
          <w:t>三、基金管理人</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_Toc240548857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10</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58" w:history="1">
        <w:r w:rsidRPr="00317489">
          <w:rPr>
            <w:rStyle w:val="aa"/>
            <w:rFonts w:ascii="宋体" w:hAnsi="宋体" w:hint="eastAsia"/>
            <w:noProof/>
            <w:sz w:val="24"/>
          </w:rPr>
          <w:t>四、基金托管人</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_Toc240548858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17</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59" w:history="1">
        <w:r w:rsidRPr="00317489">
          <w:rPr>
            <w:rStyle w:val="aa"/>
            <w:rFonts w:ascii="宋体" w:hAnsi="宋体" w:hint="eastAsia"/>
            <w:noProof/>
            <w:sz w:val="24"/>
          </w:rPr>
          <w:t>五、相关服务机构</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_Toc240548859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20</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0" w:history="1">
        <w:r w:rsidRPr="00317489">
          <w:rPr>
            <w:rStyle w:val="aa"/>
            <w:rFonts w:ascii="宋体" w:hAnsi="宋体" w:hint="eastAsia"/>
            <w:noProof/>
            <w:sz w:val="24"/>
          </w:rPr>
          <w:t>六、基金的募集</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_Toc240548860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48</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1" w:history="1">
        <w:r w:rsidRPr="00317489">
          <w:rPr>
            <w:rStyle w:val="aa"/>
            <w:rFonts w:ascii="宋体" w:hAnsi="宋体" w:hint="eastAsia"/>
            <w:noProof/>
            <w:sz w:val="24"/>
          </w:rPr>
          <w:t>七、基金合同的生效</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_Toc240548861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49</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2" w:history="1">
        <w:r w:rsidRPr="00317489">
          <w:rPr>
            <w:rStyle w:val="aa"/>
            <w:rFonts w:ascii="宋体" w:hAnsi="宋体" w:hint="eastAsia"/>
            <w:noProof/>
            <w:sz w:val="24"/>
          </w:rPr>
          <w:t>八、基金份额的申购与赎回</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_Toc240548862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50</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3" w:history="1">
        <w:r w:rsidRPr="00317489">
          <w:rPr>
            <w:rStyle w:val="aa"/>
            <w:rFonts w:ascii="宋体" w:hAnsi="宋体" w:hint="eastAsia"/>
            <w:noProof/>
            <w:sz w:val="24"/>
          </w:rPr>
          <w:t>九、基金的转换</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_Toc240548863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63</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4" w:history="1">
        <w:r w:rsidRPr="00317489">
          <w:rPr>
            <w:rStyle w:val="aa"/>
            <w:rFonts w:ascii="宋体" w:hAnsi="宋体" w:hint="eastAsia"/>
            <w:noProof/>
            <w:sz w:val="24"/>
          </w:rPr>
          <w:t>十、基金的投资</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_Toc240548864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70</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5" w:history="1">
        <w:r w:rsidRPr="00317489">
          <w:rPr>
            <w:rStyle w:val="aa"/>
            <w:rFonts w:ascii="宋体" w:hAnsi="宋体" w:hint="eastAsia"/>
            <w:noProof/>
            <w:sz w:val="24"/>
          </w:rPr>
          <w:t>十一、基金的业绩</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_Toc240548865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84</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6" w:history="1">
        <w:r w:rsidRPr="00317489">
          <w:rPr>
            <w:rStyle w:val="aa"/>
            <w:rFonts w:ascii="宋体" w:hAnsi="宋体" w:hint="eastAsia"/>
            <w:noProof/>
            <w:sz w:val="24"/>
          </w:rPr>
          <w:t>十二、基金的财产</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_Toc240548866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87</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7" w:history="1">
        <w:r w:rsidRPr="00317489">
          <w:rPr>
            <w:rStyle w:val="aa"/>
            <w:rFonts w:ascii="宋体" w:hAnsi="宋体" w:hint="eastAsia"/>
            <w:noProof/>
            <w:sz w:val="24"/>
          </w:rPr>
          <w:t>十三、基金资产的估值</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_Toc240548867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88</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8" w:history="1">
        <w:r w:rsidRPr="00317489">
          <w:rPr>
            <w:rStyle w:val="aa"/>
            <w:rFonts w:ascii="宋体" w:hAnsi="宋体" w:hint="eastAsia"/>
            <w:noProof/>
            <w:sz w:val="24"/>
          </w:rPr>
          <w:t>十四、基金收益与分配</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_Toc240548868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93</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69" w:history="1">
        <w:r w:rsidRPr="00317489">
          <w:rPr>
            <w:rStyle w:val="aa"/>
            <w:rFonts w:ascii="宋体" w:hAnsi="宋体" w:hint="eastAsia"/>
            <w:noProof/>
            <w:sz w:val="24"/>
          </w:rPr>
          <w:t>十五、基金的费用与税收</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_Toc240548869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95</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0" w:history="1">
        <w:r w:rsidRPr="00317489">
          <w:rPr>
            <w:rStyle w:val="aa"/>
            <w:rFonts w:ascii="宋体" w:hAnsi="宋体" w:hint="eastAsia"/>
            <w:noProof/>
            <w:sz w:val="24"/>
          </w:rPr>
          <w:t>十六、基金的会计与审计</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_Toc240548870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98</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1" w:history="1">
        <w:r w:rsidRPr="00317489">
          <w:rPr>
            <w:rStyle w:val="aa"/>
            <w:rFonts w:ascii="宋体" w:hAnsi="宋体" w:hint="eastAsia"/>
            <w:noProof/>
            <w:sz w:val="24"/>
          </w:rPr>
          <w:t>十七、基金的信息披露</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_Toc240548871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99</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2" w:history="1">
        <w:r w:rsidRPr="00317489">
          <w:rPr>
            <w:rStyle w:val="aa"/>
            <w:rFonts w:ascii="宋体" w:hAnsi="宋体" w:hint="eastAsia"/>
            <w:noProof/>
            <w:sz w:val="24"/>
          </w:rPr>
          <w:t>十八、侧袋机制</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_Toc240548872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106</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3" w:history="1">
        <w:r w:rsidRPr="00317489">
          <w:rPr>
            <w:rStyle w:val="aa"/>
            <w:rFonts w:ascii="宋体" w:hAnsi="宋体" w:hint="eastAsia"/>
            <w:noProof/>
            <w:sz w:val="24"/>
          </w:rPr>
          <w:t>十九、风险揭示</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_Toc240548873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109</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4" w:history="1">
        <w:r w:rsidRPr="00317489">
          <w:rPr>
            <w:rStyle w:val="aa"/>
            <w:rFonts w:ascii="宋体" w:hAnsi="宋体" w:hint="eastAsia"/>
            <w:noProof/>
            <w:sz w:val="24"/>
          </w:rPr>
          <w:t>二十、基金合同的变更、终止与基金财产的清算</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_Toc240548874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117</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5" w:history="1">
        <w:r w:rsidRPr="00317489">
          <w:rPr>
            <w:rStyle w:val="aa"/>
            <w:rFonts w:ascii="宋体" w:hAnsi="宋体" w:hint="eastAsia"/>
            <w:noProof/>
            <w:sz w:val="24"/>
          </w:rPr>
          <w:t>二十一、基金合同内容摘要</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_Toc240548875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119</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6" w:history="1">
        <w:r w:rsidRPr="00317489">
          <w:rPr>
            <w:rStyle w:val="aa"/>
            <w:rFonts w:ascii="宋体" w:hAnsi="宋体" w:hint="eastAsia"/>
            <w:noProof/>
            <w:sz w:val="24"/>
          </w:rPr>
          <w:t>二十二、托管协议的内容摘要</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_Toc240548876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136</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7" w:history="1">
        <w:r w:rsidRPr="00317489">
          <w:rPr>
            <w:rStyle w:val="aa"/>
            <w:rFonts w:ascii="宋体" w:hAnsi="宋体" w:hint="eastAsia"/>
            <w:noProof/>
            <w:sz w:val="24"/>
          </w:rPr>
          <w:t>二十三、对基金份额持有人的服务</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_Toc240548877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149</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8" w:history="1">
        <w:r w:rsidRPr="00317489">
          <w:rPr>
            <w:rStyle w:val="aa"/>
            <w:rFonts w:ascii="宋体" w:hAnsi="宋体" w:hint="eastAsia"/>
            <w:noProof/>
            <w:sz w:val="24"/>
          </w:rPr>
          <w:t>二十四、其他应披露事项</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_Toc240548878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151</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79" w:history="1">
        <w:r w:rsidRPr="00317489">
          <w:rPr>
            <w:rStyle w:val="aa"/>
            <w:rFonts w:ascii="宋体" w:hAnsi="宋体" w:hint="eastAsia"/>
            <w:noProof/>
            <w:sz w:val="24"/>
          </w:rPr>
          <w:t>二十五、招募说明书的存放及查阅方式</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_Toc240548879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153</w:t>
        </w:r>
        <w:r w:rsidRPr="00317489">
          <w:rPr>
            <w:rFonts w:ascii="宋体" w:hAnsi="宋体"/>
            <w:noProof/>
            <w:sz w:val="24"/>
          </w:rPr>
          <w:fldChar w:fldCharType="end"/>
        </w:r>
      </w:hyperlink>
    </w:p>
    <w:p w:rsidR="00317489" w:rsidRPr="00317489" w:rsidRDefault="00317489" w:rsidP="00317489">
      <w:pPr>
        <w:pStyle w:val="10"/>
        <w:tabs>
          <w:tab w:val="right" w:leader="dot" w:pos="8550"/>
        </w:tabs>
        <w:spacing w:line="360" w:lineRule="auto"/>
        <w:rPr>
          <w:rFonts w:ascii="宋体" w:hAnsi="宋体" w:cstheme="minorBidi"/>
          <w:noProof/>
          <w:sz w:val="24"/>
        </w:rPr>
      </w:pPr>
      <w:hyperlink w:anchor="_Toc240548880" w:history="1">
        <w:r w:rsidRPr="00317489">
          <w:rPr>
            <w:rStyle w:val="aa"/>
            <w:rFonts w:ascii="宋体" w:hAnsi="宋体" w:hint="eastAsia"/>
            <w:noProof/>
            <w:sz w:val="24"/>
          </w:rPr>
          <w:t>二十六、备查文件</w:t>
        </w:r>
        <w:r w:rsidRPr="00317489">
          <w:rPr>
            <w:rFonts w:ascii="宋体" w:hAnsi="宋体"/>
            <w:noProof/>
            <w:sz w:val="24"/>
          </w:rPr>
          <w:tab/>
        </w:r>
        <w:r w:rsidRPr="00317489">
          <w:rPr>
            <w:rFonts w:ascii="宋体" w:hAnsi="宋体"/>
            <w:noProof/>
            <w:sz w:val="24"/>
          </w:rPr>
          <w:fldChar w:fldCharType="begin"/>
        </w:r>
        <w:r w:rsidRPr="00317489">
          <w:rPr>
            <w:rFonts w:ascii="宋体" w:hAnsi="宋体"/>
            <w:noProof/>
            <w:sz w:val="24"/>
          </w:rPr>
          <w:instrText xml:space="preserve"> PAGEREF _Toc240548880 \h </w:instrText>
        </w:r>
        <w:r w:rsidRPr="00317489">
          <w:rPr>
            <w:rFonts w:ascii="宋体" w:hAnsi="宋体"/>
            <w:noProof/>
            <w:sz w:val="24"/>
          </w:rPr>
        </w:r>
        <w:r w:rsidRPr="00317489">
          <w:rPr>
            <w:rFonts w:ascii="宋体" w:hAnsi="宋体"/>
            <w:noProof/>
            <w:sz w:val="24"/>
          </w:rPr>
          <w:fldChar w:fldCharType="separate"/>
        </w:r>
        <w:r w:rsidRPr="00317489">
          <w:rPr>
            <w:rFonts w:ascii="宋体" w:hAnsi="宋体"/>
            <w:noProof/>
            <w:sz w:val="24"/>
          </w:rPr>
          <w:t>154</w:t>
        </w:r>
        <w:r w:rsidRPr="00317489">
          <w:rPr>
            <w:rFonts w:ascii="宋体" w:hAnsi="宋体"/>
            <w:noProof/>
            <w:sz w:val="24"/>
          </w:rPr>
          <w:fldChar w:fldCharType="end"/>
        </w:r>
      </w:hyperlink>
    </w:p>
    <w:p w:rsidR="009F152F" w:rsidRPr="00317489" w:rsidRDefault="00317489" w:rsidP="00317489">
      <w:pPr>
        <w:pStyle w:val="ad"/>
        <w:snapToGrid w:val="0"/>
        <w:spacing w:after="240" w:line="360" w:lineRule="auto"/>
        <w:jc w:val="center"/>
        <w:rPr>
          <w:rFonts w:ascii="宋体" w:hAnsi="宋体"/>
          <w:color w:val="000000"/>
          <w:sz w:val="24"/>
        </w:rPr>
      </w:pPr>
      <w:r w:rsidRPr="00317489">
        <w:rPr>
          <w:rFonts w:ascii="宋体" w:hAnsi="宋体"/>
          <w:color w:val="000000"/>
          <w:position w:val="-4"/>
          <w:sz w:val="24"/>
          <w:szCs w:val="30"/>
        </w:rPr>
        <w:fldChar w:fldCharType="end"/>
      </w:r>
      <w:bookmarkStart w:id="3" w:name="_GoBack"/>
      <w:bookmarkEnd w:id="3"/>
    </w:p>
    <w:p w:rsidR="009F152F" w:rsidRDefault="009F152F">
      <w:pPr>
        <w:autoSpaceDE w:val="0"/>
        <w:autoSpaceDN w:val="0"/>
        <w:adjustRightInd w:val="0"/>
        <w:snapToGrid w:val="0"/>
        <w:spacing w:line="360" w:lineRule="auto"/>
        <w:ind w:left="120" w:rightChars="6" w:right="13"/>
        <w:rPr>
          <w:rFonts w:ascii="宋体" w:hAnsi="宋体"/>
          <w:kern w:val="0"/>
          <w:szCs w:val="24"/>
        </w:rPr>
        <w:sectPr w:rsidR="009F152F">
          <w:pgSz w:w="11920" w:h="16840"/>
          <w:pgMar w:top="1480" w:right="1680" w:bottom="280" w:left="1680" w:header="0" w:footer="1073" w:gutter="0"/>
          <w:cols w:space="720"/>
        </w:sectPr>
      </w:pPr>
    </w:p>
    <w:p w:rsidR="009F152F" w:rsidRDefault="00C903A3">
      <w:pPr>
        <w:pStyle w:val="1"/>
        <w:snapToGrid w:val="0"/>
        <w:spacing w:beforeLines="0" w:before="240" w:after="240"/>
        <w:rPr>
          <w:rFonts w:ascii="宋体" w:hAnsi="宋体"/>
          <w:szCs w:val="30"/>
        </w:rPr>
      </w:pPr>
      <w:bookmarkStart w:id="4" w:name="_Toc240548855"/>
      <w:r>
        <w:rPr>
          <w:rFonts w:ascii="Times New Roman" w:hAnsi="Times New Roman"/>
          <w:sz w:val="30"/>
        </w:rPr>
        <w:lastRenderedPageBreak/>
        <w:t>一、绪言</w:t>
      </w:r>
      <w:bookmarkEnd w:id="4"/>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品质升级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品质升级混合型证券投资基金基金合同》（以下简称“基金合同”）编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5" w:name="_Toc240548856"/>
      <w:r>
        <w:rPr>
          <w:rFonts w:ascii="Times New Roman" w:hAnsi="Times New Roman"/>
          <w:sz w:val="30"/>
        </w:rPr>
        <w:lastRenderedPageBreak/>
        <w:t>二、释义</w:t>
      </w:r>
      <w:bookmarkEnd w:id="5"/>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1、基金或本基金：指交银施罗德品质升级混合型证券投资基金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4、《基金合同》或基金合同：指《交银施罗德品质升级混合型证券投资基金基金合同》及对基金合同的任何有效修订和补充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5、托管协议：指基金管理人与基金托管人就本基金签订之《交银施罗德品质升级混合型证券投资基金托管协议》及对该托管协议的任何有效修订和补充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6、招募说明书或《招募说明书》或本招募说明书：指《交银施罗德品质升级混合型证券投资基金招募说明书》及其更新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7、基金份额发售公告：指《交银施罗德品质升级混合型证券投资基金基金份额发售公告》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8、基金产品资料概要：指《交银施罗德品质升级混合型证券投资基金基金产品资料概要》及其更新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17、基金合同当事人：指受基金合同约束，根据基金合同享有权利并承担义务的法律主体，包括基金管理人、基金托管人和基金份额持有人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29、基金交易账户：指销售机构为投资人开立的、记录投资人通过该销售机构办理认购、申购、赎回、转换、定期定额投资及转托管等业务而引起的基金份额变</w:t>
      </w:r>
      <w:r>
        <w:rPr>
          <w:rFonts w:ascii="宋体" w:hAnsi="宋体"/>
          <w:sz w:val="24"/>
        </w:rPr>
        <w:lastRenderedPageBreak/>
        <w:t>动及结余情况的账户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54、A类基金份额：指在投资人申购时收取申购费用且不从本类别基金资产中计提销售服务费的基金份额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55、C类基金份额：指在投资人申购时不收取申购费用，并从本类别基金资产中计提销售服务费的基金份额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摆动定价机制：指当开放式基金遭遇大额申购赎回时，通过调整基金份额净值的方式，将基金调整投资组合的市场冲击成本分配给实际申购、赎回的投资者。具体处理原则与操作规范遵循相关法律法规以及监管部门、自律规则的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w:t>
      </w:r>
      <w:r>
        <w:rPr>
          <w:rFonts w:ascii="宋体" w:hAnsi="宋体"/>
          <w:sz w:val="24"/>
        </w:rPr>
        <w:lastRenderedPageBreak/>
        <w:t>联网网站（包括基金管理人网站、基金托管人网站、中国证监会基金电子披露网站）等媒介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6" w:name="_Toc240548857"/>
      <w:r>
        <w:rPr>
          <w:rFonts w:ascii="Times New Roman" w:hAnsi="Times New Roman"/>
          <w:sz w:val="30"/>
        </w:rPr>
        <w:lastRenderedPageBreak/>
        <w:t>三、基金管理人</w:t>
      </w:r>
      <w:bookmarkEnd w:id="6"/>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韩威俊先生:基金经理。上海财经大学金融学硕士，21年证券投资行业从业经验。2005年至2008年担任申银万国证券研究所助理分析师，2008年至2009年担任北京鼎天资产管理有限公司董事助理，2009年至2010年担任申银万国证券研究所行业分析师，2010年至2013年担任信诚基金管理有限公司投资分析师。2013年加入交银施罗德基金管理有限公司，曾任行业分析师，现任权益部基金经理。曾任交银施罗德趋势优先混合型证券投资基金(2017年06月03日至2020年05月26日)的基金经理。现任交银施罗德策略回报灵活配置混合型证券投资基金(2016年01月20日至今)、交银施罗德股息优化混合型证券投资基金(2017年08月25日至今)、交银施罗德品质升级混合型证券投资基金(2018年02月08日至今)、交银施罗德消费新驱动股票型证券投资基金(2018年08月24日至今)、交银施罗德内需增长一年持有期混合型证券投资基金(2020年12月11日至今)、交银施罗德品质增长一年持有期混合型证券投资基金(2021年07月23日至今)、交银施罗德港股消费混合型证券投资基金（QDII）(2026年09月02日至今)的基金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3、对所管理的不同基金财产分别管理、分别记账，进行证券投资；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1、依照有关法律法规和基金合同的规定，本着谨慎的原则为基金份额持有人谋取最大利益；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（2）合规风险及审计委员会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3、风险管理和内部风险控制的措施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7" w:name="_Toc240548858"/>
      <w:r>
        <w:rPr>
          <w:rFonts w:ascii="Times New Roman" w:hAnsi="Times New Roman"/>
          <w:sz w:val="30"/>
        </w:rPr>
        <w:lastRenderedPageBreak/>
        <w:t>四、基金托管人</w:t>
      </w:r>
      <w:bookmarkEnd w:id="7"/>
    </w:p>
    <w:p w:rsidR="009F152F" w:rsidRDefault="00C903A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8" w:name="_Toc240548859"/>
      <w:r>
        <w:rPr>
          <w:rFonts w:ascii="Times New Roman" w:hAnsi="Times New Roman"/>
          <w:sz w:val="30"/>
        </w:rPr>
        <w:lastRenderedPageBreak/>
        <w:t>五、相关服务机构</w:t>
      </w:r>
      <w:bookmarkEnd w:id="8"/>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（4）名称：中国农业银行股份有限公司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（6）名称：平安银行股份有限公司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（7）名称：中国银河证券股份有限公司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（8）名称：万联证券股份有限公司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（9）名称：天风证券股份有限公司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注册地址：湖北省武汉市东湖新技术开发区关东园路2号高科大厦4楼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（10）名称：中国中金财富证券有限公司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（11）名称：中邮证券有限责任公司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（12）名称：开源证券股份有限公司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电话：13709210036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（13）名称：山西证券股份有限公司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（14）名称：西部证券股份有限公司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（15）名称：东方证券股份有限公司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（16）名称：方正证券股份有限公司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办公地址：湖南长沙芙蓉中路二段华侨国际大厦22-24层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（17）名称：国投证券股份有限公司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（18）名称：国元证券股份有限公司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（19）名称：中信建投证券股份有限公司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（20）名称：浙商证券股份有限公司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（21）名称：东方财富证券股份有限公司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（22）名称：国信证券股份有限公司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（23）名称：兴业证券股份有限公司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住所：福州市湖东路268号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（24）名称：广发证券股份有限公司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（25）名称：华龙证券股份有限公司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（26）名称：华宝证券股份有限公司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传真：（021）68777822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（27）名称：招商证券股份有限公司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（28）名称：第一创业证券股份有限公司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（29）名称：华西证券股份有限公司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网址：www.hx168.com.cn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（30）名称：国金证券股份有限公司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（31）名称：江海证券有限公司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（32）名称：南京证券股份有限公司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（33）名称：华安证券股份有限公司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住所：安徽省合肥市政务文化新区天鹅湖路198号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办公地址：安徽省合肥市政务文化新区天鹅湖路198号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法定代表人：章宏韬</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电话：0551-65161963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传真：0551-65161825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联系人：范超、孙懿</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网址：www.hazq.com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（34）名称：申万宏源证券有限公司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（35）名称：申万宏源西部证券有限公司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（36）名称：华泰证券股份有限公司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客户服务电话：95597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（37）名称：中信证券（山东）有限责任公司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（38）名称：中信证券股份有限公司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（39）名称：中信证券华南股份有限公司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（40）名称：国泰海通证券股份有限公司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法定代表人：朱健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（41）名称：上海中欧财富基金销售有限公司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（42）名称：济安财富（北京）基金销售有限公司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（43）名称：博时财富基金销售有限公司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联系人：崔丹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（44）名称：中信百信银行股份有限公司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住所：北京市朝阳区安定路5号院3号楼8层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办公地址：北京市朝阳区安定路5号院3号楼8-11层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法定代表人：寇冠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电话：010-86496277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传真：010-86496277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联系人：韩晓彤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客户服务电话：956186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网址：www.aibank.com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（45）名称：大连网金基金销售有限公司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（46）名称：阳光人寿保险股份有限公司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（47）名称：玄元保险代理有限公司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（48）名称：上海大智慧基金销售有限公司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（49）名称：和耕传承基金销售有限公司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（50）名称：腾安基金销售（深圳）有限公司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办公地址：深圳市南山区海天二路33号腾讯滨海大厦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（51）名称：珠海盈米基金销售有限公司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（52）名称：上海华夏财富投资管理有限公司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（53）名称：北京度小满基金销售有限公司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联系人传真：010-59403027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（54）名称：南京苏宁基金销售有限公司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（55）名称：嘉实财富管理有限公司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（56）名称：北京汇成基金销售有限公司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（57）名称：上海利得基金销售有限公司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（58）名称：北京虹点基金销售有限公司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（59）名称：上海挖财基金销售有限公司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（60）名称：万家财富基金销售（天津）有限公司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办公地址：北京市西城区丰盛胡同28号太平洋保险大厦A座5层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（61）名称：上海万得基金销售有限公司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（62）名称：格上富信投资顾问有限公司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（63）名称：深圳市金斧子基金销售有限公司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传真：（0755）66892399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（64）名称：北京雪球基金销售有限公司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（65）名称：北京新浪仓石基金销售有限公司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（66）名称：上海证达通基金销售有限公司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客户服务电话：021-20538880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（67）名称：北京创金启富基金销售有限公司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（68）名称：奕丰基金销售有限公司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（69）名称：上海天天基金销售有限公司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（70）名称：和讯信息科技有限公司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（71）名称：诺亚正行基金销售有限公司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（72）名称：上海好买基金销售有限公司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（73）名称：上海长量基金销售有限公司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电话：（021）20691832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（74）名称：深圳众禄基金销售股份有限公司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（75）名称：上海基煜基金销售有限公司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（76）名称：浙江同花顺基金销售有限公司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联系人：吴强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（77）名称：宜信普泽（北京）基金销售有限公司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（78）名称：上海联泰基金销售有限公司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（79）名称：北京广源达信基金销售有限公司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（80）名称：深圳市新兰德证券投资咨询有限公司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（81）名称：北京展恒基金销售股份有限公司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（82）名称：泛华普益基金销售有限公司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（83）名称：深圳前海微众银行股份有限公司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办公地址：广东省深圳市南山区沙河西路1819号深圳湾科技生态园7栋A座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（84）名称：中国人寿保险股份有限公司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（85）名称：中信期货有限公司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（86）名称：蚂蚁（杭州）基金销售有限公司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联系人：韩爱彬</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（87）名称：京东肯特瑞基金销售有限公司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（88）名称：上海陆金所基金销售有限公司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传真：（010）50938907</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9" w:name="_Toc240548860"/>
      <w:r>
        <w:rPr>
          <w:rFonts w:ascii="Times New Roman" w:hAnsi="Times New Roman"/>
          <w:sz w:val="30"/>
        </w:rPr>
        <w:lastRenderedPageBreak/>
        <w:t>六、基金的募集</w:t>
      </w:r>
      <w:bookmarkEnd w:id="9"/>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本基金由基金管理人依照《基金法》、《运作办法》、《销售办法》、基金合同及其他有关规定，并经中国证监会2017年7月10日证监许可[2017]1196号文准予募集注册。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本基金为契约型开放式混合型证券投资基金。基金的存续期间为不定期。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本基金自2018年1月8日至2018年 2月2日进行发售，本基金设立募集期共募集2,328,151,050.59份基金份额，有效认购户数为27,884户。</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0" w:name="_Toc240548861"/>
      <w:r>
        <w:rPr>
          <w:rFonts w:ascii="Times New Roman" w:hAnsi="Times New Roman"/>
          <w:sz w:val="30"/>
        </w:rPr>
        <w:lastRenderedPageBreak/>
        <w:t>七、基金合同的生效</w:t>
      </w:r>
      <w:bookmarkEnd w:id="10"/>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根据有关规定，本基金满足基金合同生效条件，基金合同已于2018年2月8日正式生效。自基金合同生效之日起，本基金管理人正式开始管理本基金。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1" w:name="_Toc240548862"/>
      <w:r>
        <w:rPr>
          <w:rFonts w:ascii="Times New Roman" w:hAnsi="Times New Roman"/>
          <w:sz w:val="30"/>
        </w:rPr>
        <w:lastRenderedPageBreak/>
        <w:t>八、基金份额的申购与赎回</w:t>
      </w:r>
      <w:bookmarkEnd w:id="11"/>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个人投资者可以通过基金管理人网上直销交易平台办理开户、本基金A类基金份额和C类基金份额的申购、赎回、转换、定期定额投资等业务，具体交易细则请参阅基金管理人网站。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投资人在开放日办理基金份额的申购及/或赎回，具体办理时间为上海证券交易所、深圳证券交易所的正常交易日的交易时间，但基金管理人根据法律法规、中</w:t>
      </w:r>
      <w:r>
        <w:rPr>
          <w:rFonts w:ascii="宋体" w:hAnsi="宋体"/>
          <w:sz w:val="24"/>
        </w:rPr>
        <w:lastRenderedPageBreak/>
        <w:t>国证监会的要求或基金合同的规定公告暂停申购、赎回时除外。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本基金A类基金份额已于2018年3月20日起开放申购、赎回业务。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本基金C类基金份额已于2021年10月29日起开放申购、赎回业务。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的申购金额、赎回份额和最低基金份额保留余额的数量限制。基金管理人必须在调整实施前依照《信息披露办法》的有关规定在指定媒介上刊登公告并报中国证监会备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w:t>
      </w:r>
      <w:r>
        <w:rPr>
          <w:rFonts w:ascii="宋体" w:hAnsi="宋体"/>
          <w:sz w:val="24"/>
        </w:rPr>
        <w:lastRenderedPageBreak/>
        <w:t>法参照基金合同有关条款处理。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F152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9F152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本基金管理人可根据业务情况调整上述交易费用和限额要求，并依据相关法规的要求提前进行公告。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w:t>
      </w:r>
      <w:r>
        <w:rPr>
          <w:rFonts w:ascii="宋体" w:hAnsi="宋体"/>
          <w:sz w:val="24"/>
        </w:rPr>
        <w:lastRenderedPageBreak/>
        <w:t>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F152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F152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F152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F152F" w:rsidRDefault="009F152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（七）申购和赎回的数额和价格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即：某投资者（非养老金客户）投资40,000元申购本基金A类基金份额，假设申购当日A类基金份额净值为1.0400元，则其可得到37,893.14份A类基金份额。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赎回金额为按实际确认的A类基金份额有效赎回份额乘以当日A类基金份额的基金份额净值并扣除相应的费用，赎回金额单位为元，计算结果保留到小数点后两位，第三位四舍五入。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赎回金额的计算方法如下：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即：投资者赎回本基金10,000份A类基金份额，持有期限为30日，对应的赎回费率为0.5%，假设赎回当日A类基金份额净值是1.0160元，则其可得到的赎回金额为10,109.20元。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w:t>
      </w:r>
      <w:r>
        <w:rPr>
          <w:rFonts w:ascii="宋体" w:hAnsi="宋体"/>
          <w:sz w:val="24"/>
        </w:rPr>
        <w:lastRenderedPageBreak/>
        <w:t>金资产净值。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基金估值，并采取暂停接受基金申购申请的措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9项暂停申购情形之一且基金管理人决定暂停接受投资人的申购申请时，基金管理人应当根据有关规定在指定媒介上刊登暂停申购公告。如果投资人的申购申请被拒绝，被拒绝的申购款项本金将退还给投资人。在暂停申购的情况消除时，基金管理人应及时恢复申购业务的办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采用估值技术仍导致公允价值存在重大不确定性时，经与基金托管人协商确认后，基金管理人应当暂停基金估值，并采取延缓支付赎回款项或暂停接受基金赎回申请的措施。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w:t>
      </w:r>
      <w:r>
        <w:rPr>
          <w:rFonts w:ascii="宋体" w:hAnsi="宋体"/>
          <w:sz w:val="24"/>
        </w:rPr>
        <w:lastRenderedPageBreak/>
        <w:t>为止。如投资人在提交赎回申请时未作明确选择，投资人未能赎回部分作自动延期赎回处理。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w:t>
      </w:r>
      <w:r>
        <w:rPr>
          <w:rFonts w:ascii="宋体" w:hAnsi="宋体"/>
          <w:sz w:val="24"/>
        </w:rPr>
        <w:lastRenderedPageBreak/>
        <w:t>理，并按基金登记机构规定的标准收费。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3月16日刊登公告自2018年3月20日起开通A类基金份额的定期定额投资计划业务，本基金2021年10月26日刊登公告自2021年10月29日起增设C类基金份额并开通C类基金份额的定期定额投资计划业务，具体开通销售机构名单和业务规则参见相关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2" w:name="_Toc240548863"/>
      <w:r>
        <w:rPr>
          <w:rFonts w:ascii="Times New Roman" w:hAnsi="Times New Roman"/>
          <w:sz w:val="30"/>
        </w:rPr>
        <w:lastRenderedPageBreak/>
        <w:t>九、基金的转换</w:t>
      </w:r>
      <w:bookmarkEnd w:id="12"/>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本基金2018年5月23日刊登公告自2018年5月25日起开放A类基金份额的日常转换业务。本基金2021年12月20日刊登公告自2021年12月20日起开放C类基金份额的日常转换业务。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6、本基金管理人可以根据法律法规及基金合同的规定对上述转换费用收费方式和费率进行调整，并应于调整后的收费方式和费率实施前依照《信息披露管理办法》的有关规定在中国证监会指定媒介上公告。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3" w:name="_Toc240548864"/>
      <w:r>
        <w:rPr>
          <w:rFonts w:ascii="Times New Roman" w:hAnsi="Times New Roman"/>
          <w:sz w:val="30"/>
        </w:rPr>
        <w:lastRenderedPageBreak/>
        <w:t>十、基金的投资</w:t>
      </w:r>
      <w:bookmarkEnd w:id="13"/>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本基金在有效控制投资风险的前提下，聚焦居民生活品质升级的方向和趋势，通过把握消费成长领域的投资机会，力争为基金份额持有人获得超越业绩比较基准的收益。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投资于与品质升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具体分以下两个层次进行股票挑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（1）“品质升级”主题的界定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改革开放以来中国经济持续快速发展，居民人均可支配收入水平不断提升，居民生活水平显著提高，尤其对于生活品质升级的需求将进一步释放。展望未来，随着消费者需求变化趋势、产业结构变迁、商业模式演化以及全球技术创新等，满足居民品质升级需求的上市公司将蕴含巨大的潜力与商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品质升级”主题涵盖了符合消费者需求变化趋势、国家政策支持方向以及契合时代发展需要，能够满足居民生活品质升级需求，并以此直接或间接提供符合居民幸福感提升的产品、服务或解决方案的相关上市公司。这些公司以下游需求为导向，具备品牌升级、服务升级、需求升级、健康升级等方面的特征，处于拥有良好发展前景的产业。具体说明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品牌升级：随着消费者成熟度提升，品牌消费品对于普通性消费品的替代作用更加明显，客户粘性更强。涉及行业包括且不限于：农产品、食品饮料、家用电器、新材料等；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升级：随着社会价值体系变化，消费者逐渐成为各个行业产业链的核心，且随着市场化竞争程度的提高，各行业的服务意识普遍提高。涉及行业包括且不限于：医疗服务、旅游、教育、金融服务、公共事业、房地产（服务）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需求升级：随着社会的发展和财富的积累，主力消费群体对于价格敏感度逐渐降低，而对于个性化商品、自我存在感的需求明显提升。涉及行业包括且不限于：纺织服装、新媒体、电子（消费电子）等；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健康升级：社会主流群体对健康的意识大幅提升，对健康管理、疾病预防、疾病筛查、医疗保健、养老服务等的需求加大。涉及行业包括且不限于：环保、医药生物、体育用品等。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相关业务涉及本基金所界定的品质升级领域范围内的上市公司，以及未来相关业务转型成为品质升级领域的上市公司也是本基金的关注重点，一并纳入本基金的投资范围。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如果随着消费需求变化及发展、政策或市场环境变化导致本基金对品质升级领域的界定范围发生变动，本基金可调整上述界定标准，无需召开基金份额持有人大会。本基金由于上述原因调整界定范围应及时告知基金托管人，并在更新的招募说明书中进行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如PE、PB、EV/EBITDA、DCF模型等）对公司的内在价值进行评估，筛选出估值具有吸引力的公司作为投资目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最后，本基金根据对个股价值的评估和市场机会的判断构建股票组合，其中投资于品质升级主题相关证券的比例不低于非现金基金资产的80%。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w:t>
      </w:r>
      <w:r>
        <w:rPr>
          <w:rFonts w:ascii="宋体" w:hAnsi="宋体"/>
          <w:sz w:val="24"/>
        </w:rPr>
        <w:lastRenderedPageBreak/>
        <w:t>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6、股指期货投资策略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（1）股票资产（含存托凭证）占基金资产的50%-95%，投资于与品质升级主题</w:t>
      </w:r>
      <w:r>
        <w:rPr>
          <w:rFonts w:ascii="宋体" w:hAnsi="宋体"/>
          <w:sz w:val="24"/>
        </w:rPr>
        <w:lastRenderedPageBreak/>
        <w:t>相关证券的比例不低于非现金基金资产的80%；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（11）本基金投资于同一原始权益人的各类资产支持证券的比例，不得超过基金资产净值的10%；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（14）本基金管理人管理的全部基金投资于同一原始权益人的各类资产支持证券，不得超过其各类资产支持证券合计规模的10%；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（15）本基金应投资于信用级别评级为BBB以上（含BBB）的资产支持证券。基金持有资产支持证券期间，如果其信用等级下降、不再符合投资标准，应在评级报告发布之日起3个月内予以全部卖出；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w:t>
      </w:r>
      <w:r>
        <w:rPr>
          <w:rFonts w:ascii="宋体" w:hAnsi="宋体"/>
          <w:sz w:val="24"/>
        </w:rPr>
        <w:lastRenderedPageBreak/>
        <w:t>同的约定。基金托管人对基金的投资的监督与检查自基金合同生效之日起开始。法律法规或监管部门另有规定的，从其规定。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本基金业绩比较基准：沪深300指数收益率×90%+中债-国债总财富（1-3年）指数收益率×10%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股票、债券等资产，相应选取与之匹配的股票指数与债券指数作为基准要素；同时基于基金投资股票资产（含存托凭证）占基金资产的比例为50%-95%等投资比例限</w:t>
      </w:r>
      <w:r>
        <w:rPr>
          <w:rFonts w:ascii="宋体" w:hAnsi="宋体"/>
          <w:sz w:val="24"/>
        </w:rPr>
        <w:lastRenderedPageBreak/>
        <w:t>制，以及预期的资产配置比例，本基金将股票资产与债券资产所对应的基准要素权重分别设置为90%与10%。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匹配度，同时兼顾考虑基准指数的表征性、认可度，本基金选取沪深300指数作为股票部分的基准要素，具体情况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股票部分的业绩比较基准要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沪深300指数由中证指数有限公司编制发布，指数代码为000300，指数具体信息详见中证指数有限公司网站，网址：www.csindex.com.cn。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本基金业绩比较基准收益率的计算方法以每日收益率为基础，以时间加权为计算原则。本基金先分别计算业绩比较基准中沪深300指数、中债-国债总财富（1-3</w:t>
      </w:r>
      <w:r>
        <w:rPr>
          <w:rFonts w:ascii="宋体" w:hAnsi="宋体"/>
          <w:sz w:val="24"/>
        </w:rPr>
        <w:lastRenderedPageBreak/>
        <w:t>年）指数的每日收益率，再按照预设权重比例计算当日组合要素基准的日收益率，并连乘每日收益率。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（六）风险收益特征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（七）基金管理人代表基金行使股东及债权人权利的处理原则及方法</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256,946,080.13</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92.69</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256,946,080.13</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92.69</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17,101,446.06</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6.17</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3,158,312.94</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1.14</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277,205,839.13</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2,690,778.00</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220,454,517.27</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79.73</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13,999,270.00</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5.06</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36,261.44</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2,941,884.00</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1.06</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16,810,255.04</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6.08</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N</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11,268.72</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256,946,080.13</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92.92</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17,796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25,804,200.00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9.33</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燕京啤酒</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1,668,579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21,858,384.90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7.91</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002847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盐津铺子</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339,300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20,144,241.00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7.29</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605499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东鹏饮料</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88,534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18,173,374.18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6.57</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002293</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罗莱生活</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1,451,110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14,540,122.20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5.26</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600754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锦江酒店</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521,000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13,999,270.00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5.06</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142,164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13,946,288.40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5.04</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300888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稳健医疗</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413,400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13,650,468.00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4.94</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600702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舍得酒业</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294,320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13,309,150.40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4.81</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000596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古井贡酒</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129,231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13,291,408.35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4.81</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156,320.79</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1,920,594.65</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1,081,397.50</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right"/>
              <w:rPr>
                <w:rFonts w:ascii="宋体" w:hAnsi="宋体"/>
                <w:color w:val="000000"/>
                <w:kern w:val="0"/>
                <w:sz w:val="25"/>
                <w:szCs w:val="24"/>
              </w:rPr>
            </w:pPr>
            <w:r>
              <w:rPr>
                <w:rFonts w:ascii="Times New Roman" w:hAnsi="Times New Roman"/>
                <w:color w:val="000000"/>
                <w:kern w:val="0"/>
                <w:sz w:val="25"/>
                <w:szCs w:val="24"/>
              </w:rPr>
              <w:t>3,158,312.94</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4" w:name="_Toc240548865"/>
      <w:r>
        <w:rPr>
          <w:rFonts w:ascii="Times New Roman" w:hAnsi="Times New Roman"/>
          <w:sz w:val="30"/>
        </w:rPr>
        <w:lastRenderedPageBreak/>
        <w:t>十一、基金的业绩</w:t>
      </w:r>
      <w:bookmarkEnd w:id="14"/>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（1）交银品质升级混合A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-5.68%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-3.71%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-5.52%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-16.41%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-13.41%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1.79%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-25.93%</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-16.31%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-11.29%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-7.64%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4.40%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3.81%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4.57%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104.75%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87.12%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35.05%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11.96%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-21.51%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-13.39%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-8.12%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（2）交银品质升级混合C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-5.82%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-3.85%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-6.09%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-16.98%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-13.93%</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1.79%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-26.45%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-16.80%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-11.78%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-8.19%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3.85%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r>
      <w:tr w:rsidR="009F152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1.62%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bl>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注：本基金的业绩比较基准为沪深300指数收益率×60%+中证综合债券指数收益率×40%，每日进行再平衡过程。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9F152F" w:rsidRDefault="00C903A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交银施罗德品质升级混合型证券投资基金</w:t>
      </w:r>
    </w:p>
    <w:p w:rsidR="009F152F" w:rsidRDefault="00C903A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9F152F" w:rsidRDefault="00C903A3">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（2018年2月8日至2026年03月31日）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（1）交银品质升级混合A</w:t>
      </w:r>
    </w:p>
    <w:p w:rsidR="009F152F" w:rsidRDefault="0031748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（2）交银品质升级混合C</w:t>
      </w:r>
    </w:p>
    <w:p w:rsidR="009F152F" w:rsidRDefault="0031748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2、本基金自2021年10月29日起，开始销售C类份额，投资者提交的申购申请于2021年11月1日被确认并将有效份额登记在册。</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5" w:name="_Toc240548866"/>
      <w:r>
        <w:rPr>
          <w:rFonts w:ascii="Times New Roman" w:hAnsi="Times New Roman"/>
          <w:sz w:val="30"/>
        </w:rPr>
        <w:lastRenderedPageBreak/>
        <w:t>十二、基金的财产</w:t>
      </w:r>
      <w:bookmarkEnd w:id="15"/>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6" w:name="_Toc240548867"/>
      <w:r>
        <w:rPr>
          <w:rFonts w:ascii="Times New Roman" w:hAnsi="Times New Roman"/>
          <w:sz w:val="30"/>
        </w:rPr>
        <w:lastRenderedPageBreak/>
        <w:t>十三、基金资产的估值</w:t>
      </w:r>
      <w:bookmarkEnd w:id="16"/>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6、摆动定价机制：发生大额申购或赎回情形时，基金管理人可以对本基金采用摆动定价机制，以确保基金估值的公平性。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8、相关法律法规以及监管部门有强制规定的，从其规定。如有新增事项，按法律法规以及监管部门最新规定估值。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w:t>
      </w:r>
      <w:r>
        <w:rPr>
          <w:rFonts w:ascii="宋体" w:hAnsi="宋体"/>
          <w:sz w:val="24"/>
        </w:rPr>
        <w:lastRenderedPageBreak/>
        <w:t>据基金合同的约定和相关法律法规的规定对外公布。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w:t>
      </w:r>
      <w:r>
        <w:rPr>
          <w:rFonts w:ascii="宋体" w:hAnsi="宋体"/>
          <w:sz w:val="24"/>
        </w:rPr>
        <w:lastRenderedPageBreak/>
        <w:t>并且仅对估值错误的有关直接当事人负责，不对第三方负责。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2、因不可抗力致使基金管理人、基金托管人无法准确评估基金资产价值时；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3、当特定资产占前一估值日基金资产净值50%以上的，经与基金托管人协商确认后，基金管理人应当暂停基金估值；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4、法律法规或中国证监会规定的和基金合同认定的其它情形。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7" w:name="_Toc240548868"/>
      <w:r>
        <w:rPr>
          <w:rFonts w:ascii="Times New Roman" w:hAnsi="Times New Roman"/>
          <w:sz w:val="30"/>
        </w:rPr>
        <w:lastRenderedPageBreak/>
        <w:t>十四、基金收益与分配</w:t>
      </w:r>
      <w:bookmarkEnd w:id="17"/>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5、法律法规或监管机构另有规定的，从其规定。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8" w:name="_Toc240548869"/>
      <w:r>
        <w:rPr>
          <w:rFonts w:ascii="Times New Roman" w:hAnsi="Times New Roman"/>
          <w:sz w:val="30"/>
        </w:rPr>
        <w:lastRenderedPageBreak/>
        <w:t>十五、基金的费用与税收</w:t>
      </w:r>
      <w:bookmarkEnd w:id="18"/>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本基金的管理费按前一日基金资产净值的1.20%年费率计提。管理费的计算方法如下：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H＝E×1.20%÷当年天数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本基金的托管费按前一日基金资产净值的0.20%的年费率计提。托管费的计算方法如下：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H＝E×0.20%÷当年天数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（三）不列入基金费用的项目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19" w:name="_Toc240548870"/>
      <w:r>
        <w:rPr>
          <w:rFonts w:ascii="Times New Roman" w:hAnsi="Times New Roman"/>
          <w:sz w:val="30"/>
        </w:rPr>
        <w:lastRenderedPageBreak/>
        <w:t>十六、基金的会计与审计</w:t>
      </w:r>
      <w:bookmarkEnd w:id="19"/>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20" w:name="_Toc240548871"/>
      <w:r>
        <w:rPr>
          <w:rFonts w:ascii="Times New Roman" w:hAnsi="Times New Roman"/>
          <w:sz w:val="30"/>
        </w:rPr>
        <w:lastRenderedPageBreak/>
        <w:t>十七、基金的信息披露</w:t>
      </w:r>
      <w:bookmarkEnd w:id="20"/>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次日，通过指定网站、销售机构网站或者营业网点分别披露开放日A类基金份额和C类基金份额所对应的基金份额净值和基金份额累计净值。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（21）本基金采用摆动定价机制进行估值；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投资流通受限证券，基金管理人在本基金投资非公开发行股票后2个交易日内，在中国证监会指定媒介披露所投资非公开发行股票的名称、数量、总成本、账面价值，以及总成本和账面价值占基金资产净值的比例、锁定期等信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14、实施侧袋机制期间的信息披露</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依法必须披露的信息发布后，基金管理人、基金托管人应当按照相关法律法规规定将信息置备于各自住所，供社会公众查阅、复制。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21" w:name="_Toc240548872"/>
      <w:r>
        <w:rPr>
          <w:rFonts w:ascii="Times New Roman" w:hAnsi="Times New Roman"/>
          <w:sz w:val="30"/>
        </w:rPr>
        <w:lastRenderedPageBreak/>
        <w:t>十八、侧袋机制</w:t>
      </w:r>
      <w:bookmarkEnd w:id="21"/>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（一）侧袋机制的实施条件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（二）实施侧袋机制期间基金份额的申购与赎回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（三）实施侧袋机制期间的基金投资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（四）实施侧袋机制期间的基金估值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（五）实施侧袋账户期间的基金费用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（六）侧袋账户中特定资产的处置变现和支付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（七）侧袋机制的信息披露</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F152F" w:rsidRDefault="00C903A3">
      <w:pPr>
        <w:pStyle w:val="1"/>
        <w:snapToGrid w:val="0"/>
        <w:spacing w:beforeLines="0" w:before="240" w:after="240"/>
        <w:rPr>
          <w:rFonts w:ascii="宋体" w:hAnsi="宋体"/>
          <w:szCs w:val="30"/>
        </w:rPr>
      </w:pPr>
      <w:bookmarkStart w:id="22" w:name="_Toc240548873"/>
      <w:r>
        <w:rPr>
          <w:rFonts w:ascii="Times New Roman" w:hAnsi="Times New Roman"/>
          <w:sz w:val="30"/>
        </w:rPr>
        <w:lastRenderedPageBreak/>
        <w:t>十九、风险揭示</w:t>
      </w:r>
      <w:bookmarkEnd w:id="22"/>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前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以下一开放日的该类基金份额净值为基础计算赎回金额，以此类推，直到全部赎回为止。如投资人在提交赎回申请时未作明确选择，投资人未能赎回部分作自动延期赎回处理。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w:t>
      </w:r>
      <w:r>
        <w:rPr>
          <w:rFonts w:ascii="宋体" w:hAnsi="宋体"/>
          <w:sz w:val="24"/>
        </w:rPr>
        <w:lastRenderedPageBreak/>
        <w:t>产最终变现价格的承诺，因此对于特定资产的公允价值和最终变现价格，基金管理人不承担任何保证和承诺的责任。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主题风险：本基金投资于品质升级主题相关证券的比例不低于非现金基金资产的80%，因此本基金的股票投资业绩与本基金界定的符合“品质升级”主题的上市公司发行证券的相关性较大，需承担相应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（六）投资股指期货的特定风险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w:t>
      </w:r>
      <w:r>
        <w:rPr>
          <w:rFonts w:ascii="宋体" w:hAnsi="宋体"/>
          <w:sz w:val="24"/>
        </w:rPr>
        <w:lastRenderedPageBreak/>
        <w:t>的风险，以及不同股指期货合约价格之间价格差的波动所造成的期现价差风险。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（八）投资流通受限证券的特定风险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（九）投资科创板股票的特定风险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（2）流动性风险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（十）投资存托凭证的特定风险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（十一）本基金法律文件风险收益特征表述与销售机构基金风险评价可能不一</w:t>
      </w:r>
      <w:r>
        <w:rPr>
          <w:rFonts w:ascii="宋体" w:hAnsi="宋体"/>
          <w:sz w:val="24"/>
        </w:rPr>
        <w:lastRenderedPageBreak/>
        <w:t>致的风险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（十二）其他风险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23" w:name="_Toc240548874"/>
      <w:r>
        <w:rPr>
          <w:rFonts w:ascii="Times New Roman" w:hAnsi="Times New Roman"/>
          <w:sz w:val="30"/>
        </w:rPr>
        <w:lastRenderedPageBreak/>
        <w:t>二十、基金合同的变更、终止与基金财产的清算</w:t>
      </w:r>
      <w:bookmarkEnd w:id="23"/>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24" w:name="_Toc240548875"/>
      <w:r>
        <w:rPr>
          <w:rFonts w:ascii="Times New Roman" w:hAnsi="Times New Roman"/>
          <w:sz w:val="30"/>
        </w:rPr>
        <w:lastRenderedPageBreak/>
        <w:t>二十一、基金合同内容摘要</w:t>
      </w:r>
      <w:bookmarkEnd w:id="24"/>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（11）在《基金合同》约定的范围内，拒绝或暂停受理申购、赎回或转换申请；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w:t>
      </w:r>
      <w:r>
        <w:rPr>
          <w:rFonts w:ascii="宋体" w:hAnsi="宋体"/>
          <w:sz w:val="24"/>
        </w:rPr>
        <w:lastRenderedPageBreak/>
        <w:t>其他为基金提供服务的外部机构；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w:t>
      </w:r>
      <w:r>
        <w:rPr>
          <w:rFonts w:ascii="宋体" w:hAnsi="宋体"/>
          <w:sz w:val="24"/>
        </w:rPr>
        <w:lastRenderedPageBreak/>
        <w:t>分配基金收益；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w:t>
      </w:r>
      <w:r>
        <w:rPr>
          <w:rFonts w:ascii="宋体" w:hAnsi="宋体"/>
          <w:sz w:val="24"/>
        </w:rPr>
        <w:lastRenderedPageBreak/>
        <w:t>定外，在基金信息公开披露前予以保密，不得向他人泄露；</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w:t>
      </w:r>
      <w:r>
        <w:rPr>
          <w:rFonts w:ascii="宋体" w:hAnsi="宋体"/>
          <w:sz w:val="24"/>
        </w:rPr>
        <w:lastRenderedPageBreak/>
        <w:t>和《基金合同》的当事人，直至其不再持有本基金的基金份额。基金份额持有人作为《基金合同》当事人并不以在《基金合同》上书面签章或签字为必要条件。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w:t>
      </w:r>
      <w:r>
        <w:rPr>
          <w:rFonts w:ascii="宋体" w:hAnsi="宋体"/>
          <w:sz w:val="24"/>
        </w:rPr>
        <w:lastRenderedPageBreak/>
        <w:t>规则；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8）变更基金投资目标、范围或策略，基金合同另有约定的除外；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9）变更基金份额持有人大会程序，基金合同另有约定的除外；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（2）在符合法律法规和《基金合同》规定的范围内、并且对基金份额持有人利益无实质不利影响的前提下，以下情况可由基金管理人和基金托管人协商后修</w:t>
      </w:r>
      <w:r>
        <w:rPr>
          <w:rFonts w:ascii="宋体" w:hAnsi="宋体"/>
          <w:sz w:val="24"/>
        </w:rPr>
        <w:lastRenderedPageBreak/>
        <w:t>改，不需召开基金份额持有人大会：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1）调低除基金管理费、基金托管费之外的其他应由本基金或基金份额持有人承担的费用；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3）调整本基金的申购费率、调低赎回费率及销售服务费率、变更或增加收费方式；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7）在符合法律法规及本基金合同规定、并且对基金份额持有人利益无实质不利影响的前提下，增加基金份额类别或调整本基金份额类别的设置；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8）在不违反法律法规及对基金份额持有人利益无实质性不利影响的前提下，基金管理人、登记机构、销售机构调整有关基金认购、申购、赎回、转换、非交易过户、转托管等业务的规则；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w:t>
      </w:r>
      <w:r>
        <w:rPr>
          <w:rFonts w:ascii="宋体" w:hAnsi="宋体"/>
          <w:sz w:val="24"/>
        </w:rPr>
        <w:lastRenderedPageBreak/>
        <w:t>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w:t>
      </w:r>
      <w:r>
        <w:rPr>
          <w:rFonts w:ascii="宋体" w:hAnsi="宋体"/>
          <w:sz w:val="24"/>
        </w:rPr>
        <w:lastRenderedPageBreak/>
        <w:t>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就上述情形，法律法规、《基金合同》和中国证监会另有规定的除外）以特别决议通过方为有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w:t>
      </w:r>
      <w:r>
        <w:rPr>
          <w:rFonts w:ascii="宋体" w:hAnsi="宋体"/>
          <w:sz w:val="24"/>
        </w:rPr>
        <w:lastRenderedPageBreak/>
        <w:t>表决，但应当计入出具表决意见的基金份额持有人所代表的基金份额总数。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w:t>
      </w:r>
      <w:r>
        <w:rPr>
          <w:rFonts w:ascii="宋体" w:hAnsi="宋体"/>
          <w:sz w:val="24"/>
        </w:rPr>
        <w:lastRenderedPageBreak/>
        <w:t>改导致相关内容被取消或变更的，基金管理人经与基金托管人协商一致并提前公告后，可直接对本部分内容进行修改和调整，无需召开基金份额持有人大会审议。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（2）关于《基金合同》变更的基金份额持有人大会决议生效后方可执行，并自表决通过之日起生效，生效后依照《信息披露办法》的规定在指定媒介公告。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争议处理期间，双方当事人应恪守基金管理人和基金托管人职责，各自继续忠实、勤勉、尽责地履行基金合同规定的义务，维护基金份额持有人的合法权益。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（五）基金合同存放地和投资者取得基金合同的方式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25" w:name="_Toc240548876"/>
      <w:r>
        <w:rPr>
          <w:rFonts w:ascii="Times New Roman" w:hAnsi="Times New Roman"/>
          <w:sz w:val="30"/>
        </w:rPr>
        <w:lastRenderedPageBreak/>
        <w:t>二十二、托管协议的内容摘要</w:t>
      </w:r>
      <w:bookmarkEnd w:id="25"/>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投资于与品质升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如果法律法规或中国证监会变更投资品种的投资比例限制，基金管理人在履行适当程序后，可以调整上述投资品种的投资比例。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（1）股票资产（含存托凭证）占基金资产的50%-95%，投资于与品质升级主题相关证券的比例不低于非现金基金资产的80%；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（6）本基金管理人管理的、且由本基金托管人托管的全部基金持有的同一权证，不得超过该权证的10%；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w:t>
      </w:r>
      <w:r>
        <w:rPr>
          <w:rFonts w:ascii="宋体" w:hAnsi="宋体"/>
          <w:sz w:val="24"/>
        </w:rPr>
        <w:lastRenderedPageBreak/>
        <w:t>金资产净值的10%；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（14）本基金管理人管理的、且由本基金托管人托管的全部基金投资于同一原始权益人的各类资产支持证券，不得超过其各类资产支持证券合计规模的10%；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（21）法律法规及中国证监会规定的和《基金合同》约定的其他投资限制。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w:t>
      </w:r>
      <w:r>
        <w:rPr>
          <w:rFonts w:ascii="宋体" w:hAnsi="宋体"/>
          <w:sz w:val="24"/>
        </w:rPr>
        <w:lastRenderedPageBreak/>
        <w:t>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w:t>
      </w:r>
      <w:r>
        <w:rPr>
          <w:rFonts w:ascii="宋体" w:hAnsi="宋体"/>
          <w:sz w:val="24"/>
        </w:rPr>
        <w:lastRenderedPageBreak/>
        <w:t>券，不包括由于发布重大消息或其他原因而临时停牌的证券、已发行未上市证券、回购交易中的质押券等流通受限证券。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各类基金份额净值、根据基金管理人指令办理清算交收、相关信息披露和监督基金投资运作等行为。</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w:t>
      </w:r>
      <w:r>
        <w:rPr>
          <w:rFonts w:ascii="宋体" w:hAnsi="宋体"/>
          <w:sz w:val="24"/>
        </w:rPr>
        <w:lastRenderedPageBreak/>
        <w:t>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（4）基金证券账户的开立和证券账户卡的保管由基金托管人负责，账户资产的管理和运用由基金管理人负责。</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类基金份额的基金份额净值是指计算日该类基金份额的基金资产净值除以计算日该类基金份额总数后得到的数值。各类基金份额的基金份额净值的计算，精确到0.0001元，小数点后第五位四舍五入，由此产生的误差计入基金财产。国家另有规定的，从其规定。</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基金管理人于每工作日计算各类基金份额的基金资产净值及基金份额净值，并按规定公告，如遇特殊情况，经中国证监会同意，可以适当延迟计算或公告。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的基金份额净值结果发送基金托管人，经基金托管人复核无误后，由基金管理人依据基金合同和相关法律法规的规定对外公布。月末、年中和年末估值复核与基金会计账目的核对同时进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w:t>
      </w:r>
      <w:r>
        <w:rPr>
          <w:rFonts w:ascii="宋体" w:hAnsi="宋体"/>
          <w:sz w:val="24"/>
        </w:rPr>
        <w:lastRenderedPageBreak/>
        <w:t>地点为北京市，按照中国国际经济贸易仲裁委员会届时有效的仲裁规则进行仲裁。仲裁裁决是终局的，对当事人均有约束力，除非仲裁裁决另有规定，仲裁费由败诉方承担。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26" w:name="_Toc240548877"/>
      <w:r>
        <w:rPr>
          <w:rFonts w:ascii="Times New Roman" w:hAnsi="Times New Roman"/>
          <w:sz w:val="30"/>
        </w:rPr>
        <w:lastRenderedPageBreak/>
        <w:t>二十三、对基金份额持有人的服务</w:t>
      </w:r>
      <w:bookmarkEnd w:id="26"/>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（四）基金转换业务</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本基金A类基金份额已开通转换业务，具体实施方法请参见相关公告。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27" w:name="_Toc240548878"/>
      <w:r>
        <w:rPr>
          <w:rFonts w:ascii="Times New Roman" w:hAnsi="Times New Roman"/>
          <w:sz w:val="30"/>
        </w:rPr>
        <w:lastRenderedPageBreak/>
        <w:t>二十四、其他应披露事项</w:t>
      </w:r>
      <w:bookmarkEnd w:id="27"/>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交银施罗德品质升级混合型证券投资基金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9F152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F152F" w:rsidRDefault="00C90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28" w:name="_Toc240548879"/>
      <w:r>
        <w:rPr>
          <w:rFonts w:ascii="Times New Roman" w:hAnsi="Times New Roman"/>
          <w:sz w:val="30"/>
        </w:rPr>
        <w:lastRenderedPageBreak/>
        <w:t>二十五、招募说明书的存放及查阅方式</w:t>
      </w:r>
      <w:bookmarkEnd w:id="28"/>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C903A3"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F152F" w:rsidRDefault="00C903A3">
      <w:pPr>
        <w:pStyle w:val="1"/>
        <w:snapToGrid w:val="0"/>
        <w:spacing w:beforeLines="0" w:before="240" w:after="240"/>
        <w:rPr>
          <w:rFonts w:ascii="宋体" w:hAnsi="宋体"/>
          <w:szCs w:val="30"/>
        </w:rPr>
      </w:pPr>
      <w:bookmarkStart w:id="29" w:name="_Toc240548880"/>
      <w:r>
        <w:rPr>
          <w:rFonts w:ascii="Times New Roman" w:hAnsi="Times New Roman"/>
          <w:sz w:val="30"/>
        </w:rPr>
        <w:lastRenderedPageBreak/>
        <w:t>二十六、备查文件</w:t>
      </w:r>
      <w:bookmarkEnd w:id="29"/>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（一）中国证监会准予交银施罗德品质升级混合型证券投资基金募集注册的文件</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（二）《交银施罗德品质升级混合型证券投资基金基金合同》</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（三）《交银施罗德品质升级混合型证券投资基金托管协议》</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9F152F" w:rsidRDefault="00C903A3">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（六）关于申请募集注册交银施罗德品质升级混合型证券投资基金的法律意见书</w:t>
      </w:r>
    </w:p>
    <w:sectPr w:rsidR="009F152F">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FBE" w:rsidRDefault="00C903A3">
      <w:r>
        <w:separator/>
      </w:r>
    </w:p>
  </w:endnote>
  <w:endnote w:type="continuationSeparator" w:id="0">
    <w:p w:rsidR="00D31FBE" w:rsidRDefault="00C90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152F" w:rsidRDefault="009F152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152F" w:rsidRDefault="0031748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9F152F" w:rsidRDefault="00C903A3">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17489">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152F" w:rsidRDefault="009F152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152F" w:rsidRDefault="0031748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9F152F" w:rsidRDefault="00C903A3">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17489">
                  <w:rPr>
                    <w:rFonts w:ascii="Times New Roman" w:hAnsi="Times New Roman"/>
                    <w:noProof/>
                    <w:kern w:val="0"/>
                    <w:sz w:val="18"/>
                    <w:szCs w:val="18"/>
                  </w:rPr>
                  <w:t>154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FBE" w:rsidRDefault="00C903A3">
      <w:r>
        <w:separator/>
      </w:r>
    </w:p>
  </w:footnote>
  <w:footnote w:type="continuationSeparator" w:id="0">
    <w:p w:rsidR="00D31FBE" w:rsidRDefault="00C90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152F" w:rsidRDefault="009F152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152F" w:rsidRDefault="00C903A3">
    <w:pPr>
      <w:pStyle w:val="a3"/>
      <w:jc w:val="right"/>
      <w:rPr>
        <w:rFonts w:ascii="宋体" w:hAnsi="宋体"/>
      </w:rPr>
    </w:pPr>
    <w:r>
      <w:rPr>
        <w:rFonts w:ascii="宋体" w:hAnsi="宋体" w:hint="eastAsia"/>
      </w:rPr>
      <w:t>交银施罗德品质升级混合型证券投资基金招募说明书更新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152F" w:rsidRDefault="009F152F">
    <w:pPr>
      <w:pStyle w:val="10"/>
      <w:jc w:val="right"/>
    </w:pPr>
  </w:p>
  <w:p w:rsidR="009F152F" w:rsidRDefault="009F152F">
    <w:pPr>
      <w:pStyle w:val="10"/>
      <w:jc w:val="right"/>
    </w:pPr>
  </w:p>
  <w:p w:rsidR="009F152F" w:rsidRDefault="009F152F">
    <w:pPr>
      <w:pStyle w:val="a3"/>
      <w:jc w:val="right"/>
    </w:pPr>
  </w:p>
  <w:p w:rsidR="009F152F" w:rsidRDefault="00C903A3">
    <w:pPr>
      <w:pStyle w:val="a3"/>
      <w:jc w:val="right"/>
      <w:rPr>
        <w:rFonts w:ascii="宋体" w:hAnsi="宋体"/>
      </w:rPr>
    </w:pPr>
    <w:r>
      <w:rPr>
        <w:rFonts w:ascii="宋体" w:hAnsi="宋体" w:hint="eastAsia"/>
      </w:rPr>
      <w:t>交银施罗德品质升级混合型证券投资基金招募说明书更新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152F" w:rsidRDefault="009F152F">
    <w:pPr>
      <w:pStyle w:val="a3"/>
      <w:jc w:val="right"/>
    </w:pPr>
  </w:p>
  <w:p w:rsidR="009F152F" w:rsidRDefault="009F152F">
    <w:pPr>
      <w:pStyle w:val="a3"/>
      <w:jc w:val="right"/>
    </w:pPr>
  </w:p>
  <w:p w:rsidR="009F152F" w:rsidRDefault="009F152F">
    <w:pPr>
      <w:pStyle w:val="a3"/>
      <w:jc w:val="right"/>
    </w:pPr>
  </w:p>
  <w:p w:rsidR="009F152F" w:rsidRDefault="00C903A3">
    <w:pPr>
      <w:pStyle w:val="a3"/>
      <w:jc w:val="right"/>
      <w:rPr>
        <w:rFonts w:ascii="宋体" w:hAnsi="宋体"/>
      </w:rPr>
    </w:pPr>
    <w:r>
      <w:rPr>
        <w:rFonts w:ascii="宋体" w:hAnsi="宋体" w:hint="eastAsia"/>
      </w:rPr>
      <w:t>交银施罗德品质升级混合型证券投资基金招募说明书更新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17489"/>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52F"/>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3A3"/>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1FBE"/>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1CC94B6E-1D82-4E74-86BE-F8AB043F6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16037</Words>
  <Characters>91413</Characters>
  <Application>Microsoft Office Word</Application>
  <DocSecurity>0</DocSecurity>
  <Lines>761</Lines>
  <Paragraphs>214</Paragraphs>
  <ScaleCrop>false</ScaleCrop>
  <Company>Microsoft</Company>
  <LinksUpToDate>false</LinksUpToDate>
  <CharactersWithSpaces>107236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2026-09-17T06:47:00Z</dcterms:created>
  <dcterms:modified xsi:type="dcterms:W3CDTF">2026-09-17T06:47:00Z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