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74CD9">
      <w:pPr>
        <w:rPr>
          <w:sz w:val="32"/>
        </w:rPr>
      </w:pPr>
    </w:p>
    <w:p w:rsidR="00C92FC0" w:rsidRPr="00EB07BC" w:rsidRDefault="00474CD9">
      <w:pPr>
        <w:rPr>
          <w:sz w:val="32"/>
        </w:rPr>
      </w:pPr>
    </w:p>
    <w:p w:rsidR="00C92FC0" w:rsidRPr="00EB07BC" w:rsidRDefault="00474CD9">
      <w:pPr>
        <w:rPr>
          <w:sz w:val="32"/>
        </w:rPr>
      </w:pPr>
    </w:p>
    <w:p w:rsidR="00222881" w:rsidRDefault="0022288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22881" w:rsidRDefault="0022288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22881" w:rsidRDefault="0022288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22881" w:rsidRDefault="00C5306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交银施罗德新回报灵活配置混合型证券投资基金</w:t>
      </w:r>
    </w:p>
    <w:p w:rsidR="00222881" w:rsidRDefault="00C5306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22881" w:rsidRDefault="00222881">
      <w:pPr>
        <w:snapToGrid w:val="0"/>
        <w:spacing w:line="360" w:lineRule="auto"/>
        <w:jc w:val="center"/>
        <w:rPr>
          <w:rFonts w:ascii="宋体" w:hAnsi="宋体"/>
          <w:b/>
          <w:sz w:val="30"/>
          <w:szCs w:val="30"/>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C5306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22881" w:rsidRDefault="00C5306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22288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22881" w:rsidRDefault="00C5306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222881" w:rsidRDefault="00222881">
      <w:pPr>
        <w:autoSpaceDE w:val="0"/>
        <w:autoSpaceDN w:val="0"/>
        <w:adjustRightInd w:val="0"/>
        <w:snapToGrid w:val="0"/>
        <w:spacing w:line="360" w:lineRule="auto"/>
        <w:ind w:left="1347" w:rightChars="6" w:right="13"/>
        <w:rPr>
          <w:rFonts w:ascii="宋体" w:hAnsi="宋体"/>
          <w:kern w:val="0"/>
          <w:sz w:val="32"/>
          <w:szCs w:val="32"/>
        </w:rPr>
        <w:sectPr w:rsidR="0022288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22881" w:rsidRDefault="00C53062">
      <w:pPr>
        <w:pStyle w:val="1"/>
        <w:snapToGrid w:val="0"/>
        <w:spacing w:beforeLines="0" w:before="240" w:after="240"/>
        <w:rPr>
          <w:rFonts w:ascii="宋体" w:hAnsi="宋体"/>
          <w:kern w:val="0"/>
        </w:rPr>
      </w:pPr>
      <w:bookmarkStart w:id="0" w:name="_Toc324920538"/>
      <w:bookmarkStart w:id="1" w:name="_Toc496884613"/>
      <w:bookmarkStart w:id="2" w:name="_Toc240548832"/>
      <w:r>
        <w:rPr>
          <w:rFonts w:ascii="Times New Roman" w:hAnsi="Times New Roman"/>
          <w:kern w:val="0"/>
        </w:rPr>
        <w:lastRenderedPageBreak/>
        <w:t>重要提示</w:t>
      </w:r>
      <w:bookmarkEnd w:id="0"/>
      <w:bookmarkEnd w:id="1"/>
      <w:bookmarkEnd w:id="2"/>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交银施罗德新回报灵活配置混合型证券投资基金（以下简称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678</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日正式生效。</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22881" w:rsidRDefault="00C5306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222881" w:rsidRDefault="00222881">
      <w:pPr>
        <w:autoSpaceDE w:val="0"/>
        <w:autoSpaceDN w:val="0"/>
        <w:adjustRightInd w:val="0"/>
        <w:snapToGrid w:val="0"/>
        <w:spacing w:before="51" w:line="360" w:lineRule="auto"/>
        <w:ind w:left="120" w:rightChars="6" w:right="13" w:firstLine="480"/>
        <w:rPr>
          <w:rFonts w:ascii="宋体" w:hAnsi="宋体"/>
          <w:kern w:val="0"/>
          <w:szCs w:val="24"/>
        </w:rPr>
        <w:sectPr w:rsidR="00222881">
          <w:headerReference w:type="default" r:id="rId14"/>
          <w:pgSz w:w="11920" w:h="16840"/>
          <w:pgMar w:top="1440" w:right="1680" w:bottom="280" w:left="1680" w:header="0" w:footer="1073" w:gutter="0"/>
          <w:pgNumType w:start="1"/>
          <w:cols w:space="720"/>
        </w:sectPr>
      </w:pPr>
    </w:p>
    <w:p w:rsidR="00474CD9" w:rsidRPr="00474CD9" w:rsidRDefault="00C53062" w:rsidP="00474CD9">
      <w:pPr>
        <w:pStyle w:val="ad"/>
        <w:snapToGrid w:val="0"/>
        <w:spacing w:after="240" w:line="360" w:lineRule="auto"/>
        <w:jc w:val="center"/>
        <w:rPr>
          <w:rFonts w:ascii="宋体" w:hAnsi="宋体"/>
          <w:noProof/>
          <w:sz w:val="24"/>
        </w:rPr>
      </w:pPr>
      <w:r w:rsidRPr="00474CD9">
        <w:rPr>
          <w:rFonts w:ascii="宋体" w:hAnsi="宋体"/>
          <w:color w:val="000000"/>
          <w:position w:val="-4"/>
          <w:sz w:val="24"/>
          <w:szCs w:val="30"/>
        </w:rPr>
        <w:lastRenderedPageBreak/>
        <w:t>目</w:t>
      </w:r>
      <w:r w:rsidRPr="00474CD9">
        <w:rPr>
          <w:rFonts w:ascii="宋体" w:hAnsi="宋体"/>
          <w:color w:val="000000"/>
          <w:position w:val="-4"/>
          <w:sz w:val="24"/>
          <w:szCs w:val="30"/>
        </w:rPr>
        <w:tab/>
        <w:t>录</w:t>
      </w:r>
      <w:r w:rsidR="00474CD9" w:rsidRPr="00474CD9">
        <w:rPr>
          <w:rFonts w:ascii="宋体" w:hAnsi="宋体"/>
          <w:color w:val="000000"/>
          <w:position w:val="-4"/>
          <w:sz w:val="24"/>
          <w:szCs w:val="30"/>
        </w:rPr>
        <w:fldChar w:fldCharType="begin"/>
      </w:r>
      <w:r w:rsidR="00474CD9" w:rsidRPr="00474CD9">
        <w:rPr>
          <w:rFonts w:ascii="宋体" w:hAnsi="宋体"/>
          <w:color w:val="000000"/>
          <w:position w:val="-4"/>
          <w:sz w:val="24"/>
          <w:szCs w:val="30"/>
        </w:rPr>
        <w:instrText xml:space="preserve"> TOC \o "1-3" \f - \h \t "-1" </w:instrText>
      </w:r>
      <w:r w:rsidR="00474CD9" w:rsidRPr="00474CD9">
        <w:rPr>
          <w:rFonts w:ascii="宋体" w:hAnsi="宋体"/>
          <w:color w:val="000000"/>
          <w:position w:val="-4"/>
          <w:sz w:val="24"/>
          <w:szCs w:val="30"/>
        </w:rPr>
        <w:fldChar w:fldCharType="separate"/>
      </w:r>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2" w:history="1">
        <w:r w:rsidRPr="00474CD9">
          <w:rPr>
            <w:rStyle w:val="aa"/>
            <w:rFonts w:ascii="宋体" w:hAnsi="宋体" w:hint="eastAsia"/>
            <w:noProof/>
            <w:kern w:val="0"/>
            <w:sz w:val="24"/>
          </w:rPr>
          <w:t>重要提示</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_Toc240548832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3" w:history="1">
        <w:r w:rsidRPr="00474CD9">
          <w:rPr>
            <w:rStyle w:val="aa"/>
            <w:rFonts w:ascii="宋体" w:hAnsi="宋体" w:hint="eastAsia"/>
            <w:noProof/>
            <w:sz w:val="24"/>
          </w:rPr>
          <w:t>一、绪言</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_Toc240548833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4</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4" w:history="1">
        <w:r w:rsidRPr="00474CD9">
          <w:rPr>
            <w:rStyle w:val="aa"/>
            <w:rFonts w:ascii="宋体" w:hAnsi="宋体" w:hint="eastAsia"/>
            <w:noProof/>
            <w:sz w:val="24"/>
          </w:rPr>
          <w:t>二、释义</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_Toc240548834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5</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5" w:history="1">
        <w:r w:rsidRPr="00474CD9">
          <w:rPr>
            <w:rStyle w:val="aa"/>
            <w:rFonts w:ascii="宋体" w:hAnsi="宋体" w:hint="eastAsia"/>
            <w:noProof/>
            <w:sz w:val="24"/>
          </w:rPr>
          <w:t>三、基金管理人</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_Toc240548835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10</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6" w:history="1">
        <w:r w:rsidRPr="00474CD9">
          <w:rPr>
            <w:rStyle w:val="aa"/>
            <w:rFonts w:ascii="宋体" w:hAnsi="宋体" w:hint="eastAsia"/>
            <w:noProof/>
            <w:sz w:val="24"/>
          </w:rPr>
          <w:t>四、基金托管人</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_Toc240548836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18</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7" w:history="1">
        <w:r w:rsidRPr="00474CD9">
          <w:rPr>
            <w:rStyle w:val="aa"/>
            <w:rFonts w:ascii="宋体" w:hAnsi="宋体" w:hint="eastAsia"/>
            <w:noProof/>
            <w:sz w:val="24"/>
          </w:rPr>
          <w:t>五、相关服务机构</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_Toc240548837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22</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8" w:history="1">
        <w:r w:rsidRPr="00474CD9">
          <w:rPr>
            <w:rStyle w:val="aa"/>
            <w:rFonts w:ascii="宋体" w:hAnsi="宋体" w:hint="eastAsia"/>
            <w:noProof/>
            <w:sz w:val="24"/>
          </w:rPr>
          <w:t>六、基金的历史沿革</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_Toc240548838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52</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39" w:history="1">
        <w:r w:rsidRPr="00474CD9">
          <w:rPr>
            <w:rStyle w:val="aa"/>
            <w:rFonts w:ascii="宋体" w:hAnsi="宋体" w:hint="eastAsia"/>
            <w:noProof/>
            <w:sz w:val="24"/>
          </w:rPr>
          <w:t>七、基金合同的生效</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_Toc240548839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53</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0" w:history="1">
        <w:r w:rsidRPr="00474CD9">
          <w:rPr>
            <w:rStyle w:val="aa"/>
            <w:rFonts w:ascii="宋体" w:hAnsi="宋体" w:hint="eastAsia"/>
            <w:noProof/>
            <w:sz w:val="24"/>
          </w:rPr>
          <w:t>八、基金份额的申购与赎回</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_Toc240548840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54</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1" w:history="1">
        <w:r w:rsidRPr="00474CD9">
          <w:rPr>
            <w:rStyle w:val="aa"/>
            <w:rFonts w:ascii="宋体" w:hAnsi="宋体" w:hint="eastAsia"/>
            <w:noProof/>
            <w:sz w:val="24"/>
          </w:rPr>
          <w:t>九、基金的转换</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_Toc240548841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67</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2" w:history="1">
        <w:r w:rsidRPr="00474CD9">
          <w:rPr>
            <w:rStyle w:val="aa"/>
            <w:rFonts w:ascii="宋体" w:hAnsi="宋体" w:hint="eastAsia"/>
            <w:noProof/>
            <w:sz w:val="24"/>
          </w:rPr>
          <w:t>十、基金的投资</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_Toc240548842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74</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3" w:history="1">
        <w:r w:rsidRPr="00474CD9">
          <w:rPr>
            <w:rStyle w:val="aa"/>
            <w:rFonts w:ascii="宋体" w:hAnsi="宋体" w:hint="eastAsia"/>
            <w:noProof/>
            <w:sz w:val="24"/>
          </w:rPr>
          <w:t>十一、基金的业绩</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_Toc240548843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89</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4" w:history="1">
        <w:r w:rsidRPr="00474CD9">
          <w:rPr>
            <w:rStyle w:val="aa"/>
            <w:rFonts w:ascii="宋体" w:hAnsi="宋体" w:hint="eastAsia"/>
            <w:noProof/>
            <w:sz w:val="24"/>
          </w:rPr>
          <w:t>十二、基金的财产</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_Toc240548844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92</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5" w:history="1">
        <w:r w:rsidRPr="00474CD9">
          <w:rPr>
            <w:rStyle w:val="aa"/>
            <w:rFonts w:ascii="宋体" w:hAnsi="宋体" w:hint="eastAsia"/>
            <w:noProof/>
            <w:sz w:val="24"/>
          </w:rPr>
          <w:t>十三、基金资产的估值</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_Toc240548845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93</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6" w:history="1">
        <w:r w:rsidRPr="00474CD9">
          <w:rPr>
            <w:rStyle w:val="aa"/>
            <w:rFonts w:ascii="宋体" w:hAnsi="宋体" w:hint="eastAsia"/>
            <w:noProof/>
            <w:sz w:val="24"/>
          </w:rPr>
          <w:t>十四、基金收益与分配</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_Toc240548846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98</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7" w:history="1">
        <w:r w:rsidRPr="00474CD9">
          <w:rPr>
            <w:rStyle w:val="aa"/>
            <w:rFonts w:ascii="宋体" w:hAnsi="宋体" w:hint="eastAsia"/>
            <w:noProof/>
            <w:sz w:val="24"/>
          </w:rPr>
          <w:t>十五、基金的费用与税收</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_Toc240548847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100</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8" w:history="1">
        <w:r w:rsidRPr="00474CD9">
          <w:rPr>
            <w:rStyle w:val="aa"/>
            <w:rFonts w:ascii="宋体" w:hAnsi="宋体" w:hint="eastAsia"/>
            <w:noProof/>
            <w:sz w:val="24"/>
          </w:rPr>
          <w:t>十六、基金的会计与审计</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_Toc240548848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103</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49" w:history="1">
        <w:r w:rsidRPr="00474CD9">
          <w:rPr>
            <w:rStyle w:val="aa"/>
            <w:rFonts w:ascii="宋体" w:hAnsi="宋体" w:hint="eastAsia"/>
            <w:noProof/>
            <w:sz w:val="24"/>
          </w:rPr>
          <w:t>十七、基金的信息披露</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_Toc240548849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104</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0" w:history="1">
        <w:r w:rsidRPr="00474CD9">
          <w:rPr>
            <w:rStyle w:val="aa"/>
            <w:rFonts w:ascii="宋体" w:hAnsi="宋体" w:hint="eastAsia"/>
            <w:noProof/>
            <w:sz w:val="24"/>
          </w:rPr>
          <w:t>十八、风险揭示</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_Toc240548850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110</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1" w:history="1">
        <w:r w:rsidRPr="00474CD9">
          <w:rPr>
            <w:rStyle w:val="aa"/>
            <w:rFonts w:ascii="宋体" w:hAnsi="宋体" w:hint="eastAsia"/>
            <w:noProof/>
            <w:sz w:val="24"/>
          </w:rPr>
          <w:t>十九、基金合同的变更、终止与基金财产的清算</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_Toc240548851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117</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2" w:history="1">
        <w:r w:rsidRPr="00474CD9">
          <w:rPr>
            <w:rStyle w:val="aa"/>
            <w:rFonts w:ascii="宋体" w:hAnsi="宋体" w:hint="eastAsia"/>
            <w:noProof/>
            <w:sz w:val="24"/>
          </w:rPr>
          <w:t>二十、基金合同内容摘要</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_Toc240548852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119</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3" w:history="1">
        <w:r w:rsidRPr="00474CD9">
          <w:rPr>
            <w:rStyle w:val="aa"/>
            <w:rFonts w:ascii="宋体" w:hAnsi="宋体" w:hint="eastAsia"/>
            <w:noProof/>
            <w:sz w:val="24"/>
          </w:rPr>
          <w:t>二十一、托管协议的内容摘要</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_Toc240548853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135</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4" w:history="1">
        <w:r w:rsidRPr="00474CD9">
          <w:rPr>
            <w:rStyle w:val="aa"/>
            <w:rFonts w:ascii="宋体" w:hAnsi="宋体" w:hint="eastAsia"/>
            <w:noProof/>
            <w:sz w:val="24"/>
          </w:rPr>
          <w:t>二十二、对基金份额持有人的服务</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_Toc240548854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152</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5" w:history="1">
        <w:r w:rsidRPr="00474CD9">
          <w:rPr>
            <w:rStyle w:val="aa"/>
            <w:rFonts w:ascii="宋体" w:hAnsi="宋体" w:hint="eastAsia"/>
            <w:noProof/>
            <w:sz w:val="24"/>
          </w:rPr>
          <w:t>二十三、其他应披露事项</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_Toc240548855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154</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6" w:history="1">
        <w:r w:rsidRPr="00474CD9">
          <w:rPr>
            <w:rStyle w:val="aa"/>
            <w:rFonts w:ascii="宋体" w:hAnsi="宋体" w:hint="eastAsia"/>
            <w:noProof/>
            <w:sz w:val="24"/>
          </w:rPr>
          <w:t>二十四、招募说明书的存放及查阅方式</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_Toc240548856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156</w:t>
        </w:r>
        <w:r w:rsidRPr="00474CD9">
          <w:rPr>
            <w:rFonts w:ascii="宋体" w:hAnsi="宋体"/>
            <w:noProof/>
            <w:sz w:val="24"/>
          </w:rPr>
          <w:fldChar w:fldCharType="end"/>
        </w:r>
      </w:hyperlink>
    </w:p>
    <w:p w:rsidR="00474CD9" w:rsidRPr="00474CD9" w:rsidRDefault="00474CD9" w:rsidP="00474CD9">
      <w:pPr>
        <w:pStyle w:val="10"/>
        <w:tabs>
          <w:tab w:val="right" w:leader="dot" w:pos="8550"/>
        </w:tabs>
        <w:spacing w:line="360" w:lineRule="auto"/>
        <w:rPr>
          <w:rFonts w:ascii="宋体" w:hAnsi="宋体" w:cstheme="minorBidi"/>
          <w:noProof/>
          <w:sz w:val="24"/>
        </w:rPr>
      </w:pPr>
      <w:hyperlink w:anchor="_Toc240548857" w:history="1">
        <w:r w:rsidRPr="00474CD9">
          <w:rPr>
            <w:rStyle w:val="aa"/>
            <w:rFonts w:ascii="宋体" w:hAnsi="宋体" w:hint="eastAsia"/>
            <w:noProof/>
            <w:sz w:val="24"/>
          </w:rPr>
          <w:t>二十五、备查文件</w:t>
        </w:r>
        <w:r w:rsidRPr="00474CD9">
          <w:rPr>
            <w:rFonts w:ascii="宋体" w:hAnsi="宋体"/>
            <w:noProof/>
            <w:sz w:val="24"/>
          </w:rPr>
          <w:tab/>
        </w:r>
        <w:r w:rsidRPr="00474CD9">
          <w:rPr>
            <w:rFonts w:ascii="宋体" w:hAnsi="宋体"/>
            <w:noProof/>
            <w:sz w:val="24"/>
          </w:rPr>
          <w:fldChar w:fldCharType="begin"/>
        </w:r>
        <w:r w:rsidRPr="00474CD9">
          <w:rPr>
            <w:rFonts w:ascii="宋体" w:hAnsi="宋体"/>
            <w:noProof/>
            <w:sz w:val="24"/>
          </w:rPr>
          <w:instrText xml:space="preserve"> PAGEREF _Toc240548857 \h </w:instrText>
        </w:r>
        <w:r w:rsidRPr="00474CD9">
          <w:rPr>
            <w:rFonts w:ascii="宋体" w:hAnsi="宋体"/>
            <w:noProof/>
            <w:sz w:val="24"/>
          </w:rPr>
        </w:r>
        <w:r w:rsidRPr="00474CD9">
          <w:rPr>
            <w:rFonts w:ascii="宋体" w:hAnsi="宋体"/>
            <w:noProof/>
            <w:sz w:val="24"/>
          </w:rPr>
          <w:fldChar w:fldCharType="separate"/>
        </w:r>
        <w:r w:rsidRPr="00474CD9">
          <w:rPr>
            <w:rFonts w:ascii="宋体" w:hAnsi="宋体"/>
            <w:noProof/>
            <w:sz w:val="24"/>
          </w:rPr>
          <w:t>157</w:t>
        </w:r>
        <w:r w:rsidRPr="00474CD9">
          <w:rPr>
            <w:rFonts w:ascii="宋体" w:hAnsi="宋体"/>
            <w:noProof/>
            <w:sz w:val="24"/>
          </w:rPr>
          <w:fldChar w:fldCharType="end"/>
        </w:r>
      </w:hyperlink>
    </w:p>
    <w:p w:rsidR="00222881" w:rsidRPr="00474CD9" w:rsidRDefault="00474CD9" w:rsidP="00474CD9">
      <w:pPr>
        <w:pStyle w:val="ad"/>
        <w:snapToGrid w:val="0"/>
        <w:spacing w:after="240" w:line="360" w:lineRule="auto"/>
        <w:jc w:val="center"/>
        <w:rPr>
          <w:rFonts w:ascii="宋体" w:hAnsi="宋体"/>
          <w:color w:val="000000"/>
          <w:sz w:val="24"/>
        </w:rPr>
      </w:pPr>
      <w:r w:rsidRPr="00474CD9">
        <w:rPr>
          <w:rFonts w:ascii="宋体" w:hAnsi="宋体"/>
          <w:color w:val="000000"/>
          <w:position w:val="-4"/>
          <w:sz w:val="24"/>
          <w:szCs w:val="30"/>
        </w:rPr>
        <w:fldChar w:fldCharType="end"/>
      </w:r>
      <w:bookmarkStart w:id="3" w:name="_GoBack"/>
      <w:bookmarkEnd w:id="3"/>
    </w:p>
    <w:p w:rsidR="00222881" w:rsidRDefault="00222881">
      <w:pPr>
        <w:autoSpaceDE w:val="0"/>
        <w:autoSpaceDN w:val="0"/>
        <w:adjustRightInd w:val="0"/>
        <w:snapToGrid w:val="0"/>
        <w:spacing w:line="360" w:lineRule="auto"/>
        <w:ind w:left="120" w:rightChars="6" w:right="13"/>
        <w:rPr>
          <w:rFonts w:ascii="宋体" w:hAnsi="宋体"/>
          <w:kern w:val="0"/>
          <w:szCs w:val="24"/>
        </w:rPr>
        <w:sectPr w:rsidR="00222881">
          <w:pgSz w:w="11920" w:h="16840"/>
          <w:pgMar w:top="1480" w:right="1680" w:bottom="280" w:left="1680" w:header="0" w:footer="1073" w:gutter="0"/>
          <w:cols w:space="720"/>
        </w:sectPr>
      </w:pPr>
    </w:p>
    <w:p w:rsidR="00222881" w:rsidRDefault="00C53062">
      <w:pPr>
        <w:pStyle w:val="1"/>
        <w:snapToGrid w:val="0"/>
        <w:spacing w:beforeLines="0" w:before="240" w:after="240"/>
        <w:rPr>
          <w:rFonts w:ascii="宋体" w:hAnsi="宋体"/>
          <w:szCs w:val="30"/>
        </w:rPr>
      </w:pPr>
      <w:bookmarkStart w:id="4" w:name="_Toc240548833"/>
      <w:r>
        <w:rPr>
          <w:rFonts w:ascii="Times New Roman" w:hAnsi="Times New Roman"/>
          <w:sz w:val="30"/>
        </w:rPr>
        <w:lastRenderedPageBreak/>
        <w:t>一、绪言</w:t>
      </w:r>
      <w:bookmarkEnd w:id="4"/>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新回报灵活配置混合型证券投资基金基金合同》（以下简称“基金合同”）编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5" w:name="_Toc240548834"/>
      <w:r>
        <w:rPr>
          <w:rFonts w:ascii="Times New Roman" w:hAnsi="Times New Roman"/>
          <w:sz w:val="30"/>
        </w:rPr>
        <w:lastRenderedPageBreak/>
        <w:t>二、释义</w:t>
      </w:r>
      <w:bookmarkEnd w:id="5"/>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1、基金或本基金：指交银施罗德新回报灵活配置混合型证券投资基金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4、基金合同或《基金合同》：指《交银施罗德新回报灵活配置混合型证券投资基金基金合同》及对基金合同的任何有效修订和补充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5、托管协议：指基金管理人与基金托管人就本基金签订之《交银施罗德新回报灵活配置混合型证券投资基金托管协议》及对该托管协议的任何有效修订和补充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6、招募说明书、《招募说明书》或本招募说明书：指《交银施罗德新回报灵活配置混合型证券投资基金招募说明书》及其更新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7、基金份额发售公告：指《交银施罗德新回报灵活配置混合型证券投资基金基金份额发售公告》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8、基金产品资料概要：指《交银施罗德新回报灵活配置混合型证券投资基金基金产品资料概要》及其更新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w:t>
      </w:r>
      <w:r>
        <w:rPr>
          <w:rFonts w:ascii="宋体" w:hAnsi="宋体"/>
          <w:sz w:val="24"/>
        </w:rPr>
        <w:lastRenderedPageBreak/>
        <w:t>理的基金份额余额及其变动情况的账户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44、基金份额类别：本基金根据申购费用、赎回费用及销售服务费收取方式的不同，将基金份额分为不同的类别。两类基金份额分设不同的基金代码，并分别公布基金份额净值和基金资产净值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45、A类基金份额：指对投资者收取申购费用、赎回时收取赎回费用的，且不从本类别基金资产中计提销售服务费的基金份额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46、C类基金份额：指对投资者不收取申购费用、赎回时收取赎回费用的，且从本类别基金资产中计提销售服务费的基金份额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w:t>
      </w:r>
      <w:r>
        <w:rPr>
          <w:rFonts w:ascii="宋体" w:hAnsi="宋体"/>
          <w:sz w:val="24"/>
        </w:rPr>
        <w:lastRenderedPageBreak/>
        <w:t>及非公开发行股票、资产支持证券、因发行人债务违约无法进行转让或交易的债券等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6" w:name="_Toc240548835"/>
      <w:r>
        <w:rPr>
          <w:rFonts w:ascii="Times New Roman" w:hAnsi="Times New Roman"/>
          <w:sz w:val="30"/>
        </w:rPr>
        <w:lastRenderedPageBreak/>
        <w:t>三、基金管理人</w:t>
      </w:r>
      <w:bookmarkEnd w:id="6"/>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择回报灵活配置混合型证券投资基金(2020年07月09日至2024年12月07日)、交银施罗德优选回报灵活配置混合型证券投资基金(2020年07月09日至2024年12月03日)、交银施罗德稳进回报六个月持有期混合型证券投资基金(2023年02月01日至2025年03月15日)、交银施罗德稳悦回报债券型证券投资基金(2024年03月27日至2026年03月04日)的基金经理。现任交银施罗德新回报灵活配置混合型证券投资基金(2020年07月09日至今)、交银施罗德周期回报灵活配置混合型证券投资基金(2020年07月09日至今)、交银施罗德多策略回报灵活配置混合型证券投资基金(2020年07月09日至今)、交银施罗德恒益灵活配置混合型证券投资基金(2020年07月09日至今)、交银施罗德瑞鑫六个月持有期混合型证券投资基金(2020年07月09日至今)、交银施罗德臻选回报混合型证券投资基金(2020年12月23日至今)、交银施罗德启嘉混合型证券投资基金(2026年08月28日至今)的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湘怡女士:基金经理。武汉纺织大学会计学学士。16年证券投资行业从业经验，曾任中海基金管理有限公司交易员。2015年加入交银施罗德基金管理有限公司，历任中央交易室高级交易员、专户投资部投资经理、混合资产投资部投资经理、基金经理助理，现任混合资产投资部基金经理。曾任交银施罗德稳进回报六个月持有期混合型证券投资基金(2024年10月23日至2026年05月21日)的基金经理。现任交银施罗德稳悦回报债券型证券投资基金(2024年10月23日至今)、交银施罗德周期回报灵活配置混合型证券投资基金(2024年12月17日至今)、交银施罗德瑞鑫六个月持有期混合型证券投资基金(2024年12月26日至今)、交银施罗德新回报灵活配置</w:t>
      </w:r>
      <w:r>
        <w:rPr>
          <w:rFonts w:ascii="宋体" w:hAnsi="宋体"/>
          <w:sz w:val="24"/>
        </w:rPr>
        <w:lastRenderedPageBreak/>
        <w:t>混合型证券投资基金(2024年12月26日至今)、交银施罗德恒益灵活配置混合型证券投资基金(2024年12月26日至今)的基金经理。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项廷锋先生(2015年05月15日至2015年10月06日)；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李娜女士(2015年08月04日至2020年12月18日)；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（四）基金管理人的承诺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（2）有效性原则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w:t>
      </w:r>
      <w:r>
        <w:rPr>
          <w:rFonts w:ascii="宋体" w:hAnsi="宋体"/>
          <w:sz w:val="24"/>
        </w:rPr>
        <w:lastRenderedPageBreak/>
        <w:t>行检查、评价、报告、建议职能；定期和不定期地向董事会报告公司内部控制执行情况。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建立了风险评估机制，通过适合的程序，确认和评估与公司运作有关的风险；公司建立了自下而上的风险报告程序，对风险隐患进行层层汇报，使各个层次的人员及时掌握风险状况，从而以最快速度作出决策。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7" w:name="_Toc240548836"/>
      <w:r>
        <w:rPr>
          <w:rFonts w:ascii="Times New Roman" w:hAnsi="Times New Roman"/>
          <w:sz w:val="30"/>
        </w:rPr>
        <w:lastRenderedPageBreak/>
        <w:t>四、基金托管人</w:t>
      </w:r>
      <w:bookmarkEnd w:id="7"/>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8" w:name="_Toc240548837"/>
      <w:r>
        <w:rPr>
          <w:rFonts w:ascii="Times New Roman" w:hAnsi="Times New Roman"/>
          <w:sz w:val="30"/>
        </w:rPr>
        <w:lastRenderedPageBreak/>
        <w:t>五、相关服务机构</w:t>
      </w:r>
      <w:bookmarkEnd w:id="8"/>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本基金直销机构为基金管理人以及基金管理人的网上直销交易平台（包括网站及手机APP，下同）。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转换等业务、本基金C类基金份额的申购、赎回、转换等业务，具体交易细则请参阅基金管理人网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本基金A类基金份额除直销机构外的其他场外销售机构：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网址：http://www.jnbank.com.cn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（2）名称：华夏银行股份有限公司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（3）名称：北京银行股份有限公司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（4）名称：中国民生银行股份有限公司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（5）名称：东莞农村商业银行股份有限公司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联系人：林培珊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（8）名称：交通银行股份有限公司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（9）名称：招商银行股份有限公司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（11）名称：上海浦东发展银行股份有限公司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（12）名称：平安银行股份有限公司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电话：0755-22166574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（13）名称：中国银河证券股份有限公司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（15）名称：德邦证券股份有限公司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（16）名称：中信建投证券股份有限公司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（17）名称：东方财富证券股份有限公司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（18）名称：国信证券股份有限公司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电话：（0931）4890208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（20）名称：国新证券股份有限公司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（21）名称：西南证券股份有限公司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（22）名称：信达证券股份有限公司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（23）名称：国金证券股份有限公司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（24）名称：中国国际金融股份有限公司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（25）名称：江海证券有限公司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（26）名称：中泰证券股份有限公司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法定代表人：王洪</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（28）名称：国都证券股份有限公司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（31）名称：国联民生证券股份有限公司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（32）名称：广发证券股份有限公司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（33）名称：湘财证券股份有限公司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传真：（021）68865680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（34）名称：天风证券股份有限公司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（35）名称：华宝证券股份有限公司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（36）名称：华西证券股份有限公司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（37）名称：方正证券股份有限公司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（38）名称：山西证券股份有限公司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（39）名称：第一创业证券股份有限公司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（40）名称：华福证券股份有限公司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法定代表人：黄德良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（41）名称：华泰证券股份有限公司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（42）名称：中信证券（山东）有限责任公司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（44）名称：中信证券华南股份有限公司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（45）名称：国泰海通证券股份有限公司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（46）名称：海通证券股份有限公司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法定代表人：许欣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（48）名称：大连网金基金销售有限公司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（49）名称：阳光人寿保险股份有限公司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（50）名称：玄元保险代理有限公司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客户服务电话：400-080-8208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（52）名称：上海大智慧基金销售有限公司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（53）名称：珠海盈米基金销售有限公司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（54）名称：上海华夏财富投资管理有限公司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（60）名称：北京虹点基金销售有限公司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联系人：姜颖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（61）名称：上海挖财基金销售有限公司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（62）名称：万家财富基金销售（天津）有限公司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（63）名称：上海万得基金销售有限公司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www.520fund.com.cn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（64）名称：格上富信投资顾问有限公司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w:t>
      </w:r>
      <w:r>
        <w:rPr>
          <w:rFonts w:ascii="宋体" w:hAnsi="宋体"/>
          <w:sz w:val="24"/>
        </w:rPr>
        <w:lastRenderedPageBreak/>
        <w:t>新浪总部科研楼5层518室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（68）名称：中证金牛（北京）基金销售有限公司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（69）名称：上海证达通基金销售有限公司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（70）名称：北京创金启富基金销售有限公司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电话：010-66154828-8047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（71）名称：奕丰基金销售有限公司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（72）名称：上海天天基金销售有限公司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（73）名称：和讯信息科技有限公司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联系人：周轶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（74）名称：诺亚正行基金销售有限公司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（75）名称：上海好买基金销售有限公司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（76）名称：上海长量基金销售有限公司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（77）名称：深圳众禄基金销售股份有限公司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住所：深圳市罗湖区梨园路物资控股置地大厦8楼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（78）名称：天相投资顾问有限公司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（79）名称：上海基煜基金销售有限公司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（80）名称：浙江同花顺基金销售有限公司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（81）名称：宜信普泽（北京）基金销售有限公司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（82）名称：上海联泰基金销售有限公司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（83）名称：北京广源达信基金销售有限公司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联系人：赵明锦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（84）名称：深圳市新兰德证券投资咨询有限公司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（85）名称：北京展恒基金销售股份有限公司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（86）名称：泛华普益基金销售有限公司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（87）名称：和耕传承基金销售有限公司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（88）名称：腾安基金销售（深圳）有限公司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（89）名称：中国人寿保险股份有限公司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（90）名称：济安财富（北京）基金销售有限公司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（91）名称：中信百信银行股份有限公司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（92）名称：博时财富基金销售有限公司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（93）名称：深圳前海微众银行股份有限公司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客户服务电话：95384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（94）名称：上海陆金所基金销售有限公司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（95）名称：中信期货有限公司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（96）名称：蚂蚁（杭州）基金销售有限公司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9" w:name="_Toc240548838"/>
      <w:r>
        <w:rPr>
          <w:rFonts w:ascii="Times New Roman" w:hAnsi="Times New Roman"/>
          <w:sz w:val="30"/>
        </w:rPr>
        <w:lastRenderedPageBreak/>
        <w:t>六、基金的历史沿革</w:t>
      </w:r>
      <w:bookmarkEnd w:id="9"/>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[4]月[21]日证监许可[2015]678号文准予募集注册。基金管理人为交银施罗德基金管理有限公司，基金托管人为中信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本基金为契约型开放式混合型证券投资基金。基金存续期间为不定期。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本基金于2015年5月12日进行发售。本基金设立募集期共募集8,747,076,426.25份基金份额，有效认购户数为2,378户。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新回报灵活配置混合型证券投资基金基金合同》的有关规定，经与基金托管人协商一致并报中国证券监督管理委员会备案，本基金自2015年11月19日起增加收取销售服务费的C类基金份额，并相应修改基金合同和托管协议相关表述。</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0" w:name="_Toc240548839"/>
      <w:r>
        <w:rPr>
          <w:rFonts w:ascii="Times New Roman" w:hAnsi="Times New Roman"/>
          <w:sz w:val="30"/>
        </w:rPr>
        <w:lastRenderedPageBreak/>
        <w:t>七、基金合同的生效</w:t>
      </w:r>
      <w:bookmarkEnd w:id="10"/>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根据有关规定，本基金满足基金合同生效条件，基金合同已于2015年5月15日正式生效。自基金合同生效之日起，本基金管理人正式开始管理本基金。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1" w:name="_Toc240548840"/>
      <w:r>
        <w:rPr>
          <w:rFonts w:ascii="Times New Roman" w:hAnsi="Times New Roman"/>
          <w:sz w:val="30"/>
        </w:rPr>
        <w:lastRenderedPageBreak/>
        <w:t>八、基金份额的申购与赎回</w:t>
      </w:r>
      <w:bookmarkEnd w:id="11"/>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转换等业务以及本基金C类基金份额的申购、赎回、转换等业务，具体交易细则请参阅基金管理人网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如有其他销售机构新增办理本基金的申购赎回等业务，请以本公司届时相关公告为准。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本基金A类、C类基金份额已分别于2015年7月9日、2015年11月19日起开放申购业务。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本基金A类、C类基金份额已分别于2015年7月9日、2015年11月19日起开放赎回业务。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w:t>
      </w:r>
      <w:r>
        <w:rPr>
          <w:rFonts w:ascii="宋体" w:hAnsi="宋体"/>
          <w:sz w:val="24"/>
        </w:rPr>
        <w:lastRenderedPageBreak/>
        <w:t>份额时，申购生效。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本基金基金份额分为A类和C类基金份额，投资人申购A类基金份额在申购时支付申购费用，申购C类基金份额不支付申购费用，而是从该类别基金资产中计提销售服务费。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本基金A类基金份额的申购费用由基金申购人承担，不列入基金财产，主要用于本基金的市场推广、销售、登记等各项费用。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2288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因红利自动再投资而产生的A类基金份额，不收取相应的申购费用。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也将发布临时公告将其纳入养老金客户范围，并按规定向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2288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2288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w:t>
            </w:r>
            <w:r>
              <w:rPr>
                <w:rFonts w:ascii="Times New Roman" w:hAnsi="Times New Roman"/>
                <w:color w:val="000000"/>
                <w:kern w:val="0"/>
                <w:sz w:val="25"/>
                <w:szCs w:val="24"/>
              </w:rPr>
              <w:lastRenderedPageBreak/>
              <w:t>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其余用于支付登记费和其他必要的手续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2288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2288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22881" w:rsidRDefault="0022288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（1）本基金A类基金份额申购的有效份额为净申购金额除以当日的A类基金份额净值，有效份额单位为份，申购有效份额的计算按四舍五入方法，保留到小数点</w:t>
      </w:r>
      <w:r>
        <w:rPr>
          <w:rFonts w:ascii="宋体" w:hAnsi="宋体"/>
          <w:sz w:val="24"/>
        </w:rPr>
        <w:lastRenderedPageBreak/>
        <w:t>后两位，由此产生的收益或损失由基金财产承担。本基金C类基金份额不收取申购费用，申购的有效份额为申购金额除以当日的C类基金份额净值，有效份额单位为份，申购份额计算结果按四舍五入方法，保留到小数点后2位，由此产生的收益或损失由基金财产承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例一：某投资者（非养老金客户）投资40,000元申购本基金的A类基金份额，假设申购当日A类基金份额净值为1.0400元，申购费率为1.5%，则其可得到的申购份额为：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即：某投资者（非养老金客户）投资40,000元申购本基金的A类基金份额，假设申购当日A类基金份额净值为1.0400元，则其可得到37,893.14份A类基金份额。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例二：某养老金客户投资100,000元通过基金管理人的直销柜台申购本基金的A类基金份额，假设申购当日A类基金份额净值为1.0400元，申购费率为0.6%，则其可得到的申购份额为：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申购费用=100,000-99403.58=596.42元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即：该养老金客户投资100,000元通过基金管理人的直销柜台申购本基金的A类基金份额，假设申购当日A类基金份额净值为1.0400元，则其可得到95,580.37份A类基金份额。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如果投资者选择申购本基金C类基金份额，则申购份额的计算方法如下：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赎回金额为按实际确认的有效赎回份额乘以当日A类基金份额净值并扣除相应的费用，赎回金额单位为元，计算结果保留到小数点后两位，第三位四舍五入。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例四：某投资者赎回持有的10,000份A类基金份额，对应的赎回费率为0.5%，假设赎回当日A类基金份额净值是1.0160元，则其可得到的赎回金额为：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例五：某投资者赎回持有的10,000份C类基金份额，对应的赎回费率为0.5%，假设赎回当日C类基金份额净值是1.0160元，则其可得到的赎回金额为：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即：投资者赎回本基金10,000份C类基金份额，对应的赎回费率为0.5%，假设赎回当日C类基金份额净值是1.0160元，则其可得到的赎回金额为10,109.20元。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A类基金份额和C类基金份额的基金份额净值在当天收市后计算，并在T＋1日（包括该日）内公告。遇特殊情况，经中国证监会同意，可以适当延迟计算或公告。本基金各类基金份额净值的计算，保留到小数点后4位，小数点后第5位四舍五入，由此误差产生的收益或损失由基金财产承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7、当前一估值日基金资产净值50%以上的资产出现无可参考的活跃市场价格且采用估值技术仍导致公允价值存在重大不确定性时，经与基金托管人协商确认后，基金管理人应当暂停接受基金申购申请。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5、基金管理人、基金托管人、基金销售机构、基金销售支付结算机构或登记机构的异常情况导致基金销售系统、基金销售支付结算系统、基金注册登记系统或基金会计系统无法正常运行。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6、基金管理人认为继续接受赎回申请将损害现有基金份额持有人利益的情形时，可暂停接受投资人的赎回申请。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w:t>
      </w:r>
      <w:r>
        <w:rPr>
          <w:rFonts w:ascii="宋体" w:hAnsi="宋体"/>
          <w:sz w:val="24"/>
        </w:rPr>
        <w:lastRenderedPageBreak/>
        <w:t>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w:t>
      </w:r>
      <w:r>
        <w:rPr>
          <w:rFonts w:ascii="宋体" w:hAnsi="宋体"/>
          <w:sz w:val="24"/>
        </w:rPr>
        <w:lastRenderedPageBreak/>
        <w:t>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2、暂停结束，基金重新开放申购或赎回时，基金管理人应依照《信息披露办法》的有关规定，不迟于重新开放日，在指定媒介上刊登基金重新开放申购或赎回公告，并公布最近一个开放日的A/C类基金份额净值。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（十四）定期定额投资计划</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2015年7月13日刊登公告自2015年7月14日起开通本基金A类基金份额的定期定额投资计划业务，具体开通销售机构名单和业务规则参见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2" w:name="_Toc240548841"/>
      <w:r>
        <w:rPr>
          <w:rFonts w:ascii="Times New Roman" w:hAnsi="Times New Roman"/>
          <w:sz w:val="30"/>
        </w:rPr>
        <w:lastRenderedPageBreak/>
        <w:t>九、基金的转换</w:t>
      </w:r>
      <w:bookmarkEnd w:id="12"/>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本基金2015年7月21日刊登公告自2015年7月22日起开放A类基金份额的日常转换业务。本基金2022年1月11日刊登公告自2022年1月12日起开放C类基金份额的日常转换业务。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除非基金管理人在未来条件成熟后另行公告开通相关业务，本基金不同基金份额类别之间不得互相转换。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代理的同一基金管理人管理的、在同一注册登记机构处注册登记的基金。投资人办理基金转换业务时，转出方的基金必须处于可赎回状态，转入方的基金必须处于可申购状态。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3" w:name="_Toc240548842"/>
      <w:r>
        <w:rPr>
          <w:rFonts w:ascii="Times New Roman" w:hAnsi="Times New Roman"/>
          <w:sz w:val="30"/>
        </w:rPr>
        <w:lastRenderedPageBreak/>
        <w:t>十、基金的投资</w:t>
      </w:r>
      <w:bookmarkEnd w:id="13"/>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w:t>
      </w:r>
      <w:r>
        <w:rPr>
          <w:rFonts w:ascii="宋体" w:hAnsi="宋体"/>
          <w:sz w:val="24"/>
        </w:rPr>
        <w:lastRenderedPageBreak/>
        <w:t>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w:t>
      </w:r>
      <w:r>
        <w:rPr>
          <w:rFonts w:ascii="宋体" w:hAnsi="宋体"/>
          <w:sz w:val="24"/>
        </w:rPr>
        <w:lastRenderedPageBreak/>
        <w:t>以实现在一定程度上规避股票市场的系统性风险和保证基金资产的流动性。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w:t>
      </w:r>
      <w:r>
        <w:rPr>
          <w:rFonts w:ascii="宋体" w:hAnsi="宋体"/>
          <w:sz w:val="24"/>
        </w:rPr>
        <w:lastRenderedPageBreak/>
        <w:t>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相关事宜。基金管理人应制订严格的投资决策流程和风险控制制度，防范流动性风险、法律风险和操作风险等各种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（23）法律法规及中国证监会规定的和《基金合同》约定的其他投资限制。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（五）业绩比较基准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本基金业绩比较基准：中债-综合全价（总值）指数收益率×80%+沪深300指数收益率×20%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股票等资产，相应选取与之匹配的债券指数、股票指数作为基准要素。同时基于基金投资股票资产（含存托凭证）占基金资产的比例为0%-95%等投资比例限制，以及预期的资产配置比例，本基金将债券资产与股票资产所对应的基准要素权重分别设置为80%与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总值）指数作为债券部分的业绩比较基准要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总值）指数其样本债券涵盖的范围全面，具有广泛的市场代表性，涵盖主要交易市场（银行间市场、交易所市场等）、不同发行主体（政府、企业等）和期限（长期、中期、短期等），反映境内人民币债券市场整体表现，适合作为本基金债券部分的业绩比较基准要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中债-综合全价（总值）指数由中债金融估值中心有限公司编制发布，指数代码为CBA00203，指数具体信息详见中国债券信息网，网址：www.chinabond.com.cn。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综合全价（总值）指数、沪深300指数的每日收益率，再按照预设权重比例计算当日组合要素基准的日收益率，并连乘每日收益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跟踪误差、信息比率、资产配置比例、久期中枢等，以更好管理基金实际投资与业绩比较基准的偏离情况，从而力争在控制风险的基础上追求超越业绩比较基准的投资回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（2）调整业绩比较基准的要素权重、更换相同或相近特征的要素等，使新业绩比较基准代表性更强，且符合相关法律法规规定的；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（八）基金的融资融券、转融通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转融通。待基金参与融资融券和转融通业务的相关规定颁布后，基金管理人可以在不改变本基金既有投资策略和风险收益特征并在控制风险的前提下，参与融资融券业务以及通过证券金融公司办理转融通业务，以提高投资效率及进行风险管理。届时基金参与融资融券、转融通等业务的风险控制原则、具体参与比例限制、费用收支、信息披露、估值方法及其他相关事项按照中国证监会的规定及其他相关法律法规的要求执行，无需召开基金份额持有人大会决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（九）基金投资组合报告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22,564,000.00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5.19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7,898,414.97</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1.82</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16,040,339.12</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3.69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435,145,847.64</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2,708,375.00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2,858,439.00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8,403,012.86</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1.95</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651,480.00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5,881,274.00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1.36</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20,502,580.86</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4.75</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600919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江苏银行</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233,800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2,553,096.00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2,237,052.00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中国船舶</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55,400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1,708,536.00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24,600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1,513,638.00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601318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1,510,348.00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600028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中国石化</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213,000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1,252,440.00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601088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中国神华</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22,100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1,033,175.00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688552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航天南湖</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20,438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875,563.92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15,500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855,910.00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600737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中粮糖业</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55,300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780,836.00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25,237,739.73</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5.84</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17,149,651.23</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17,149,651.23</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35,003,466.30</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8.10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290,749,655.43</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67.31</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368,140,512.69</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85.22</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102581773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黔晟国资</w:t>
            </w:r>
            <w:r>
              <w:rPr>
                <w:rFonts w:ascii="Times New Roman" w:hAnsi="Times New Roman"/>
                <w:color w:val="000000"/>
                <w:kern w:val="0"/>
                <w:sz w:val="25"/>
                <w:szCs w:val="24"/>
              </w:rPr>
              <w:t>MTN001A</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30,811,236.16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7.13</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25,237,739.73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5.84</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102582212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苏州园林</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20,482,394.52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4.74</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102582199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徐州经开</w:t>
            </w:r>
            <w:r>
              <w:rPr>
                <w:rFonts w:ascii="Times New Roman" w:hAnsi="Times New Roman"/>
                <w:color w:val="000000"/>
                <w:kern w:val="0"/>
                <w:sz w:val="25"/>
                <w:szCs w:val="24"/>
              </w:rPr>
              <w:t>MTN006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20,405,150.68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4.72</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102582284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绍兴交投</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20,369,719.45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4.72</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 本基金投资股指期货的投资政策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47,843.50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15,977,355.78</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15,139.84</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right"/>
              <w:rPr>
                <w:rFonts w:ascii="宋体" w:hAnsi="宋体"/>
                <w:color w:val="000000"/>
                <w:kern w:val="0"/>
                <w:sz w:val="25"/>
                <w:szCs w:val="24"/>
              </w:rPr>
            </w:pPr>
            <w:r>
              <w:rPr>
                <w:rFonts w:ascii="Times New Roman" w:hAnsi="Times New Roman"/>
                <w:color w:val="000000"/>
                <w:kern w:val="0"/>
                <w:sz w:val="25"/>
                <w:szCs w:val="24"/>
              </w:rPr>
              <w:t>16,040,339.12</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22881" w:rsidRDefault="00C53062">
      <w:pPr>
        <w:pStyle w:val="1"/>
        <w:snapToGrid w:val="0"/>
        <w:spacing w:beforeLines="0" w:before="240" w:after="240"/>
        <w:rPr>
          <w:rFonts w:ascii="宋体" w:hAnsi="宋体"/>
          <w:szCs w:val="30"/>
        </w:rPr>
      </w:pPr>
      <w:bookmarkStart w:id="14" w:name="_Toc240548843"/>
      <w:r>
        <w:rPr>
          <w:rFonts w:ascii="Times New Roman" w:hAnsi="Times New Roman"/>
          <w:sz w:val="30"/>
        </w:rPr>
        <w:lastRenderedPageBreak/>
        <w:t>十一、基金的业绩</w:t>
      </w:r>
      <w:bookmarkEnd w:id="14"/>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-4.74%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-8.15%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4.72%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8.02%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7.57%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8.78%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14.47%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9.49%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-8.50%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13.06%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9.75%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7.95%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2.60%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-8.38%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10.98%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（2）交银新回报灵活配置混合C：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-4.87%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-8.20%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4.67%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-2.93%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7.87%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7.53%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14.33%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9.72%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-8.27%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257.66%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15.86%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268.68%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15.20%</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9.68%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6.68%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22288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bl>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22881" w:rsidRDefault="00C5306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交银施罗德新回报灵活配置混合型证券投资基金</w:t>
      </w:r>
    </w:p>
    <w:p w:rsidR="00222881" w:rsidRDefault="00C5306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222881" w:rsidRDefault="00C5306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（2015年5月15日至2026年03月31日）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（1）交银新回报灵活配置混合A</w:t>
      </w:r>
    </w:p>
    <w:p w:rsidR="00222881" w:rsidRDefault="00474CD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（2）交银新回报灵活配置混合C</w:t>
      </w:r>
    </w:p>
    <w:p w:rsidR="00222881" w:rsidRDefault="00474CD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2、本基金自2015年11月19日起，开始销售C类份额，投资者提交的申购申请于2015年11月20日被确认并将有效份额登记在册。</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5" w:name="_Toc240548844"/>
      <w:r>
        <w:rPr>
          <w:rFonts w:ascii="Times New Roman" w:hAnsi="Times New Roman"/>
          <w:sz w:val="30"/>
        </w:rPr>
        <w:lastRenderedPageBreak/>
        <w:t>十二、基金的财产</w:t>
      </w:r>
      <w:bookmarkEnd w:id="15"/>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6" w:name="_Toc240548845"/>
      <w:r>
        <w:rPr>
          <w:rFonts w:ascii="Times New Roman" w:hAnsi="Times New Roman"/>
          <w:sz w:val="30"/>
        </w:rPr>
        <w:lastRenderedPageBreak/>
        <w:t>十三、基金资产的估值</w:t>
      </w:r>
      <w:bookmarkEnd w:id="16"/>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w:t>
      </w:r>
      <w:r>
        <w:rPr>
          <w:rFonts w:ascii="宋体" w:hAnsi="宋体"/>
          <w:sz w:val="24"/>
        </w:rPr>
        <w:lastRenderedPageBreak/>
        <w:t>但基金管理人、基金托管人应积极采取必要的措施减轻或消除由此造成的影响。</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7" w:name="_Toc240548846"/>
      <w:r>
        <w:rPr>
          <w:rFonts w:ascii="Times New Roman" w:hAnsi="Times New Roman"/>
          <w:sz w:val="30"/>
        </w:rPr>
        <w:lastRenderedPageBreak/>
        <w:t>十四、基金收益与分配</w:t>
      </w:r>
      <w:bookmarkEnd w:id="17"/>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8" w:name="_Toc240548847"/>
      <w:r>
        <w:rPr>
          <w:rFonts w:ascii="Times New Roman" w:hAnsi="Times New Roman"/>
          <w:sz w:val="30"/>
        </w:rPr>
        <w:lastRenderedPageBreak/>
        <w:t>十五、基金的费用与税收</w:t>
      </w:r>
      <w:bookmarkEnd w:id="18"/>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本基金的管理费按前一日基金资产净值的0.8%年费率计提。管理费的计算方法如下：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19" w:name="_Toc240548848"/>
      <w:r>
        <w:rPr>
          <w:rFonts w:ascii="Times New Roman" w:hAnsi="Times New Roman"/>
          <w:sz w:val="30"/>
        </w:rPr>
        <w:lastRenderedPageBreak/>
        <w:t>十六、基金的会计与审计</w:t>
      </w:r>
      <w:bookmarkEnd w:id="19"/>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0" w:name="_Toc240548849"/>
      <w:r>
        <w:rPr>
          <w:rFonts w:ascii="Times New Roman" w:hAnsi="Times New Roman"/>
          <w:sz w:val="30"/>
        </w:rPr>
        <w:lastRenderedPageBreak/>
        <w:t>十七、基金的信息披露</w:t>
      </w:r>
      <w:bookmarkEnd w:id="20"/>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（六）信息披露事务管理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1" w:name="_Toc240548850"/>
      <w:r>
        <w:rPr>
          <w:rFonts w:ascii="Times New Roman" w:hAnsi="Times New Roman"/>
          <w:sz w:val="30"/>
        </w:rPr>
        <w:lastRenderedPageBreak/>
        <w:t>十八、风险揭示</w:t>
      </w:r>
      <w:bookmarkEnd w:id="21"/>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（六）投资股指期货的特定风险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连续六十个工作日出现基金份额持有人数量不满200人或者基金资产净值低于5000万元情形的，基金管理人将提前终止基金合同，不需召开基金份额持有人大会。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2" w:name="_Toc240548851"/>
      <w:r>
        <w:rPr>
          <w:rFonts w:ascii="Times New Roman" w:hAnsi="Times New Roman"/>
          <w:sz w:val="30"/>
        </w:rPr>
        <w:lastRenderedPageBreak/>
        <w:t>十九、基金合同的变更、终止与基金财产的清算</w:t>
      </w:r>
      <w:bookmarkEnd w:id="22"/>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3" w:name="_Toc240548852"/>
      <w:r>
        <w:rPr>
          <w:rFonts w:ascii="Times New Roman" w:hAnsi="Times New Roman"/>
          <w:sz w:val="30"/>
        </w:rPr>
        <w:lastRenderedPageBreak/>
        <w:t>二十、基金合同内容摘要</w:t>
      </w:r>
      <w:bookmarkEnd w:id="23"/>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13）在法律法规允许的前提下，为基金的利益依法为基金进行融资、融券及转融通；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w:t>
      </w:r>
      <w:r>
        <w:rPr>
          <w:rFonts w:ascii="宋体" w:hAnsi="宋体"/>
          <w:sz w:val="24"/>
        </w:rPr>
        <w:lastRenderedPageBreak/>
        <w:t>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本基金份额持有人大会不设日常机构。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3）在法律法规和《基金合同》规定的范围内调整本基金的申购费率、调低赎回费率、在对现有基金份额持有人利益无实质性不利影响的前提下变更或增加收费方式、调整基金份额类别；</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（3）基金合同生效后的存续期内，若基金份额持有人数量连续60个工作日达不到200人或基金资产净值连续60个工作日低于5000万元，本基金管理人将提前终止本基金合同，不需召开基金份额持有人大会。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w:t>
      </w:r>
      <w:r>
        <w:rPr>
          <w:rFonts w:ascii="宋体" w:hAnsi="宋体"/>
          <w:sz w:val="24"/>
        </w:rPr>
        <w:lastRenderedPageBreak/>
        <w:t>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或变更的，基金管理人提前公告后，可直接对本部分内容进行修改和调整，无需召开基金份额持有人大会审议。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w:t>
      </w:r>
      <w:r>
        <w:rPr>
          <w:rFonts w:ascii="宋体" w:hAnsi="宋体"/>
          <w:sz w:val="24"/>
        </w:rPr>
        <w:lastRenderedPageBreak/>
        <w:t>点为北京市。仲裁裁决是终局的，对各方当事人均有约束力，除非仲裁裁决另有规定，仲裁费用、律师费由败诉方承担。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4" w:name="_Toc240548853"/>
      <w:r>
        <w:rPr>
          <w:rFonts w:ascii="Times New Roman" w:hAnsi="Times New Roman"/>
          <w:sz w:val="30"/>
        </w:rPr>
        <w:lastRenderedPageBreak/>
        <w:t>二十一、托管协议的内容摘要</w:t>
      </w:r>
      <w:bookmarkEnd w:id="24"/>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3）本基金持有一家公司发行的证券，其市值不超过基金资产净值的10%；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w:t>
      </w:r>
      <w:r>
        <w:rPr>
          <w:rFonts w:ascii="宋体" w:hAnsi="宋体"/>
          <w:sz w:val="24"/>
        </w:rPr>
        <w:lastRenderedPageBreak/>
        <w:t>股票总市值的20%；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相关事宜。基金管理人应制订严格的投资决策流程和风险控制制度，防范流动性风险、法律风险和操作风险等各种风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除上述第2）、12）、15）项第f）目、20）、21）项外，因证券、期货市场波动、证券发行人合并、基金规模变动、股权分置改革中支付对价等基金管理人之外</w:t>
      </w:r>
      <w:r>
        <w:rPr>
          <w:rFonts w:ascii="宋体" w:hAnsi="宋体"/>
          <w:sz w:val="24"/>
        </w:rPr>
        <w:lastRenderedPageBreak/>
        <w:t>的因素致使基金投资比例不符合上述规定投资比例的，基金管理人应当在10个交易日内进行调整，但中国证监会规定的特殊情形除外。法律法规另有规定的，从其规定。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6）从事内幕交易、操纵证券价格及其他不正当的证券交易活动；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w:t>
      </w:r>
      <w:r>
        <w:rPr>
          <w:rFonts w:ascii="宋体" w:hAnsi="宋体"/>
          <w:sz w:val="24"/>
        </w:rPr>
        <w:lastRenderedPageBreak/>
        <w:t>承担任何损失和责任。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w:t>
      </w:r>
      <w:r>
        <w:rPr>
          <w:rFonts w:ascii="宋体" w:hAnsi="宋体"/>
          <w:sz w:val="24"/>
        </w:rPr>
        <w:lastRenderedPageBreak/>
        <w:t>锁定期的可交易证券,不包括由于发布重大消息或其他原因而临时停牌的证券、已发行未上市证券、回购交易中的质押券等流通受限证券。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w:t>
      </w:r>
      <w:r>
        <w:rPr>
          <w:rFonts w:ascii="宋体" w:hAnsi="宋体"/>
          <w:sz w:val="24"/>
        </w:rPr>
        <w:lastRenderedPageBreak/>
        <w:t>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w:t>
      </w:r>
      <w:r>
        <w:rPr>
          <w:rFonts w:ascii="宋体" w:hAnsi="宋体"/>
          <w:sz w:val="24"/>
        </w:rPr>
        <w:lastRenderedPageBreak/>
        <w:t>净值计算、基金份额净值计算、应收资金到账、基金费用开支及收入确定、基金收益分配、相关信息披露、基金宣传推介材料中登载基金业绩表现数据等进行监督和核查。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基金资产净值和基金份额净值、根据基金管理人指令办理清算交收、相关信息披露和监督基金投资运作等行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2、募集募集期间及募集资金的验资</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（1）基金募集期间募集认购款项应存于基金认购专用账户，该账户由基金管理人或基金管理人委托的登记机构开立并管理。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w:t>
      </w:r>
      <w:r>
        <w:rPr>
          <w:rFonts w:ascii="宋体" w:hAnsi="宋体"/>
          <w:sz w:val="24"/>
        </w:rPr>
        <w:lastRenderedPageBreak/>
        <w:t>的名义在中央国债登记结算有限责任公司开设银行间债券市场债券托管账户，并由基金托管人负责本基金的债券的后台匹配及资金的清算。</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w:t>
      </w:r>
      <w:r>
        <w:rPr>
          <w:rFonts w:ascii="宋体" w:hAnsi="宋体"/>
          <w:sz w:val="24"/>
        </w:rPr>
        <w:lastRenderedPageBreak/>
        <w:t>照每个工作日闭市后，基金资产净值除以当日基金份额的余额数量计算，精确到0.0001元，小数点后第五位四舍五入。国家另有规定的，从其规定。</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5）本基金投资存托凭证的估值核算依照境内上市交易的股票执行。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或国家会计政策变更、市场规则变更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w:t>
      </w:r>
      <w:r>
        <w:rPr>
          <w:rFonts w:ascii="宋体" w:hAnsi="宋体"/>
          <w:sz w:val="24"/>
        </w:rPr>
        <w:lastRenderedPageBreak/>
        <w:t>基金托管人不负赔偿责任。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（1）基金财务报表由基金管理人和基金托管人每月分别独立编制。月度报表的编制，应于每月终了后5个工作日内完成。</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w:t>
      </w:r>
      <w:r>
        <w:rPr>
          <w:rFonts w:ascii="宋体" w:hAnsi="宋体"/>
          <w:sz w:val="24"/>
        </w:rPr>
        <w:lastRenderedPageBreak/>
        <w:t>复核过程中，发现双方的报表存在不符时，基金管理人和基金托管人应共同查明原因，进行调整，调整以国家有关规定为准。</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 50%以上的资产出现无可参考的活跃市场价格且采用估值技术仍导致公允价值存在重大不确定性时，经与基金托管人协商确认后，基金管理人应当暂停估值；</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（七）争议解决方式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5" w:name="_Toc240548854"/>
      <w:r>
        <w:rPr>
          <w:rFonts w:ascii="Times New Roman" w:hAnsi="Times New Roman"/>
          <w:sz w:val="30"/>
        </w:rPr>
        <w:lastRenderedPageBreak/>
        <w:t>二十二、对基金份额持有人的服务</w:t>
      </w:r>
      <w:bookmarkEnd w:id="25"/>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定期定额投资和转换等业务以及本基金C类基金份额的申购、赎回和转换等业务。通过网上直销交易平台办理本基金A类基金份额申购和定期定额投资业务的个人投资者将享受A类基金份额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本基金已开通基金份额的定期定额投资业务，具体实施方法请参见相关公告。</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服务联系方式：本基金管理人的互联网地址及电子信箱</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6" w:name="_Toc240548855"/>
      <w:r>
        <w:rPr>
          <w:rFonts w:ascii="Times New Roman" w:hAnsi="Times New Roman"/>
          <w:sz w:val="30"/>
        </w:rPr>
        <w:lastRenderedPageBreak/>
        <w:t>二十三、其他应披露事项</w:t>
      </w:r>
      <w:bookmarkEnd w:id="26"/>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2288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22881" w:rsidRDefault="00C530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7" w:name="_Toc240548856"/>
      <w:r>
        <w:rPr>
          <w:rFonts w:ascii="Times New Roman" w:hAnsi="Times New Roman"/>
          <w:sz w:val="30"/>
        </w:rPr>
        <w:lastRenderedPageBreak/>
        <w:t>二十四、招募说明书的存放及查阅方式</w:t>
      </w:r>
      <w:bookmarkEnd w:id="27"/>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C5306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22881" w:rsidRDefault="00C53062">
      <w:pPr>
        <w:pStyle w:val="1"/>
        <w:snapToGrid w:val="0"/>
        <w:spacing w:beforeLines="0" w:before="240" w:after="240"/>
        <w:rPr>
          <w:rFonts w:ascii="宋体" w:hAnsi="宋体"/>
          <w:szCs w:val="30"/>
        </w:rPr>
      </w:pPr>
      <w:bookmarkStart w:id="28" w:name="_Toc240548857"/>
      <w:r>
        <w:rPr>
          <w:rFonts w:ascii="Times New Roman" w:hAnsi="Times New Roman"/>
          <w:sz w:val="30"/>
        </w:rPr>
        <w:lastRenderedPageBreak/>
        <w:t>二十五、备查文件</w:t>
      </w:r>
      <w:bookmarkEnd w:id="28"/>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（一）中国证监会准予交银施罗德新回报灵活配置混合型证券投资基金募集注册的文件</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（二）《交银施罗德新回报灵活配置混合型证券投资基金基金合同》</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（三）《交银施罗德新回报灵活配置混合型证券投资基金托管协议》</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22881" w:rsidRDefault="00C5306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（六）关于申请募集注册交银施罗德新回报灵活配置混合型证券投资基金的法律意见书</w:t>
      </w:r>
    </w:p>
    <w:sectPr w:rsidR="00222881">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BF5" w:rsidRDefault="00C53062">
      <w:r>
        <w:separator/>
      </w:r>
    </w:p>
  </w:endnote>
  <w:endnote w:type="continuationSeparator" w:id="0">
    <w:p w:rsidR="004F2BF5" w:rsidRDefault="00C53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22288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474CD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22881" w:rsidRDefault="00C5306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4CD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22288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474CD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22881" w:rsidRDefault="00C5306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4CD9">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BF5" w:rsidRDefault="00C53062">
      <w:r>
        <w:separator/>
      </w:r>
    </w:p>
  </w:footnote>
  <w:footnote w:type="continuationSeparator" w:id="0">
    <w:p w:rsidR="004F2BF5" w:rsidRDefault="00C53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22288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C53062">
    <w:pPr>
      <w:pStyle w:val="a3"/>
      <w:jc w:val="right"/>
      <w:rPr>
        <w:rFonts w:ascii="宋体" w:hAnsi="宋体"/>
      </w:rPr>
    </w:pPr>
    <w:r>
      <w:rPr>
        <w:rFonts w:ascii="宋体" w:hAnsi="宋体" w:hint="eastAsia"/>
      </w:rPr>
      <w:t>交银施罗德新回报灵活配置混合型证券投资基金招募说明书更新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222881">
    <w:pPr>
      <w:pStyle w:val="10"/>
      <w:jc w:val="right"/>
    </w:pPr>
  </w:p>
  <w:p w:rsidR="00222881" w:rsidRDefault="00222881">
    <w:pPr>
      <w:pStyle w:val="10"/>
      <w:jc w:val="right"/>
    </w:pPr>
  </w:p>
  <w:p w:rsidR="00222881" w:rsidRDefault="00222881">
    <w:pPr>
      <w:pStyle w:val="a3"/>
      <w:jc w:val="right"/>
    </w:pPr>
  </w:p>
  <w:p w:rsidR="00222881" w:rsidRDefault="00C53062">
    <w:pPr>
      <w:pStyle w:val="a3"/>
      <w:jc w:val="right"/>
      <w:rPr>
        <w:rFonts w:ascii="宋体" w:hAnsi="宋体"/>
      </w:rPr>
    </w:pPr>
    <w:r>
      <w:rPr>
        <w:rFonts w:ascii="宋体" w:hAnsi="宋体" w:hint="eastAsia"/>
      </w:rPr>
      <w:t>交银施罗德新回报灵活配置混合型证券投资基金招募说明书更新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881" w:rsidRDefault="00222881">
    <w:pPr>
      <w:pStyle w:val="a3"/>
      <w:jc w:val="right"/>
    </w:pPr>
  </w:p>
  <w:p w:rsidR="00222881" w:rsidRDefault="00222881">
    <w:pPr>
      <w:pStyle w:val="a3"/>
      <w:jc w:val="right"/>
    </w:pPr>
  </w:p>
  <w:p w:rsidR="00222881" w:rsidRDefault="00222881">
    <w:pPr>
      <w:pStyle w:val="a3"/>
      <w:jc w:val="right"/>
    </w:pPr>
  </w:p>
  <w:p w:rsidR="00222881" w:rsidRDefault="00C53062">
    <w:pPr>
      <w:pStyle w:val="a3"/>
      <w:jc w:val="right"/>
      <w:rPr>
        <w:rFonts w:ascii="宋体" w:hAnsi="宋体"/>
      </w:rPr>
    </w:pPr>
    <w:r>
      <w:rPr>
        <w:rFonts w:ascii="宋体" w:hAnsi="宋体" w:hint="eastAsia"/>
      </w:rPr>
      <w:t>交银施罗德新回报灵活配置混合型证券投资基金招募说明书更新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2881"/>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74CD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2BF5"/>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3062"/>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C4F6AA2-B308-43D3-BEE3-0C10567AC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16571</Words>
  <Characters>94455</Characters>
  <Application>Microsoft Office Word</Application>
  <DocSecurity>0</DocSecurity>
  <Lines>787</Lines>
  <Paragraphs>221</Paragraphs>
  <ScaleCrop>false</ScaleCrop>
  <Company>Microsoft</Company>
  <LinksUpToDate>false</LinksUpToDate>
  <CharactersWithSpaces>110805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