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197FB8">
      <w:pPr>
        <w:rPr>
          <w:sz w:val="32"/>
        </w:rPr>
      </w:pPr>
    </w:p>
    <w:p w:rsidR="00C92FC0" w:rsidRPr="00EB07BC" w:rsidRDefault="00197FB8">
      <w:pPr>
        <w:rPr>
          <w:sz w:val="32"/>
        </w:rPr>
      </w:pPr>
    </w:p>
    <w:p w:rsidR="00C92FC0" w:rsidRPr="00EB07BC" w:rsidRDefault="00197FB8">
      <w:pPr>
        <w:rPr>
          <w:sz w:val="32"/>
        </w:rPr>
      </w:pPr>
    </w:p>
    <w:p w:rsidR="007F2182" w:rsidRDefault="007F218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F2182" w:rsidRDefault="007F218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F2182" w:rsidRDefault="007F218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F2182" w:rsidRDefault="00AA5EDE">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交银施罗德优享一年持有期混合型基金中基金（</w:t>
      </w:r>
      <w:r>
        <w:rPr>
          <w:rFonts w:ascii="Times New Roman" w:hAnsi="Times New Roman"/>
          <w:b/>
          <w:spacing w:val="2"/>
          <w:w w:val="99"/>
          <w:kern w:val="0"/>
          <w:position w:val="-4"/>
          <w:sz w:val="44"/>
          <w:szCs w:val="44"/>
        </w:rPr>
        <w:t>FOF</w:t>
      </w:r>
      <w:r>
        <w:rPr>
          <w:rFonts w:ascii="Times New Roman" w:hAnsi="Times New Roman"/>
          <w:b/>
          <w:spacing w:val="2"/>
          <w:w w:val="99"/>
          <w:kern w:val="0"/>
          <w:position w:val="-4"/>
          <w:sz w:val="44"/>
          <w:szCs w:val="44"/>
        </w:rPr>
        <w:t>）</w:t>
      </w:r>
    </w:p>
    <w:p w:rsidR="007F2182" w:rsidRDefault="00AA5EDE">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7F2182" w:rsidRDefault="007F2182">
      <w:pPr>
        <w:snapToGrid w:val="0"/>
        <w:spacing w:line="360" w:lineRule="auto"/>
        <w:jc w:val="center"/>
        <w:rPr>
          <w:rFonts w:ascii="宋体" w:hAnsi="宋体"/>
          <w:b/>
          <w:sz w:val="30"/>
          <w:szCs w:val="30"/>
        </w:rPr>
      </w:pPr>
    </w:p>
    <w:p w:rsidR="007F2182" w:rsidRDefault="007F218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F2182" w:rsidRDefault="007F218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F2182" w:rsidRDefault="007F218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F2182" w:rsidRDefault="007F218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F2182" w:rsidRDefault="007F218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F2182" w:rsidRDefault="007F218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F2182" w:rsidRDefault="00AA5ED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7F2182" w:rsidRDefault="00AA5ED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基金托管人：上海浦东发展银行股份有限公司</w:t>
      </w:r>
    </w:p>
    <w:p w:rsidR="007F2182" w:rsidRDefault="007F218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F2182" w:rsidRDefault="007F218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F2182" w:rsidRDefault="00AA5EDE">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7F2182" w:rsidRDefault="007F2182">
      <w:pPr>
        <w:autoSpaceDE w:val="0"/>
        <w:autoSpaceDN w:val="0"/>
        <w:adjustRightInd w:val="0"/>
        <w:snapToGrid w:val="0"/>
        <w:spacing w:line="360" w:lineRule="auto"/>
        <w:ind w:left="1347" w:rightChars="6" w:right="13"/>
        <w:rPr>
          <w:rFonts w:ascii="宋体" w:hAnsi="宋体"/>
          <w:kern w:val="0"/>
          <w:sz w:val="32"/>
          <w:szCs w:val="32"/>
        </w:rPr>
        <w:sectPr w:rsidR="007F2182">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7F2182" w:rsidRDefault="00AA5EDE">
      <w:pPr>
        <w:pStyle w:val="1"/>
        <w:snapToGrid w:val="0"/>
        <w:spacing w:beforeLines="0" w:before="240" w:after="240"/>
        <w:rPr>
          <w:rFonts w:ascii="宋体" w:hAnsi="宋体"/>
          <w:kern w:val="0"/>
        </w:rPr>
      </w:pPr>
      <w:bookmarkStart w:id="0" w:name="_Toc324920538"/>
      <w:bookmarkStart w:id="1" w:name="_Toc496884613"/>
      <w:bookmarkStart w:id="2" w:name="_Toc240548887"/>
      <w:r>
        <w:rPr>
          <w:rFonts w:ascii="Times New Roman" w:hAnsi="Times New Roman"/>
          <w:kern w:val="0"/>
        </w:rPr>
        <w:lastRenderedPageBreak/>
        <w:t>重要提示</w:t>
      </w:r>
      <w:bookmarkEnd w:id="0"/>
      <w:bookmarkEnd w:id="1"/>
      <w:bookmarkEnd w:id="2"/>
    </w:p>
    <w:p w:rsidR="007F2182" w:rsidRDefault="00AA5ED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交银施罗德优享一年持有期混合型基金中基金（</w:t>
      </w:r>
      <w:r>
        <w:rPr>
          <w:rFonts w:ascii="Times New Roman" w:hAnsi="Times New Roman"/>
          <w:kern w:val="0"/>
          <w:sz w:val="24"/>
        </w:rPr>
        <w:t>FOF</w:t>
      </w:r>
      <w:r>
        <w:rPr>
          <w:rFonts w:ascii="Times New Roman" w:hAnsi="Times New Roman"/>
          <w:kern w:val="0"/>
          <w:sz w:val="24"/>
        </w:rPr>
        <w:t>）（以下简称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13</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2021</w:t>
      </w:r>
      <w:r>
        <w:rPr>
          <w:rFonts w:ascii="Times New Roman" w:hAnsi="Times New Roman"/>
          <w:kern w:val="0"/>
          <w:sz w:val="24"/>
        </w:rPr>
        <w:t>】</w:t>
      </w:r>
      <w:r>
        <w:rPr>
          <w:rFonts w:ascii="Times New Roman" w:hAnsi="Times New Roman"/>
          <w:kern w:val="0"/>
          <w:sz w:val="24"/>
        </w:rPr>
        <w:t>3911</w:t>
      </w:r>
      <w:r>
        <w:rPr>
          <w:rFonts w:ascii="Times New Roman" w:hAnsi="Times New Roman"/>
          <w:kern w:val="0"/>
          <w:sz w:val="24"/>
        </w:rPr>
        <w:t>号文准予募集注册。本基金基金合同于</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7F2182" w:rsidRDefault="00AA5ED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7F2182" w:rsidRDefault="00AA5ED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7F2182" w:rsidRDefault="00AA5ED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本基金为基金中基金，由于本基金主要投资于经中国证监会依法核准或注册的公开募集证券投资基金的基金份额，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基金中基金的特有风险；投资资产支持证券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投资本基金的其他风险等等。本基金为混合型基金中基金，其预期风险与预期收益理论上高于债券型基金、债券型基金中基金、货币市场基金和货币型基金中基金，低于股票型基金和股票型基金中基金。</w:t>
      </w:r>
    </w:p>
    <w:p w:rsidR="007F2182" w:rsidRDefault="00AA5ED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7F2182" w:rsidRDefault="00AA5ED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rsidR="007F2182" w:rsidRDefault="00AA5ED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全部被予以拒绝。基金份额持有人需承担赎回申请失败的风险。</w:t>
      </w:r>
    </w:p>
    <w:p w:rsidR="007F2182" w:rsidRDefault="00AA5ED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7F2182" w:rsidRDefault="00AA5ED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7F2182" w:rsidRDefault="00AA5ED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7F2182" w:rsidRDefault="00AA5ED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7F2182" w:rsidRDefault="00AA5ED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日，除非另有说明，本招募说明书基金经理变更相关事项更新截止日为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01</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w:t>
      </w:r>
      <w:r>
        <w:rPr>
          <w:rFonts w:ascii="Times New Roman" w:hAnsi="Times New Roman"/>
          <w:kern w:val="0"/>
          <w:sz w:val="24"/>
        </w:rPr>
        <w:lastRenderedPageBreak/>
        <w:t>未经审计。</w:t>
      </w:r>
    </w:p>
    <w:p w:rsidR="007F2182" w:rsidRDefault="007F2182">
      <w:pPr>
        <w:autoSpaceDE w:val="0"/>
        <w:autoSpaceDN w:val="0"/>
        <w:adjustRightInd w:val="0"/>
        <w:snapToGrid w:val="0"/>
        <w:spacing w:before="51" w:line="360" w:lineRule="auto"/>
        <w:ind w:left="120" w:rightChars="6" w:right="13" w:firstLine="480"/>
        <w:rPr>
          <w:rFonts w:ascii="宋体" w:hAnsi="宋体"/>
          <w:kern w:val="0"/>
          <w:szCs w:val="24"/>
        </w:rPr>
        <w:sectPr w:rsidR="007F2182">
          <w:headerReference w:type="default" r:id="rId14"/>
          <w:pgSz w:w="11920" w:h="16840"/>
          <w:pgMar w:top="1440" w:right="1680" w:bottom="280" w:left="1680" w:header="0" w:footer="1073" w:gutter="0"/>
          <w:pgNumType w:start="1"/>
          <w:cols w:space="720"/>
        </w:sectPr>
      </w:pPr>
    </w:p>
    <w:p w:rsidR="00197FB8" w:rsidRPr="00197FB8" w:rsidRDefault="00AA5EDE" w:rsidP="00197FB8">
      <w:pPr>
        <w:pStyle w:val="ad"/>
        <w:snapToGrid w:val="0"/>
        <w:spacing w:after="240" w:line="360" w:lineRule="auto"/>
        <w:jc w:val="center"/>
        <w:rPr>
          <w:rFonts w:ascii="宋体" w:hAnsi="宋体"/>
          <w:noProof/>
          <w:sz w:val="24"/>
        </w:rPr>
      </w:pPr>
      <w:r w:rsidRPr="00197FB8">
        <w:rPr>
          <w:rFonts w:ascii="宋体" w:hAnsi="宋体"/>
          <w:color w:val="000000"/>
          <w:position w:val="-4"/>
          <w:sz w:val="24"/>
          <w:szCs w:val="30"/>
        </w:rPr>
        <w:lastRenderedPageBreak/>
        <w:t>目</w:t>
      </w:r>
      <w:r w:rsidRPr="00197FB8">
        <w:rPr>
          <w:rFonts w:ascii="宋体" w:hAnsi="宋体"/>
          <w:color w:val="000000"/>
          <w:position w:val="-4"/>
          <w:sz w:val="24"/>
          <w:szCs w:val="30"/>
        </w:rPr>
        <w:tab/>
        <w:t>录</w:t>
      </w:r>
      <w:r w:rsidR="00197FB8" w:rsidRPr="00197FB8">
        <w:rPr>
          <w:rFonts w:ascii="宋体" w:hAnsi="宋体"/>
          <w:color w:val="000000"/>
          <w:position w:val="-4"/>
          <w:sz w:val="24"/>
          <w:szCs w:val="30"/>
        </w:rPr>
        <w:fldChar w:fldCharType="begin"/>
      </w:r>
      <w:r w:rsidR="00197FB8" w:rsidRPr="00197FB8">
        <w:rPr>
          <w:rFonts w:ascii="宋体" w:hAnsi="宋体"/>
          <w:color w:val="000000"/>
          <w:position w:val="-4"/>
          <w:sz w:val="24"/>
          <w:szCs w:val="30"/>
        </w:rPr>
        <w:instrText xml:space="preserve"> TOC \o "1-3" \f - \h \t "-1" </w:instrText>
      </w:r>
      <w:r w:rsidR="00197FB8" w:rsidRPr="00197FB8">
        <w:rPr>
          <w:rFonts w:ascii="宋体" w:hAnsi="宋体"/>
          <w:color w:val="000000"/>
          <w:position w:val="-4"/>
          <w:sz w:val="24"/>
          <w:szCs w:val="30"/>
        </w:rPr>
        <w:fldChar w:fldCharType="separate"/>
      </w:r>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887" w:history="1">
        <w:r w:rsidRPr="00197FB8">
          <w:rPr>
            <w:rStyle w:val="aa"/>
            <w:rFonts w:ascii="宋体" w:hAnsi="宋体" w:hint="eastAsia"/>
            <w:noProof/>
            <w:kern w:val="0"/>
            <w:sz w:val="24"/>
          </w:rPr>
          <w:t>重要提示</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_Toc240548887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1</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888" w:history="1">
        <w:r w:rsidRPr="00197FB8">
          <w:rPr>
            <w:rStyle w:val="aa"/>
            <w:rFonts w:ascii="宋体" w:hAnsi="宋体" w:hint="eastAsia"/>
            <w:noProof/>
            <w:sz w:val="24"/>
          </w:rPr>
          <w:t>一、绪言</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_Toc240548888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5</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889" w:history="1">
        <w:r w:rsidRPr="00197FB8">
          <w:rPr>
            <w:rStyle w:val="aa"/>
            <w:rFonts w:ascii="宋体" w:hAnsi="宋体" w:hint="eastAsia"/>
            <w:noProof/>
            <w:sz w:val="24"/>
          </w:rPr>
          <w:t>二、释义</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_Toc240548889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6</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890" w:history="1">
        <w:r w:rsidRPr="00197FB8">
          <w:rPr>
            <w:rStyle w:val="aa"/>
            <w:rFonts w:ascii="宋体" w:hAnsi="宋体" w:hint="eastAsia"/>
            <w:noProof/>
            <w:sz w:val="24"/>
          </w:rPr>
          <w:t>三、基金管理人</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_Toc240548890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11</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891" w:history="1">
        <w:r w:rsidRPr="00197FB8">
          <w:rPr>
            <w:rStyle w:val="aa"/>
            <w:rFonts w:ascii="宋体" w:hAnsi="宋体" w:hint="eastAsia"/>
            <w:noProof/>
            <w:sz w:val="24"/>
          </w:rPr>
          <w:t>四、基金托管人</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_Toc240548891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18</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892" w:history="1">
        <w:r w:rsidRPr="00197FB8">
          <w:rPr>
            <w:rStyle w:val="aa"/>
            <w:rFonts w:ascii="宋体" w:hAnsi="宋体" w:hint="eastAsia"/>
            <w:noProof/>
            <w:sz w:val="24"/>
          </w:rPr>
          <w:t>五、相关服务机构</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_Toc240548892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22</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893" w:history="1">
        <w:r w:rsidRPr="00197FB8">
          <w:rPr>
            <w:rStyle w:val="aa"/>
            <w:rFonts w:ascii="宋体" w:hAnsi="宋体" w:hint="eastAsia"/>
            <w:noProof/>
            <w:sz w:val="24"/>
          </w:rPr>
          <w:t>六、基金的募集</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_Toc240548893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44</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894" w:history="1">
        <w:r w:rsidRPr="00197FB8">
          <w:rPr>
            <w:rStyle w:val="aa"/>
            <w:rFonts w:ascii="宋体" w:hAnsi="宋体" w:hint="eastAsia"/>
            <w:noProof/>
            <w:sz w:val="24"/>
          </w:rPr>
          <w:t>七、基金合同的生效</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_Toc240548894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45</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895" w:history="1">
        <w:r w:rsidRPr="00197FB8">
          <w:rPr>
            <w:rStyle w:val="aa"/>
            <w:rFonts w:ascii="宋体" w:hAnsi="宋体" w:hint="eastAsia"/>
            <w:noProof/>
            <w:sz w:val="24"/>
          </w:rPr>
          <w:t>八、基金份额的申购与赎回</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_Toc240548895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46</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896" w:history="1">
        <w:r w:rsidRPr="00197FB8">
          <w:rPr>
            <w:rStyle w:val="aa"/>
            <w:rFonts w:ascii="宋体" w:hAnsi="宋体" w:hint="eastAsia"/>
            <w:noProof/>
            <w:sz w:val="24"/>
          </w:rPr>
          <w:t>九、基金的投资</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_Toc240548896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59</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897" w:history="1">
        <w:r w:rsidRPr="00197FB8">
          <w:rPr>
            <w:rStyle w:val="aa"/>
            <w:rFonts w:ascii="宋体" w:hAnsi="宋体" w:hint="eastAsia"/>
            <w:noProof/>
            <w:sz w:val="24"/>
          </w:rPr>
          <w:t>十、基金的业绩</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_Toc240548897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71</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898" w:history="1">
        <w:r w:rsidRPr="00197FB8">
          <w:rPr>
            <w:rStyle w:val="aa"/>
            <w:rFonts w:ascii="宋体" w:hAnsi="宋体" w:hint="eastAsia"/>
            <w:noProof/>
            <w:sz w:val="24"/>
          </w:rPr>
          <w:t>十一、基金的财产</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_Toc240548898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74</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899" w:history="1">
        <w:r w:rsidRPr="00197FB8">
          <w:rPr>
            <w:rStyle w:val="aa"/>
            <w:rFonts w:ascii="宋体" w:hAnsi="宋体" w:hint="eastAsia"/>
            <w:noProof/>
            <w:sz w:val="24"/>
          </w:rPr>
          <w:t>十二、基金资产的估值</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_Toc240548899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75</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900" w:history="1">
        <w:r w:rsidRPr="00197FB8">
          <w:rPr>
            <w:rStyle w:val="aa"/>
            <w:rFonts w:ascii="宋体" w:hAnsi="宋体" w:hint="eastAsia"/>
            <w:noProof/>
            <w:sz w:val="24"/>
          </w:rPr>
          <w:t>十三、基金收益与分配</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_Toc240548900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82</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901" w:history="1">
        <w:r w:rsidRPr="00197FB8">
          <w:rPr>
            <w:rStyle w:val="aa"/>
            <w:rFonts w:ascii="宋体" w:hAnsi="宋体" w:hint="eastAsia"/>
            <w:noProof/>
            <w:sz w:val="24"/>
          </w:rPr>
          <w:t>十四、基金的费用与税收</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_Toc240548901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84</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902" w:history="1">
        <w:r w:rsidRPr="00197FB8">
          <w:rPr>
            <w:rStyle w:val="aa"/>
            <w:rFonts w:ascii="宋体" w:hAnsi="宋体" w:hint="eastAsia"/>
            <w:noProof/>
            <w:sz w:val="24"/>
          </w:rPr>
          <w:t>十五、基金的会计与审计</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_Toc240548902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87</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903" w:history="1">
        <w:r w:rsidRPr="00197FB8">
          <w:rPr>
            <w:rStyle w:val="aa"/>
            <w:rFonts w:ascii="宋体" w:hAnsi="宋体" w:hint="eastAsia"/>
            <w:noProof/>
            <w:sz w:val="24"/>
          </w:rPr>
          <w:t>十六、基金的信息披露</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_Toc240548903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88</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904" w:history="1">
        <w:r w:rsidRPr="00197FB8">
          <w:rPr>
            <w:rStyle w:val="aa"/>
            <w:rFonts w:ascii="宋体" w:hAnsi="宋体" w:hint="eastAsia"/>
            <w:noProof/>
            <w:sz w:val="24"/>
          </w:rPr>
          <w:t>十七、侧袋机制</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_Toc240548904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95</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905" w:history="1">
        <w:r w:rsidRPr="00197FB8">
          <w:rPr>
            <w:rStyle w:val="aa"/>
            <w:rFonts w:ascii="宋体" w:hAnsi="宋体" w:hint="eastAsia"/>
            <w:noProof/>
            <w:sz w:val="24"/>
          </w:rPr>
          <w:t>十八、风险揭示</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_Toc240548905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98</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906" w:history="1">
        <w:r w:rsidRPr="00197FB8">
          <w:rPr>
            <w:rStyle w:val="aa"/>
            <w:rFonts w:ascii="宋体" w:hAnsi="宋体" w:hint="eastAsia"/>
            <w:noProof/>
            <w:sz w:val="24"/>
          </w:rPr>
          <w:t>十九、基金合同的变更、终止与基金财产的清算</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_Toc240548906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107</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907" w:history="1">
        <w:r w:rsidRPr="00197FB8">
          <w:rPr>
            <w:rStyle w:val="aa"/>
            <w:rFonts w:ascii="宋体" w:hAnsi="宋体" w:hint="eastAsia"/>
            <w:noProof/>
            <w:sz w:val="24"/>
          </w:rPr>
          <w:t>二十、基金合同内容摘要</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_Toc240548907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109</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908" w:history="1">
        <w:r w:rsidRPr="00197FB8">
          <w:rPr>
            <w:rStyle w:val="aa"/>
            <w:rFonts w:ascii="宋体" w:hAnsi="宋体" w:hint="eastAsia"/>
            <w:noProof/>
            <w:sz w:val="24"/>
          </w:rPr>
          <w:t>二十一、托管协议的内容摘要</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_Toc240548908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126</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909" w:history="1">
        <w:r w:rsidRPr="00197FB8">
          <w:rPr>
            <w:rStyle w:val="aa"/>
            <w:rFonts w:ascii="宋体" w:hAnsi="宋体" w:hint="eastAsia"/>
            <w:noProof/>
            <w:sz w:val="24"/>
          </w:rPr>
          <w:t>二十二、对基金份额持有人的服务</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_Toc240548909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145</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910" w:history="1">
        <w:r w:rsidRPr="00197FB8">
          <w:rPr>
            <w:rStyle w:val="aa"/>
            <w:rFonts w:ascii="宋体" w:hAnsi="宋体" w:hint="eastAsia"/>
            <w:noProof/>
            <w:sz w:val="24"/>
          </w:rPr>
          <w:t>二十三、其他应披露事项</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_Toc240548910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147</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911" w:history="1">
        <w:r w:rsidRPr="00197FB8">
          <w:rPr>
            <w:rStyle w:val="aa"/>
            <w:rFonts w:ascii="宋体" w:hAnsi="宋体" w:hint="eastAsia"/>
            <w:noProof/>
            <w:sz w:val="24"/>
          </w:rPr>
          <w:t>二十四、招募说明书的存放及查阅方式</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_Toc240548911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150</w:t>
        </w:r>
        <w:r w:rsidRPr="00197FB8">
          <w:rPr>
            <w:rFonts w:ascii="宋体" w:hAnsi="宋体"/>
            <w:noProof/>
            <w:sz w:val="24"/>
          </w:rPr>
          <w:fldChar w:fldCharType="end"/>
        </w:r>
      </w:hyperlink>
    </w:p>
    <w:p w:rsidR="00197FB8" w:rsidRPr="00197FB8" w:rsidRDefault="00197FB8" w:rsidP="00197FB8">
      <w:pPr>
        <w:pStyle w:val="10"/>
        <w:tabs>
          <w:tab w:val="right" w:leader="dot" w:pos="8550"/>
        </w:tabs>
        <w:spacing w:line="360" w:lineRule="auto"/>
        <w:rPr>
          <w:rFonts w:ascii="宋体" w:hAnsi="宋体" w:cstheme="minorBidi"/>
          <w:noProof/>
          <w:sz w:val="24"/>
        </w:rPr>
      </w:pPr>
      <w:hyperlink w:anchor="_Toc240548912" w:history="1">
        <w:r w:rsidRPr="00197FB8">
          <w:rPr>
            <w:rStyle w:val="aa"/>
            <w:rFonts w:ascii="宋体" w:hAnsi="宋体" w:hint="eastAsia"/>
            <w:noProof/>
            <w:sz w:val="24"/>
          </w:rPr>
          <w:t>二十五、备查文件</w:t>
        </w:r>
        <w:r w:rsidRPr="00197FB8">
          <w:rPr>
            <w:rFonts w:ascii="宋体" w:hAnsi="宋体"/>
            <w:noProof/>
            <w:sz w:val="24"/>
          </w:rPr>
          <w:tab/>
        </w:r>
        <w:r w:rsidRPr="00197FB8">
          <w:rPr>
            <w:rFonts w:ascii="宋体" w:hAnsi="宋体"/>
            <w:noProof/>
            <w:sz w:val="24"/>
          </w:rPr>
          <w:fldChar w:fldCharType="begin"/>
        </w:r>
        <w:r w:rsidRPr="00197FB8">
          <w:rPr>
            <w:rFonts w:ascii="宋体" w:hAnsi="宋体"/>
            <w:noProof/>
            <w:sz w:val="24"/>
          </w:rPr>
          <w:instrText xml:space="preserve"> PAGEREF _Toc240548912 \h </w:instrText>
        </w:r>
        <w:r w:rsidRPr="00197FB8">
          <w:rPr>
            <w:rFonts w:ascii="宋体" w:hAnsi="宋体"/>
            <w:noProof/>
            <w:sz w:val="24"/>
          </w:rPr>
        </w:r>
        <w:r w:rsidRPr="00197FB8">
          <w:rPr>
            <w:rFonts w:ascii="宋体" w:hAnsi="宋体"/>
            <w:noProof/>
            <w:sz w:val="24"/>
          </w:rPr>
          <w:fldChar w:fldCharType="separate"/>
        </w:r>
        <w:r w:rsidRPr="00197FB8">
          <w:rPr>
            <w:rFonts w:ascii="宋体" w:hAnsi="宋体"/>
            <w:noProof/>
            <w:sz w:val="24"/>
          </w:rPr>
          <w:t>151</w:t>
        </w:r>
        <w:r w:rsidRPr="00197FB8">
          <w:rPr>
            <w:rFonts w:ascii="宋体" w:hAnsi="宋体"/>
            <w:noProof/>
            <w:sz w:val="24"/>
          </w:rPr>
          <w:fldChar w:fldCharType="end"/>
        </w:r>
      </w:hyperlink>
    </w:p>
    <w:p w:rsidR="007F2182" w:rsidRPr="00197FB8" w:rsidRDefault="00197FB8" w:rsidP="00197FB8">
      <w:pPr>
        <w:pStyle w:val="ad"/>
        <w:snapToGrid w:val="0"/>
        <w:spacing w:after="240" w:line="360" w:lineRule="auto"/>
        <w:jc w:val="center"/>
        <w:rPr>
          <w:rFonts w:ascii="宋体" w:hAnsi="宋体"/>
          <w:color w:val="000000"/>
          <w:sz w:val="24"/>
        </w:rPr>
      </w:pPr>
      <w:r w:rsidRPr="00197FB8">
        <w:rPr>
          <w:rFonts w:ascii="宋体" w:hAnsi="宋体"/>
          <w:color w:val="000000"/>
          <w:position w:val="-4"/>
          <w:sz w:val="24"/>
          <w:szCs w:val="30"/>
        </w:rPr>
        <w:fldChar w:fldCharType="end"/>
      </w:r>
      <w:bookmarkStart w:id="3" w:name="_GoBack"/>
      <w:bookmarkEnd w:id="3"/>
    </w:p>
    <w:p w:rsidR="007F2182" w:rsidRDefault="007F2182">
      <w:pPr>
        <w:autoSpaceDE w:val="0"/>
        <w:autoSpaceDN w:val="0"/>
        <w:adjustRightInd w:val="0"/>
        <w:snapToGrid w:val="0"/>
        <w:spacing w:line="360" w:lineRule="auto"/>
        <w:ind w:left="120" w:rightChars="6" w:right="13"/>
        <w:rPr>
          <w:rFonts w:ascii="宋体" w:hAnsi="宋体"/>
          <w:kern w:val="0"/>
          <w:szCs w:val="24"/>
        </w:rPr>
        <w:sectPr w:rsidR="007F2182">
          <w:pgSz w:w="11920" w:h="16840"/>
          <w:pgMar w:top="1480" w:right="1680" w:bottom="280" w:left="1680" w:header="0" w:footer="1073" w:gutter="0"/>
          <w:cols w:space="720"/>
        </w:sectPr>
      </w:pPr>
    </w:p>
    <w:p w:rsidR="007F2182" w:rsidRDefault="00AA5EDE">
      <w:pPr>
        <w:pStyle w:val="1"/>
        <w:snapToGrid w:val="0"/>
        <w:spacing w:beforeLines="0" w:before="240" w:after="240"/>
        <w:rPr>
          <w:rFonts w:ascii="宋体" w:hAnsi="宋体"/>
          <w:szCs w:val="30"/>
        </w:rPr>
      </w:pPr>
      <w:bookmarkStart w:id="4" w:name="_Toc240548888"/>
      <w:r>
        <w:rPr>
          <w:rFonts w:ascii="Times New Roman" w:hAnsi="Times New Roman"/>
          <w:sz w:val="30"/>
        </w:rPr>
        <w:lastRenderedPageBreak/>
        <w:t>一、绪言</w:t>
      </w:r>
      <w:bookmarkEnd w:id="4"/>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优享一年持有期混合型基金中基金（FOF）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证券投资基金运作指引第2号——基金中基金指引》、《公开募集开放式证券投资基金流动性风险管理规定》（以下简称“《流动性风险管理规定》”）和其他相关法律法规的规定以及《交银施罗德优享一年持有期混合型基金中基金（FOF）基金合同》（以下简称“基金合同”）编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5" w:name="_Toc240548889"/>
      <w:r>
        <w:rPr>
          <w:rFonts w:ascii="Times New Roman" w:hAnsi="Times New Roman"/>
          <w:sz w:val="30"/>
        </w:rPr>
        <w:lastRenderedPageBreak/>
        <w:t>二、释义</w:t>
      </w:r>
      <w:bookmarkEnd w:id="5"/>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1、基金或本基金：指交银施罗德优享一年持有期混合型基金中基金（FOF）</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3、基金托管人：指上海浦东发展银行股份有限公司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4、基金合同：指《交银施罗德优享一年持有期混合型基金中基金（FOF）基金合同》及对基金合同的任何有效修订和补充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5、托管协议：指基金管理人与基金托管人就本基金签订之《交银施罗德优享一年持有期混合型基金中基金（FOF）托管协议》及对该托管协议的任何有效修订和补充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6、招募说明书或本招募说明书：指《交银施罗德优享一年持有期混合型基金中基金（FOF）招募说明书》及其更新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7、基金产品资料概要：指《交银施罗德优享一年持有期混合型基金中基金（FOF）基金产品资料概要》及其更新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8、基金份额发售公告：指《交银施罗德优享一年持有期混合型基金中基金（FOF）基金份额发售公告》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16、银行业监督管理机构：指中国人民银行和/或中国银行保险监督管理委员会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29、基金合同生效日：指基金募集达到法律法规规定及基金合同规定的条件，基金管理人向中国证监会办理基金备案手续完毕，并获得中国证监会书面确认的日期</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最短持有期限：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43、赎回：指基金合同生效后，基金份额持有人按基金合同和招募说明书规定的条件要求将基金份额兑换为现金的行为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44、基金转换：指基金份额持有人按照基金合同和基金管理人届时有效公告规定的条件，申请将其持有基金管理人管理的、某一基金的基金份额转换为基金管理人管理的其他基金基金份额的行为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50、基金资产总值：指基金拥有的各类有价证券、证券投资基金份额、银行存款本息、基金应收款项及其他资产的价值总和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54、规定媒介：指符合中国证监会规定条件的用以进行信息披露的全国性报刊及《信息披露办法》规定的互联网网站（包括基金管理人网站、基金托管人网站、中国证监会基金电子披露网站）等媒介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55、销售服务费：指从基金财产中计提的，用于本基金市场推广、销售以及基金份额持有人服务的费用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56、A类基金份额：指在投资人认购/申购时收取认购/申购费用且不从本类别基金资产中计提销售服务费的基金份额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57、C类基金份额：指在投资人认购/申购时不收取认购/申购费用，并从本类别基金资产中计提销售服务费的基金份额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58、流动性受限资产：指由于法律法规、监管、合同或操作障碍等原因无法以</w:t>
      </w:r>
      <w:r>
        <w:rPr>
          <w:rFonts w:ascii="宋体" w:hAnsi="宋体"/>
          <w:sz w:val="24"/>
        </w:rPr>
        <w:lastRenderedPageBreak/>
        <w:t>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62、不可抗力：指基金合同当事人不能预见、不能避免且不能克服的客观事件</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6" w:name="_Toc240548890"/>
      <w:r>
        <w:rPr>
          <w:rFonts w:ascii="Times New Roman" w:hAnsi="Times New Roman"/>
          <w:sz w:val="30"/>
        </w:rPr>
        <w:lastRenderedPageBreak/>
        <w:t>三、基金管理人</w:t>
      </w:r>
      <w:bookmarkEnd w:id="6"/>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玲斐女士:基金经理。复旦大学文学学士、上海交通大学工商管理硕士，12年证券投资行业从业经验。2011年至2014年任中国银行股份有限公司上海市分行产品经理，2014年至2019年任交通银行股份有限公司总行资产管理中心交易员/投资经理，2019年至2026年任交银理财有限责任公司固定收益部、多资产投资部投资经理。2026年加入交银施罗德基金管理有限公司，现任多元资产管理助理总监、基金经理。现任交银施罗德兴享一年持有期混合型基金中基金（FOF）(2026年08月22日至今)、交银施罗德养老目标日期2035三年持有期混合型基金中基金（FOF）(2026年08月22日至今)、交银施罗德安悦平衡养老目标三年持有期混合型发起式基金中基金（FOF）(2026年08月22日至今)、交银施罗德优享一年持有期混合型基金中基金（FOF）(2026年08月22日至今)的基金经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刘兵先生(2022年01月27日至2026年09月03日)。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4、按照基金合同的约定确定基金收益分配方案，及时向基金份额持有人分配收益；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w:t>
      </w:r>
      <w:r>
        <w:rPr>
          <w:rFonts w:ascii="宋体" w:hAnsi="宋体"/>
          <w:sz w:val="24"/>
        </w:rPr>
        <w:lastRenderedPageBreak/>
        <w:t>谋取最大利益；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（1）建立内控体系，完善内控制度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7" w:name="_Toc240548891"/>
      <w:r>
        <w:rPr>
          <w:rFonts w:ascii="Times New Roman" w:hAnsi="Times New Roman"/>
          <w:sz w:val="30"/>
        </w:rPr>
        <w:lastRenderedPageBreak/>
        <w:t>四、基金托管人</w:t>
      </w:r>
      <w:bookmarkEnd w:id="7"/>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（一）基金托管人概况</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本基金托管人为上海浦东发展银行股份有限公司，基本信息如下：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名称：上海浦东发展银行股份有限公司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注册地址：上海市中山东一路12号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办公地址：上海市博成路1388号浦银中心A栋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法定代表人：张为忠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成立时间：1992年10月19日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经中国人民银行和中国银行业监督管理委员会批准，公司主营业务主要包括：吸收公众存款；发放短期、中期和长期贷款；办理结算；办理票据贴现；发行金融债券；代理发行、代理兑付、承销政府债券；买卖政府债券；同业拆借；提供信用证服务及担保；代理收付款项及代理保险业务；提供保险箱业务；外汇存款；外汇贷款；外汇汇款；外币兑换；国际结算；同业外汇拆借；外汇票据的承兑和贴现；外汇借款；外汇担保；结汇、售汇；买卖和代理买卖股票以外的外币有价证券；自营外汇买卖；代客外汇买卖；资信调查、咨询、见证业务；离岸银行业务；证券投资基金托管业务；全国社会保障基金托管业务；经中国人民银行和中国银行业监督管理委员会批准经营的其他业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注册资本：293.52亿元人民币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基金托管资格批文及文号：中国证监会证监基金字[2003]105号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联系电话：（021）31888888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海浦东发展银行自2003年开展资产托管业务，是较早开展银行资产托管服务的股份制商业银行之一。经过二十年来的稳健经营和业务开拓，各项业务发展一直保持较快增长，各项经营指标在股份制商业银行中处于较好水平。</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海浦东发展银行总行于2003年设立基金托管部，2005年更名为资产托管部，2013年更名为资产托管与养老金业务部，2016年进行组织架构优化调整，并更名为资产托管部，目前下设证券托管处、客户资产托管处、养老金业务处、内控管理</w:t>
      </w:r>
      <w:r>
        <w:rPr>
          <w:rFonts w:ascii="宋体" w:hAnsi="宋体"/>
          <w:sz w:val="24"/>
        </w:rPr>
        <w:lastRenderedPageBreak/>
        <w:t>处、业务保障处、总行资产托管运营中心（含合肥分中心）六个职能处室。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目前，上海浦东发展银行已拥有客户资金托管、资金信托保管、证券投资基金托管、全球资产托管、保险资金托管、基金专户理财托管、证券公司客户资产托管、期货公司客户资产托管、私募证券投资基金托管、私募股权托管、银行理财产品托管、企业年金托管等多项托管产品，形成完备的产品体系，可满足多领域客户、境内外市场的资产托管需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为忠，男，1967年出生，硕士研究生。曾任中国建设银行大连市分行开发区分行行长，中国建设银行内蒙古总审计室总审计师兼主任，中国建设银行湖北省分行纪委书记、副行长、党委委员，中国建设银行普惠金融事业部（小企业业务部）总经理，中国建设银行公司业务总监。现任中共上海浦东发展银行股份有限公司委员会书记、董事长。</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国光，男，1967年出生，硕士研究生。历任上海浦东发展银行天津分行资财部总经理，天津分行行长助理、副行长，总行资金总部副总经理，总行资产负债管理委员会主任，总行清算作业部总经理，沈阳分行党委书记、行长。现任上海浦东发展银行总行资产托管部总经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截止2025年9月30日，上海浦东发展银行证券投资基金托管规模为15490.37亿元，托管证券投资基金共523只。</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行内部控制目标为：确保经营活动中严格遵守国家有关法律法规、监管部门监管规则和本行规章制度，形成守法经营、规范运作的经营思想。确保经营业务的稳健运行，保证基金资产的安全和完整，确保业务活动信息的真实、准确、完整，保护基金份额持有人的合法权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行内部控制组织架构为：总行法律合规部是全行内部控制的牵头管理部门，指导业务部门建立并维护资产托管业务的内部控制体系。总行风险监控部是全行操作风险的牵头管理部门。指导业务部门开展资产托管业务的操作风险管控工作。总行资产托管部下设内控管理处。内控管理处是全行托管业务条线的内部控制具体管理实施机构，并配备专职内控监督人员负责托管业务的内控监督工作，独立行使监督稽核职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3、内部控制制度及措施: 本行已建立完善的内部控制制度。内控制度贯穿资产托管业务的决策、执行、监督全过程，渗透到各业务流程和各操作环节，覆盖到从事资产托管各级组织结构、岗位及人员。内部控制以防范风险、合规经营为出发点，各项业务流程体现“内控优先”要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内控措施包括：培育员工树立内控优先、制度先行、全员化风险控制的风险管理理念，营造浓厚的内控文化氛围，使风险意识贯穿到组织架构、业务岗位、人员的各个环节。制定权责清晰的业务授权管理制度、明确岗位职责和各项操作规程、员工职业道德规范、业务数据备份和保密等在内的各项业务管理制度；建立严格完善的资产隔离和资产保管制度，托管资产与托管人资产及不同托管资产之间实行独立运作、分别核算；对各类突发事件或故障，建立完备有效的应急方案，定期组织灾备演练，建立重大事项报告制度；在基金运作办公区域建立健全安全监控系统，利用录音、录像等技术手段实现风险控制；定期对业务情况进行自查、内部稽核等措施进行监控，通过专项/全面审计等措施实施业务监控，排查风险隐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（五）托管人对管理人运作基金进行监督的方法和程序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1、监督依据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托管人严格按照有关政策法规、以及基金合同、托管协议等进行监督。监督依据具体包括：</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（1）《中华人民共和国证券法》；</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（2）《中华人民共和国证券投资基金法》；</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（3）《公开募集证券投资基金运作管理办法》；；</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（4）《公开募集证券投资基金销售机构监督管理办法》</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（5）《基金合同》、《基金托管协议》；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（6）法律、法规、政策的其他规定。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2、监督内容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我行根据基金合同及托管协议约定，对基金合同生效之后所托管基金的投资范围、投资比例、投资限制等进行严格监督，及时提示基金管理人违规风险。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3、监督方法</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（1）资产托管部设置核算监督岗位，配备相应的业务人员，在授权范围内独立行使对基金管理人投资交易行为的监督职责，规范基金运作，维护基金投资人的合法权益，不受任何外界力量的干预；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（2）在日常运作中，凡可量化的监督指标，由核算监督岗通过托管业务的自动处理程序进行监督，实现系统的自动跟踪和预警；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（3）对非量化指标、投资指令、管理人提供的各种报表和报告等，采取人工监督的方法。</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4、监督结果的处理方式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（1）基金托管人对基金管理人的投资运作监督结果，采取定期和不定期报告形式向基金管理人和中国证监会报告。定期报告包括基金监控周报等。不定期报告包括提示函、临时日报、其他临时报告等；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托管人发现基金管理人违规违法操作，以电话、邮件、书面提示函的方式通知基金管理人，指明违规事项，明确纠正期限。在规定期限内基金托管人再对基金管理人违规事项进行复查，如果基金管理人对违规事项未予纠正，基金托管人将报告中国证监会。如果发现基金管理人投资运作有重大违规行为时，基金托管人应立即报告中国证监会，同时通知基金管理人限期纠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（3）针对中国证监会、中国人民银行对基金投资运作监督情况的检查，应及时提供有关情况和资料。</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8" w:name="_Toc240548892"/>
      <w:r>
        <w:rPr>
          <w:rFonts w:ascii="Times New Roman" w:hAnsi="Times New Roman"/>
          <w:sz w:val="30"/>
        </w:rPr>
        <w:lastRenderedPageBreak/>
        <w:t>五、相关服务机构</w:t>
      </w:r>
      <w:bookmarkEnd w:id="8"/>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个人投资者可以通过基金管理人网上直销交易平台办理开户、本基金的申购、定期定额投资等业务，具体交易细则请参阅基金管理人网站。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（4）名称：宁波银行股份有限公司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（5）名称：中国银河证券股份有限公司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联系人：辛国政</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（6）名称：万联证券股份有限公司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（7）名称：中信证券股份有限公司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（8）名称：中国中金财富证券有限公司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（9）名称：德邦证券股份有限公司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法定代表人：姚文平</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（10）名称：国投证券股份有限公司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（11）名称：中航证券有限公司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（12）名称：中信建投证券股份有限公司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（13）名称：东方财富证券股份有限公司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（14）名称：国信证券股份有限公司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（15）名称：兴业证券股份有限公司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（16）名称：海通证券股份有限公司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电话：（021）23219000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（17）名称：长城国瑞证券有限公司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住所：厦门市莲前西路2号莲富大厦17楼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办公地址：厦门市莲前西路2号莲富大厦17楼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电话：（0592）5161642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传真：（0592）5161640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客户服务电话：（0592）5163588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网址：www.xmzq.cn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（18）名称：大同证券有限责任公司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（19）名称：招商证券股份有限公司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客户服务电话：400-8888-111，95565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（20）名称：中信证券（山东）有限责任公司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（21）名称：国金证券股份有限公司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（22）名称：国新证券股份有限公司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（23）名称：华西证券股份有限公司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住所：四川省成都市高新区天府二街198号华西证券大厦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（24）名称：第一创业证券股份有限公司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（25）名称：中信证券华南股份有限公司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（26）名称：国泰海通证券股份有限公司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联系电话：021-38676666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（27）名称：深圳市新兰德证券投资咨询有限公司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（28）名称：大连网金基金销售有限公司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（29）名称：阳光人寿保险股份有限公司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（30）名称：京东肯特瑞基金销售有限公司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（31）名称：和耕传承基金销售有限公司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（32）名称：腾安基金销售（深圳）有限公司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网址：http://www.tenganxinxi.com/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（33）名称：珠海盈米基金销售有限公司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（34）名称：北京度小满基金销售有限公司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（35）名称：南京苏宁基金销售有限公司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（36）名称：嘉实财富管理有限公司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w:t>
      </w:r>
      <w:r>
        <w:rPr>
          <w:rFonts w:ascii="宋体" w:hAnsi="宋体"/>
          <w:sz w:val="24"/>
        </w:rPr>
        <w:lastRenderedPageBreak/>
        <w:t>(2＃楼)27楼2714室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（37）名称：北京汇成基金销售有限公司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（38）名称：上海利得基金销售有限公司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（39）名称：上海陆金所基金销售有限公司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传真：（021）22066653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（40）名称：上海挖财基金销售有限公司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（41）名称：万家财富基金销售（天津）有限公司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（42）名称：上海万得基金销售有限公司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客户服务电话：400-799-1888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（43）名称：格上富信投资顾问有限公司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（44）名称：深圳市金斧子基金销售有限公司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（45）名称：北京雪球基金销售有限公司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（46）名称：北京新浪仓石基金销售有限公司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注册地址：北京市海淀区东北旺西路中关村软件园二期（西扩）N-1、N-2地块新浪总部科研楼5层518室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（47）名称：中证金牛（北京）基金销售有限公司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（48）名称：奕丰基金销售有限公司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（49）名称：上海天天基金销售有限公司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办公地址：上海市徐汇区宛平南路88号金座东方财富大厦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（50）名称：诺亚正行基金销售有限公司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（51）名称：上海好买基金销售有限公司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（52）名称：上海长量基金销售有限公司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联系人：单丙烨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（53）名称：深圳众禄基金销售股份有限公司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（54）名称：蚂蚁（杭州）基金销售有限公司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（55）名称：中信期货有限公司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客服电话：400-990-8826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（56）名称：上海基煜基金销售有限公司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（57）名称：浙江同花顺基金销售有限公司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（58）名称：宜信普泽（北京）基金销售有限公司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（59）名称：上海联泰基金销售有限公司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（60）名称：泛华普益基金销售有限公司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（61）名称：北京展恒基金销售股份有限公司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（62）名称：济安财富（北京）基金销售有限公司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法定代表人：杨健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（63）名称：博时财富基金销售有限公司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（64）名称：深圳前海微众银行股份有限公司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（65）名称：上海中欧财富基金销售有限公司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传真：021-33830351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经办会计师：沈兆杰、李隐煜</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9" w:name="_Toc240548893"/>
      <w:r>
        <w:rPr>
          <w:rFonts w:ascii="Times New Roman" w:hAnsi="Times New Roman"/>
          <w:sz w:val="30"/>
        </w:rPr>
        <w:lastRenderedPageBreak/>
        <w:t>六、基金的募集</w:t>
      </w:r>
      <w:bookmarkEnd w:id="9"/>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本基金由基金管理人依照《基金法》、《运作办法》、《销售办法》、基金合同及其他有关规定，并经中国证监会2021年12月13日证监许可【2021】3911号文准予募集注册。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本基金于2022年1月17日至2022年1月24日进行发售，本基金设立募集期共募集292,411,020.21份基金份额，有效认购户数为1,939户。</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10" w:name="_Toc240548894"/>
      <w:r>
        <w:rPr>
          <w:rFonts w:ascii="Times New Roman" w:hAnsi="Times New Roman"/>
          <w:sz w:val="30"/>
        </w:rPr>
        <w:lastRenderedPageBreak/>
        <w:t>七、基金合同的生效</w:t>
      </w:r>
      <w:bookmarkEnd w:id="10"/>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根据有关规定，本基金满足基金合同生效条件，基金合同已于2022年1月27日正式生效。自基金合同生效之日起，本基金管理人正式开始管理本基金。</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11" w:name="_Toc240548895"/>
      <w:r>
        <w:rPr>
          <w:rFonts w:ascii="Times New Roman" w:hAnsi="Times New Roman"/>
          <w:sz w:val="30"/>
        </w:rPr>
        <w:lastRenderedPageBreak/>
        <w:t>八、基金份额的申购与赎回</w:t>
      </w:r>
      <w:bookmarkEnd w:id="11"/>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及/或赎回，但对于每份基金份额，基金份额持有人仅可在该份额最短持有期限届满后申请赎回，具体办理时间为上海证券交易所、深圳证券交易所的正常交易日的交易时间，但基金管理人根据法律法规、</w:t>
      </w:r>
      <w:r>
        <w:rPr>
          <w:rFonts w:ascii="宋体" w:hAnsi="宋体"/>
          <w:sz w:val="24"/>
        </w:rPr>
        <w:lastRenderedPageBreak/>
        <w:t>中国证监会的要求或基金合同的规定公告暂停申购、赎回时除外。</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本基金已于2022年4月26日起开放申购业务。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本基金已于2023年1月30日起开放赎回业务。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直销机构首次申购的最低金额为单笔100万元，追加申购的最低金额为单笔10万元；已在直销机构有申购过本基金管理人管理的任一基金（包括本基金）记录的</w:t>
      </w:r>
      <w:r>
        <w:rPr>
          <w:rFonts w:ascii="宋体" w:hAnsi="宋体"/>
          <w:sz w:val="24"/>
        </w:rPr>
        <w:lastRenderedPageBreak/>
        <w:t>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w:t>
      </w:r>
      <w:r>
        <w:rPr>
          <w:rFonts w:ascii="宋体" w:hAnsi="宋体"/>
          <w:sz w:val="24"/>
        </w:rPr>
        <w:lastRenderedPageBreak/>
        <w:t>项。在发生巨额赎回或基金合同载明的其他暂停赎回或延缓支付赎回款项的情形时，款项的支付办法参照基金合同有关条款处理。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+2日（包括该日）内对该交易的有效性进行确认。T日提交的有效申请，投资人应在T+3日后（包括该日）及时到销售网点柜台或以销售机构规定的其他方式查询申请的确认情况。若申购不成功，则申购款项本金退还给投资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（1）投资人T日申购基金成功后，正常情况下，登记机构在T＋2日为投资人增加权益并办理登记手续。投资人应及时查询有关申请的确认情况。</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（2）投资人T日赎回基金成功后，正常情况下，登记机构在T＋2日为投资人扣除权益并办理相应的登记手续。</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w:t>
      </w:r>
      <w:r>
        <w:rPr>
          <w:rFonts w:ascii="宋体" w:hAnsi="宋体"/>
          <w:sz w:val="24"/>
        </w:rPr>
        <w:lastRenderedPageBreak/>
        <w:t>于新的费率或收费方式实施日前依照《信息披露办法》的有关规定在规定媒介上公告。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基金份额净值并扣除相应的费用（如有），赎回金额单位为元。赎回金额计算结果按四舍五入方法，保留到小数点后2位，由此产生的收益或损失由基金财产承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例四：某投资者（非养老金客户）投资100,000元申购本基金的A类基金份额，假设申购当日A类基金份额净值为1.0400元，申购费率为0.8%，则其可得到的申购份额为：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申购总金额＝100,000元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即：某投资者（非养老金客户）投资100,000元申购本基金的A类基金份额，假设申购当日A类基金份额净值为1.0400元，则其可得到95,390.72份A类基金份额。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例五：某养老金客户投资100,000元通过基金管理人的直销柜台申购本基金的A类基金份额，假设申购当日A类基金份额净值为1.0400元，申购费率为0.32%，则其可得到的申购份额为：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即：该养老金客户投资100,000元通过基金管理人的直销柜台申购本基金的A类基金份额，假设申购当日A类基金份额净值为1.0400元，则其可得到95,847.13份A类基金份额。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赎回费用=赎回份额×T日该类基金份额净值×赎回费率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赎回金额=赎回份额×T日该类基金份额净值-赎回费用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例七：某投资者赎回持有的10,000份A类基金份额，持有期限为一年，对应的赎回费率为0，假设赎回当日A类基金份额净值是1.0160元，则其可得到的赎回金额</w:t>
      </w:r>
      <w:r>
        <w:rPr>
          <w:rFonts w:ascii="宋体" w:hAnsi="宋体"/>
          <w:sz w:val="24"/>
        </w:rPr>
        <w:lastRenderedPageBreak/>
        <w:t>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赎回费用=10,000×1.0160×0=0元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赎回金额=10,000×1.0160-0＝10,160.00元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即：投资者赎回本基金10,000份A类基金份额，持有期限为一年，对应的赎回费率为0，假设赎回当日A类基金份额净值是1.0160元，则其可得到的赎回金额为10,160.00元。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基金份额净值的计算，保留到小数点后4位，小数点后第5位四舍五入，由此产生的收益或损失由基金财产承担。T日的基金份额净值在所投资基金披露净值或万份收益当日（法定节假日顺延至第一个交易日）计算，并在T+2日内披露本基金T日的各类基金份额净值和基金份额累计净值。遇特殊情况，经履行适当程序，可以适当延迟计算或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3、由于本基金持有的相当比例的基金暂停估值，导致基金管理人无法计算当日本基金资产净值。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5、接受某笔或某些申购申请可能会影响或损害现有基金份额持有人利益时。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6、基金资产规模过大，使基金管理人无法找到合适的投资品种，或其他可能对基金业绩产生负面影响，或发生其他损害现有基金份额持有人利益的情形。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采用估值技术仍导致公允价值存在重大不确定性时，经与基金托管人协商确认后，基金管理人应当暂停接受基金申购申请。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5、8项以外的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3、由于本基金持有的相当比例的基金暂停估值，导致基金管理人无法计算当日本基金资产净值。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4、由于本基金持有的相当比例的基金份额拒绝或暂停赎回、暂停上市或二级市场交易停牌、延期办理赎回、延期支付赎回款项，或其他可能对本基金业绩产生负面影响的情形。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5、连续两个或两个以上开放日发生巨额赎回。</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6、发生继续接受赎回申请将损害现有基金份额持有人利益的情形时，基金管理人可暂停接受基金份额持有人的赎回申请。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8、法律法规规定、中国证监会认定或基金合同约定的其他情形。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w:t>
      </w:r>
      <w:r>
        <w:rPr>
          <w:rFonts w:ascii="宋体" w:hAnsi="宋体"/>
          <w:sz w:val="24"/>
        </w:rPr>
        <w:lastRenderedPageBreak/>
        <w:t>金管理人应足额支付；如暂时不能足额支付，应将可支付部分按单个账户申请量占申请总量的比例分配给赎回申请人，未支付部分可延期支付。若出现上述第5项所述情形，按基金合同的相关条款处理。基金份额持有人在申请赎回时可事先选择将当日可能未获受理部分予以撤销。在暂停赎回的情况消除时，基金管理人应及时恢复赎回业务的办理并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w:t>
      </w:r>
      <w:r>
        <w:rPr>
          <w:rFonts w:ascii="宋体" w:hAnsi="宋体"/>
          <w:sz w:val="24"/>
        </w:rPr>
        <w:lastRenderedPageBreak/>
        <w:t>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2、如发生暂停的时间为1日，基金管理人应于重新开放日，在规定媒介上刊登基金重新开放申购或赎回公告，并公布最近1个开放日的各类基金份额净值。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（十三）基金的非交易过户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（十四）基金的转托管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本基金2022年4月22日刊登公告自2022年4月26日起开通定期定额投资计划业务，具体开通销售机构名单和业务规则参见相关公告。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本基金实施侧袋机制的，本基金的申购和赎回安排详见本招募说明书“侧袋机制”部分的规定或相关公告。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12" w:name="_Toc240548896"/>
      <w:r>
        <w:rPr>
          <w:rFonts w:ascii="Times New Roman" w:hAnsi="Times New Roman"/>
          <w:sz w:val="30"/>
        </w:rPr>
        <w:lastRenderedPageBreak/>
        <w:t>九、基金的投资</w:t>
      </w:r>
      <w:bookmarkEnd w:id="12"/>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本基金主要投资于经中国证监会依法核准或注册的公开募集证券投资基金的基金份额，在保持基金资产良好的流动性的前提下，力争实现基金资产的长期增值。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本基金持有的现金或者到期日在一年以内的政府债券的比例合计不低于基金资产净值的5%，其中现金不包括结算备付金、存出保证金、应收申购款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宏观经济运行周期、货币与财政政策形势、资金面供求变化、证券市场走势与估值水平等综合分析，并融合量化投资方法，结合国内外先进资产配置理念，及时把握市场时机，调整资产配置比例，获取资产配置收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2、基金投资策略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于本基金管理人绩效评估系统对不同类别的公募基金进行评估分析，在有效控制风险的前提下，通过定量和定性相结合的方法，精选具有不同风险收益特征及投资业绩比较优势的基金确定本基金配置组合。不同类别的公募基金采用不同的筛选目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对于股票型、混合型等主动管理型基金，本基金通过定量分析，确定候选基金池，多角度进行定性分析，寻找实现基金资产增值的标的；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对于指数基金、ETF等被动管理型基金，本基金运用量化方法分析适选基金的指数表现、跟踪误差、超额收益等，选择优质标的；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对于固定收益类基金，本基金采取指标分析、业绩归因等定量指标，结合定性评估，精选货币基金以满足流动性管理需求，精选优质债券基金筑底，追求长期稳健收益。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本基金的绩效评估系统分析主要包括业绩指标分析、业绩归因分析以及基金管理人综合评估等：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■收益指标：包括绝对收益、相对收益等指标；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■风险指标：包括波动率、最大回撤等指标；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■风险调整后收益指标：包括夏普比率、信息比率等指标。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（3）结合对基金管理人的定性评估，包括基金管理人基本情况、投研团队实力以及投研团队稳定性、基金经理投资优势及业绩稳定性等方面，最终确定本基金的投资组合及配置比例。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综上，本基金通过定量和定性相结合的方法，长期持续跟踪本基金的组合业绩，并定期对基金组合进行维护，力争实现基金资产的长期稳健增值。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w:t>
      </w:r>
      <w:r>
        <w:rPr>
          <w:rFonts w:ascii="宋体" w:hAnsi="宋体"/>
          <w:sz w:val="24"/>
        </w:rPr>
        <w:lastRenderedPageBreak/>
        <w:t>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实的基本面分析和深入的实地调研，以定性与定量相结合的方法对公司价值进行综合评估。通过对重点上市公司进行内在价值的评估和成长性跟踪研究，在明确的价值评估基础上精选优秀质地的投资标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4、债券投资策略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5、资产支持证券投资策略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w:t>
      </w:r>
      <w:r>
        <w:rPr>
          <w:rFonts w:ascii="宋体" w:hAnsi="宋体"/>
          <w:sz w:val="24"/>
        </w:rPr>
        <w:lastRenderedPageBreak/>
        <w:t>合型基金）的资产合计占基金资产的比例为0%-40%；投资于货币市场基金的比例不得超过基金资产的15%；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（8）本基金持有一家公司发行的证券，其市值不超过基金资产净值的10%；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（9）本基金管理人管理的全部基金持有一家公司发行的证券，不超过该证券的10%，完全按照有关指数的构成比例进行证券投资的基金品种可以不受此条款规定的比例限制；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w:t>
      </w:r>
      <w:r>
        <w:rPr>
          <w:rFonts w:ascii="宋体" w:hAnsi="宋体"/>
          <w:sz w:val="24"/>
        </w:rPr>
        <w:lastRenderedPageBreak/>
        <w:t>一致；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（13）本基金投资于同一原始权益人的各类资产支持证券的比例，不得超过基金资产净值的10%；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（14）本基金持有的全部资产支持证券，其市值不得超过基金资产净值的20%；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（15）本基金持有的同一（指同一信用级别）资产支持证券的比例，不得超过该资产支持证券规模的10%；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（16）本基金管理人管理的全部基金投资于同一原始权益人的各类资产支持证券，不得超过其各类资产支持证券合计规模的10%；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（17）本基金应投资于信用级别评级为BBB以上（含BBB）的资产支持证券。基金持有资产支持证券期间，如果其信用等级下降、不再符合投资标准，应在评级报告发布之日起3个月内予以全部卖出；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（18）基金财产参与股票发行申购，本基金所申报的金额不超过本基金的总资产，本基金所申报的股票数量不超过拟发行股票公司本次发行股票的总量；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（19）本基金进入全国银行间同业市场进行债券回购的资金余额不得超过基金资产净值的40%，进入全国银行间同业市场进行债券回购的最长期限为1年，债券回购到期后不得展期；</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（20）本基金资产总值不超过基金资产净值的140%；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11）项、第（12）项及第（17）项以外的其他情形，基金管理人应当在10个交易日内进行调整，但中国证监会规定的特殊情形除外。法律法规另有规定的，从其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w:t>
      </w:r>
      <w:r>
        <w:rPr>
          <w:rFonts w:ascii="宋体" w:hAnsi="宋体"/>
          <w:sz w:val="24"/>
        </w:rPr>
        <w:lastRenderedPageBreak/>
        <w:t>规或监管部门取消上述限制，如适用于本基金，基金管理人在履行适当程序后，则本基金投资不再受相关限制。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2、基金管理人运用本基金财产投资于股票、债券等金融工具的，投资品种和比例应当符合本基金的投资目标和投资策略。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3、禁止行为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本基金业绩比较基准：中证纯债债券型基金指数收益率×80%+中证偏股型基金指数收益率×12%+上海黄金交易所Au99.99现货实盘合约价格收益率×3%+活期存款基准利率×5%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基金投资范围以及预期投资的主要资产类别，本基金主要投资于公开募集证券投资基金，以及股票、债券等资产，相应选取与之匹配的指数作为基准要素。同时基于基金投资于股票（含存托凭证）、股票型基金（包括股票指数基金）和混合型基金（指基金合同中约定股票投资占基金资产的比例为60%以上或者最近四个</w:t>
      </w:r>
      <w:r>
        <w:rPr>
          <w:rFonts w:ascii="宋体" w:hAnsi="宋体"/>
          <w:sz w:val="24"/>
        </w:rPr>
        <w:lastRenderedPageBreak/>
        <w:t>季度披露的股票投资占基金资产的比例均在60%以上的混合型基金）的资产合计占基金资产的比例为0%-40%；本基金将债券资产、权益资产、商品类资产所对应的基准要素权重分别设置为80%、12%、3%。</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证纯债债券型基金指数由中证指数有限公司编制并发布，选取按基金合同规定只投资债券的基金作为样本，且排除分级基金、可转债基金、定期开放式基金、ETF，采用净值规模加权，适合作为本基金债券类资产投资的业绩比较基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中证偏股型基金指数由中证指数有限公司编制并发布，选取内地上市的所有股票型基金以及混合型基金中以股票为主要投资对象的基金作为样本，采用净值规模加权，以反映所有偏股型开放式证券投资基金的整体走势，适合作为本基金权益类资产的业绩比较基准要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（3）上海黄金交易所Au99.99现货实盘合约为在上海黄金交易所交易，代表黄金资产的现货合约，适合作为本基金商品类资产投资的业绩比较基准。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（4）基于基金投资目标、投资范围和投资策略，本基金可持有一定比例现金类资产，以匹配流动性管理需求。活期存款基准利率具有较强的权威性和市场影响力，适合作为本基金现金类资产的业绩比较基准。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基于本基金的投资目标、投资范围、投资策略和投资比例限制，选用上述业绩比较基准并分别赋予相应的权重，能够较好地反映本基金的风险收益特征。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中证纯债债券型基金指数由中证指数有限公司编制发布，指数代码为930609，指数具体信息详见中证指数有限公司网站，网址：www.csindex.com.cn。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中证偏股型基金指数由中证指数有限公司编制发布，指数代码为930950，指数具体信息详见中证指数有限公司网站，网址：www.csindex.com.cn。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上海黄金交易所Au99.99现货实盘合约在上海黄金交易所交易，合约代码为Au99.99，具体信息详见上海黄金交易所网站，网址：www.sge.com.cn。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活期存款基准利率由中国人民银行发布，具体信息详见中国人民银行网站，网址：www.pbc.gov.cn。</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本基金业绩比较基准收益率的计算方法以每日收益率为基础，以时间加权为计算原则。本基金先分别计算业绩比较基准中中证纯债债券型基金指数、中证偏股型</w:t>
      </w:r>
      <w:r>
        <w:rPr>
          <w:rFonts w:ascii="宋体" w:hAnsi="宋体"/>
          <w:sz w:val="24"/>
        </w:rPr>
        <w:lastRenderedPageBreak/>
        <w:t>基金指数、上海黄金交易所AU99.99现货实盘合约价格、活期存款基准利率的每日收益率，再按照预设权重比例计算当日组合要素基准的日收益率，并连乘每日收益率。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波动率、跟踪误差、信息比率和大类资产配置比例等，以更好管理基金实际投资与业绩比较基准的偏离情况，从而力争在控制风险的基础上追求超越业绩比较基准的投资回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（2）其他对基金份额持有人利益产生重大实质性影响的情形。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本基金为混合型基金中基金，其预期风险与预期收益理论上高于债券型基金、债券型基金中基金、货币市场基金和货币型基金中基金，低于股票型基金和股票型基金中基金。</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本基金托管人上海浦东发展银行股份有限公司根据本基金合同规定，于2025年10月27日复核了本报告中的财务指标、净值表现和投资组合报告等内容，保证复核内容不存在虚假记载、误导性陈述或者重大遗漏。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本报告期为2025年07月01日至09月30日。本报告财务资料未经审计师审计。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38,989,627.20</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82.27</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2,521,675.21</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5.32</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2,521,675.21</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5.32</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5,498,139.24</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11.60</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304,263.02</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0.64</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78,743.89</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47,392,448.56</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2,521,675.21</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5.43</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2,521,675.21</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5.43</w:t>
            </w:r>
          </w:p>
        </w:tc>
      </w:tr>
    </w:tbl>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2,015,462.47</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4.34</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102286</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国债</w:t>
            </w:r>
            <w:r>
              <w:rPr>
                <w:rFonts w:ascii="Times New Roman" w:hAnsi="Times New Roman"/>
                <w:color w:val="000000"/>
                <w:kern w:val="0"/>
                <w:sz w:val="25"/>
                <w:szCs w:val="24"/>
              </w:rPr>
              <w:t>2421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506,212.74</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1.09</w:t>
            </w:r>
          </w:p>
        </w:tc>
      </w:tr>
    </w:tbl>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报告期内本基金投资的前十名证券的发行主体未被监管部门立案调查，在本报告编制日前一年内本基金投资的前十名证券的发行主体未受到公开谴责和处罚。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16,798.07</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59,051.67</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5.00</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2,889.15</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right"/>
              <w:rPr>
                <w:rFonts w:ascii="宋体" w:hAnsi="宋体"/>
                <w:color w:val="000000"/>
                <w:kern w:val="0"/>
                <w:sz w:val="25"/>
                <w:szCs w:val="24"/>
              </w:rPr>
            </w:pPr>
            <w:r>
              <w:rPr>
                <w:rFonts w:ascii="Times New Roman" w:hAnsi="Times New Roman"/>
                <w:color w:val="000000"/>
                <w:kern w:val="0"/>
                <w:sz w:val="25"/>
                <w:szCs w:val="24"/>
              </w:rPr>
              <w:t>78,743.89</w:t>
            </w:r>
          </w:p>
        </w:tc>
      </w:tr>
    </w:tbl>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13" w:name="_Toc240548897"/>
      <w:r>
        <w:rPr>
          <w:rFonts w:ascii="Times New Roman" w:hAnsi="Times New Roman"/>
          <w:sz w:val="30"/>
        </w:rPr>
        <w:lastRenderedPageBreak/>
        <w:t>十、基金的业绩</w:t>
      </w:r>
      <w:bookmarkEnd w:id="13"/>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（1）交银优享一年持有期混合（FOF）A：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F21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7F21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2.31%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3.08%</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7F21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1.30%</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7F21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7.78%</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-5.40%</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7F21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7F21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-1.61%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-4.54%</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2.93%</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（2）交银优享一年持有期混合（FOF）C：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F21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7F21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2.22%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3.08%</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7F21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7F21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7.78%</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-5.81%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7F21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7F218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-4.54%</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2.57%</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注：75%×中债综合全价指数收益率+25%×沪深300指数收益率，每日进行再平</w:t>
      </w:r>
      <w:r>
        <w:rPr>
          <w:rFonts w:ascii="宋体" w:hAnsi="宋体"/>
          <w:sz w:val="24"/>
        </w:rPr>
        <w:lastRenderedPageBreak/>
        <w:t>衡过程。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7F2182" w:rsidRDefault="00AA5ED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交银施罗德优享一年持有期混合（FOF）证券投资基金</w:t>
      </w:r>
    </w:p>
    <w:p w:rsidR="007F2182" w:rsidRDefault="00AA5ED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（2022年01月27日至2025年09月30日）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（1）交银优享一年持有期混合（FOF）A</w:t>
      </w:r>
    </w:p>
    <w:p w:rsidR="007F2182" w:rsidRDefault="00197FB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（2）交银优享一年持有期混合（FOF）C</w:t>
      </w:r>
    </w:p>
    <w:p w:rsidR="007F2182" w:rsidRDefault="00197FB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14" w:name="_Toc240548898"/>
      <w:r>
        <w:rPr>
          <w:rFonts w:ascii="Times New Roman" w:hAnsi="Times New Roman"/>
          <w:sz w:val="30"/>
        </w:rPr>
        <w:lastRenderedPageBreak/>
        <w:t>十一、基金的财产</w:t>
      </w:r>
      <w:bookmarkEnd w:id="14"/>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基金资产总值是指基金拥有的各类有价证券、证券投资基金份额、银行存款本息、基金应收款项及其他资产的价值总和。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基金账户以及投资所需的其他专用账户。开立的基金专用账户与基金管理人、基金托管人、基金销售机构和基金登记机构自有的财产账户以及其他基金财产账户相独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15" w:name="_Toc240548899"/>
      <w:r>
        <w:rPr>
          <w:rFonts w:ascii="Times New Roman" w:hAnsi="Times New Roman"/>
          <w:sz w:val="30"/>
        </w:rPr>
        <w:lastRenderedPageBreak/>
        <w:t>十二、基金资产的估值</w:t>
      </w:r>
      <w:bookmarkEnd w:id="15"/>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基金所拥有的证券投资基金份额、股票、债券、资产支持证券和其他投资等持续以公允价值计量的金融资产及负债。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1、证券投资基金的估值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（1）本基金投资于非上市的非货币市场基金，按所投资基金估值日的份额净值进行估值；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（3）本基金投资的ETF基金，按所投资ETF基金估值日的收盘价进行估值；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（4）本基金投资的上市开放式基金（LOF），按所投资基金估值日的份额净值估值；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（5）本基金投资的上市定期开放式基金、封闭式基金，按所投资基金估值日的收盘价估值；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6、当发生大额申购或赎回情形时，基金管理人可以采用摆动定价机制，以确保基金估值的公平性。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8、相关法律法规以及监管部门有强制规定的，从其规定。如有新增事项，按国家最新规定估值。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估值日，基金资产净值除以当日该类估值日基金份额的余额数量计算，精确到0.0001元，小数点后第5位四舍五入。基金管理人可以设立大额赎回情形下的净值精度应急调整机制，具体可参见相关公告。国家另有规定的，从其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基金管理人于每个工作日分别计算A类基金份额、C类基金份额的基金资产净值及基金份额净值，并按规定公告。如遇特殊情况，经履行适当程序，可以适当延迟</w:t>
      </w:r>
      <w:r>
        <w:rPr>
          <w:rFonts w:ascii="宋体" w:hAnsi="宋体"/>
          <w:sz w:val="24"/>
        </w:rPr>
        <w:lastRenderedPageBreak/>
        <w:t>计算或公告。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w:t>
      </w:r>
      <w:r>
        <w:rPr>
          <w:rFonts w:ascii="宋体" w:hAnsi="宋体"/>
          <w:sz w:val="24"/>
        </w:rPr>
        <w:lastRenderedPageBreak/>
        <w:t>并且仅对估值错误的有关直接当事人负责，不对第三方负责。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（3）前述内容如法律法规或者监管部门另有规定的，从其规定。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3、由于本基金持有的相当比例的基金暂停估值，导致基金管理人无法计算当日基金资产净值；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工作日计算各类基金份额的基金资产净值和基金份额净值并发送给基金托管人。基金托管人对净值计算结果复核确认后发送给基金管理人，由基金管理人依据基金合同和相关法律法规的规定对基金净值予以公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16" w:name="_Toc240548900"/>
      <w:r>
        <w:rPr>
          <w:rFonts w:ascii="Times New Roman" w:hAnsi="Times New Roman"/>
          <w:sz w:val="30"/>
        </w:rPr>
        <w:lastRenderedPageBreak/>
        <w:t>十三、基金收益与分配</w:t>
      </w:r>
      <w:bookmarkEnd w:id="16"/>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投资者红利再投资所得基金份额不受最短持有期限制；若投资者不选择，本基金默认的收益分配方式是现金分红；基金份额持有人可对其持有的A类基金份额和C类基金份额分别选择不同的收益分配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17" w:name="_Toc240548901"/>
      <w:r>
        <w:rPr>
          <w:rFonts w:ascii="Times New Roman" w:hAnsi="Times New Roman"/>
          <w:sz w:val="30"/>
        </w:rPr>
        <w:lastRenderedPageBreak/>
        <w:t>十四、基金的费用与税收</w:t>
      </w:r>
      <w:bookmarkEnd w:id="17"/>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6、基金的证券、基金交易费用；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10、本基金投资其他基金产生的其他基金的销售费用（如申购费、赎回费、销售服务费等），但法律法规禁止从基金财产中列支的除外；</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管理人自身管理的基金部分不收取管理费。本基金的管理费按前一日基金资产净值扣除基金财产中持有的基金管理人自身管理的基金部分所对应资产后剩余部分的0.6%年费率计提。管理费的计算方法如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E为前一日的基金资产净值扣除基金财产中持有的基金管理人自身管理的基金部分所对应资产后剩余部分，若为负数，则E取0。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按月支付，由基金管理人向基金托管人发送划款指令，由基金托管人复核后于次月首日起第3个工作日从基金财产中一次性支付给基金管理人，若遇法定节假日、休息日或不可抗力致使无法按时支付的，支付日期顺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基金财产中持有的基金托管人自身托管的基金部分不收取托管费。本基金的托管费按前一日基金资产净值扣除基金财产中持有的基金托管人自身托管的基金部分所对应资产后剩余部分的0.15%的年费率计提。托管费的计算方法如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H＝E×0.15%÷当年天数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E为前一日的基金资产净值扣除基金财产中持有的基金托管人自身托管的基金部分所对应资产后剩余部分，若为负数，则E取0。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按月支付，由基金管理人向基金托管人发送划款指令，由基金托管人复核后于次月首日起第3个工作日从基金财产中一次性支取。若遇法定节假日、休息日或不可抗力致使无法按时支付的，支付日期顺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按月支付，由基金管理人向基金托管人发送划款指令，由基金托管人复核后于次月首日起第3个工作日从基金财产中一次性支付给基金管理人，由基金管理人代付给销售机构。若遇法定节假日、休息日或不可抗力致使无法按时支付的，支付日期顺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（4）上述“（一）基金费用的种类”中第3－8项，第10－11项费用，根据有关法规及相应协议规定，按费用实际支出金额列入当期费用，由基金托管人从基金财产中支付。</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18" w:name="_Toc240548902"/>
      <w:r>
        <w:rPr>
          <w:rFonts w:ascii="Times New Roman" w:hAnsi="Times New Roman"/>
          <w:sz w:val="30"/>
        </w:rPr>
        <w:lastRenderedPageBreak/>
        <w:t>十五、基金的会计与审计</w:t>
      </w:r>
      <w:bookmarkEnd w:id="18"/>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19" w:name="_Toc240548903"/>
      <w:r>
        <w:rPr>
          <w:rFonts w:ascii="Times New Roman" w:hAnsi="Times New Roman"/>
          <w:sz w:val="30"/>
        </w:rPr>
        <w:lastRenderedPageBreak/>
        <w:t>十六、基金的信息披露</w:t>
      </w:r>
      <w:bookmarkEnd w:id="19"/>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招募说明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后的2个工作日内，通过规定网站、基金销售机构网站或者营业网点，分别披露开放日的A类基金份额和C类基金份额所对应的基金份额净值和基金份额累计净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基金管理人应当在不晚于半年度和年度最后一日后的2个工作日内，在规定网站披露半年度和年度最后一日A类基金份额和C类基金份额所对应的基金份额净值和基金份额累计净值。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13、基金投资证券投资基金情况</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w:t>
      </w:r>
      <w:r>
        <w:rPr>
          <w:rFonts w:ascii="宋体" w:hAnsi="宋体"/>
          <w:sz w:val="24"/>
        </w:rPr>
        <w:lastRenderedPageBreak/>
        <w:t>息，并保证相关报送信息的真实、准确、完整、及时。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20" w:name="_Toc240548904"/>
      <w:r>
        <w:rPr>
          <w:rFonts w:ascii="Times New Roman" w:hAnsi="Times New Roman"/>
          <w:sz w:val="30"/>
        </w:rPr>
        <w:lastRenderedPageBreak/>
        <w:t>十七、侧袋机制</w:t>
      </w:r>
      <w:bookmarkEnd w:id="20"/>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7F2182" w:rsidRDefault="00AA5EDE">
      <w:pPr>
        <w:pStyle w:val="1"/>
        <w:snapToGrid w:val="0"/>
        <w:spacing w:beforeLines="0" w:before="240" w:after="240"/>
        <w:rPr>
          <w:rFonts w:ascii="宋体" w:hAnsi="宋体"/>
          <w:szCs w:val="30"/>
        </w:rPr>
      </w:pPr>
      <w:bookmarkStart w:id="21" w:name="_Toc240548905"/>
      <w:r>
        <w:rPr>
          <w:rFonts w:ascii="Times New Roman" w:hAnsi="Times New Roman"/>
          <w:sz w:val="30"/>
        </w:rPr>
        <w:lastRenderedPageBreak/>
        <w:t>十八、风险揭示</w:t>
      </w:r>
      <w:bookmarkEnd w:id="21"/>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w:t>
      </w:r>
      <w:r>
        <w:rPr>
          <w:rFonts w:ascii="宋体" w:hAnsi="宋体"/>
          <w:sz w:val="24"/>
        </w:rPr>
        <w:lastRenderedPageBreak/>
        <w:t>构成对本基金业绩表现的保证。基金管理人提醒投资人基金投资的“买者自负”原则，在做出投资决策后，基金运营状况与基金净值变化引致的投资风险，由投资人自行负担。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本基金属于开放式基金，但设置最短持有期，基金份额持有人持有的每份基金</w:t>
      </w:r>
      <w:r>
        <w:rPr>
          <w:rFonts w:ascii="宋体" w:hAnsi="宋体"/>
          <w:sz w:val="24"/>
        </w:rPr>
        <w:lastRenderedPageBreak/>
        <w:t>份额最短持有期限为一年，对于满足持有期限的投资人，基金管理人在每个开放日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具体业务办理时间在申购开始公告中规定。基金管理人自基金合同生效之日起一年后年度对日（含该日）开始办理赎回，具体业务办理时间在赎回开始公告中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全部被予以拒绝。基金份额持有人需承担赎回申请失败的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投资于公开募集证券投资基金的基金份额的资产不低于基金资产的80%，主要投资对象为具有良好流动性的金融工具，同时本基金基于分散投资的原则在行业和个券方面未有高集中度的特征，综合评估在正常市场环境下本基金的流动性风险适中。</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w:t>
      </w:r>
      <w:r>
        <w:rPr>
          <w:rFonts w:ascii="宋体" w:hAnsi="宋体"/>
          <w:sz w:val="24"/>
        </w:rPr>
        <w:lastRenderedPageBreak/>
        <w:t>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混合型基金中基金，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w:t>
      </w:r>
      <w:r>
        <w:rPr>
          <w:rFonts w:ascii="宋体" w:hAnsi="宋体"/>
          <w:sz w:val="24"/>
        </w:rPr>
        <w:lastRenderedPageBreak/>
        <w:t>金资产的比例均在60%以上的混合型基金）的资产合计占基金资产的比例为0%-40%。因此本基金所持有的基金的业绩表现、持有基金的基金管理人水平等因素将影响到本基金的基金业绩表现。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6、本基金为基金中基金，本基金可投资于商品基金，因此将间接承担商品基金可能面临的商品价格波动风险、投资商品期货合约的风险、盯市风险等商品投资风险。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w:t>
      </w:r>
      <w:r>
        <w:rPr>
          <w:rFonts w:ascii="宋体" w:hAnsi="宋体"/>
          <w:sz w:val="24"/>
        </w:rPr>
        <w:lastRenderedPageBreak/>
        <w:t>该笔申购份额确认日（含该日）至一年后年度对日的前一日。因此，对于基金份额持有人而言，存在投资本基金后一年内无法赎回的风险。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8、本基金可投资创业板股票，创业板个股上市后的前五个交易日不设价格涨跌幅限制，第六个交易日开始涨跌幅限制比例为20%。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（七）投资流通受限证券的特定风险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（八）基金合同提前终止风险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连续50个工作日出现基金份额持有人数量不满200人或基金资产净值低于5000万元情形时，基金合同终止，不需召开基金份额持有人大会。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2、流动性风险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（十）投资存托凭证的特定风险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（十一）本基金法律文件风险收益特征表述与销售机构基金风险评价可能不一致的风险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w:t>
      </w:r>
      <w:r>
        <w:rPr>
          <w:rFonts w:ascii="宋体" w:hAnsi="宋体"/>
          <w:sz w:val="24"/>
        </w:rPr>
        <w:lastRenderedPageBreak/>
        <w:t>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（十二）其他风险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22" w:name="_Toc240548906"/>
      <w:r>
        <w:rPr>
          <w:rFonts w:ascii="Times New Roman" w:hAnsi="Times New Roman"/>
          <w:sz w:val="30"/>
        </w:rPr>
        <w:lastRenderedPageBreak/>
        <w:t>十九、基金合同的变更、终止与基金财产的清算</w:t>
      </w:r>
      <w:bookmarkEnd w:id="22"/>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23" w:name="_Toc240548907"/>
      <w:r>
        <w:rPr>
          <w:rFonts w:ascii="Times New Roman" w:hAnsi="Times New Roman"/>
          <w:sz w:val="30"/>
        </w:rPr>
        <w:lastRenderedPageBreak/>
        <w:t>二十、基金合同内容摘要</w:t>
      </w:r>
      <w:bookmarkEnd w:id="23"/>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17）以基金管理人的名义，参与本基金持有的基金所召开的基金份额持有人大会；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18）法律法规及中国证监会规定的和《基金合同》约定的其他权利。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w:t>
      </w:r>
      <w:r>
        <w:rPr>
          <w:rFonts w:ascii="宋体" w:hAnsi="宋体"/>
          <w:sz w:val="24"/>
        </w:rPr>
        <w:lastRenderedPageBreak/>
        <w:t>配基金收益；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4）根据相关市场规则，为基金开设资金账户、证券账户、基金账户等投资所需账户、为基金办理基金、证券交易资金清算；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6）按规定开设基金财产的资金账户、证券账户、基金账户等投资所需账户，按照《基金合同》的约定，根据基金管理人的投资指令，及时办理清算、交割事宜；</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8）复核、审查基金管理人计算的基金资产净值、基金份额净值、基金份额申购、赎回价格；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w:t>
      </w:r>
      <w:r>
        <w:rPr>
          <w:rFonts w:ascii="宋体" w:hAnsi="宋体"/>
          <w:sz w:val="24"/>
        </w:rPr>
        <w:lastRenderedPageBreak/>
        <w:t>《基金合同》的当事人，直至其不再持有本基金的基金份额。基金份额持有人作为《基金合同》当事人并不以在《基金合同》上书面签章或签字为必要条件。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w:t>
      </w:r>
      <w:r>
        <w:rPr>
          <w:rFonts w:ascii="宋体" w:hAnsi="宋体"/>
          <w:sz w:val="24"/>
        </w:rPr>
        <w:lastRenderedPageBreak/>
        <w:t>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w:t>
      </w:r>
      <w:r>
        <w:rPr>
          <w:rFonts w:ascii="宋体" w:hAnsi="宋体"/>
          <w:sz w:val="24"/>
        </w:rPr>
        <w:lastRenderedPageBreak/>
        <w:t>不需召开基金份额持有人大会：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2）在法律法规和《基金合同》规定的范围内调整本基金的申购费率、调低赎回费率、调低基金销售服务费、在对现有基金份额持有人利益无实质性不利影响的前提下变更收费方式；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（3）基金合同生效后的存续期内，若连续50个工作日出现基金份额持有人数量不满200人或者基金资产净值低于5000万元情形，基金合同终止，不需召开基金份额持有人大会。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w:t>
      </w:r>
      <w:r>
        <w:rPr>
          <w:rFonts w:ascii="宋体" w:hAnsi="宋体"/>
          <w:sz w:val="24"/>
        </w:rPr>
        <w:lastRenderedPageBreak/>
        <w:t>当配合；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w:t>
      </w:r>
      <w:r>
        <w:rPr>
          <w:rFonts w:ascii="宋体" w:hAnsi="宋体"/>
          <w:sz w:val="24"/>
        </w:rPr>
        <w:lastRenderedPageBreak/>
        <w:t>方式和联系人、表决意见寄交的截止时间和收取方式。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基金份额持有人大会不得对未事先公告的议事内容进行表决。</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w:t>
      </w:r>
      <w:r>
        <w:rPr>
          <w:rFonts w:ascii="宋体" w:hAnsi="宋体"/>
          <w:sz w:val="24"/>
        </w:rPr>
        <w:lastRenderedPageBreak/>
        <w:t>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w:t>
      </w:r>
      <w:r>
        <w:rPr>
          <w:rFonts w:ascii="宋体" w:hAnsi="宋体"/>
          <w:sz w:val="24"/>
        </w:rPr>
        <w:lastRenderedPageBreak/>
        <w:t>其规定。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法律法规对于本基金参与本基金持有的基金召开基金份额持有人大会的程序或要求另有规定的，从其规定。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w:t>
      </w:r>
      <w:r>
        <w:rPr>
          <w:rFonts w:ascii="宋体" w:hAnsi="宋体"/>
          <w:sz w:val="24"/>
        </w:rPr>
        <w:lastRenderedPageBreak/>
        <w:t>与基金份额持有人大会投票；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3、基金财产的清算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w:t>
      </w:r>
      <w:r>
        <w:rPr>
          <w:rFonts w:ascii="宋体" w:hAnsi="宋体"/>
          <w:sz w:val="24"/>
        </w:rPr>
        <w:lastRenderedPageBreak/>
        <w:t>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仲裁裁决是终局的，对各方当事人均有约束力，除非仲裁裁决另有规定，仲裁费用由败诉方承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《基金合同》正本一式六份，除上报有关监管机构二份外，基金管理人、基金托管人各持有二份，每份具有同等的法律效力。</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24" w:name="_Toc240548908"/>
      <w:r>
        <w:rPr>
          <w:rFonts w:ascii="Times New Roman" w:hAnsi="Times New Roman"/>
          <w:sz w:val="30"/>
        </w:rPr>
        <w:lastRenderedPageBreak/>
        <w:t>二十一、托管协议的内容摘要</w:t>
      </w:r>
      <w:bookmarkEnd w:id="24"/>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1、基金管理人：交银施罗德基金管理有限公司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2、基金托管人：上海浦东发展银行股份有限公司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成立日期：1992年10月19日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基金托管业务资格批准机关：中国证监会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基金托管业务资格文号：证监基金字[2003]105号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注册资本：人民币293.52亿元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经营期限：永久存续</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本基金将投资于以下金融工具：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债券（含国债、央行票据、金融债券、政府支持债券、政府支持机构</w:t>
      </w:r>
      <w:r>
        <w:rPr>
          <w:rFonts w:ascii="宋体" w:hAnsi="宋体"/>
          <w:sz w:val="24"/>
        </w:rPr>
        <w:lastRenderedPageBreak/>
        <w:t>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已明确约定基金投资风格或证券选择标准的，基金管理人应按照基金托管人要求的格式提供投资品种，以便基金托管人运用相关技术系统，对基金实际投资是否符合《基金合同》关于证券选择标准的约定进行监督，对存在疑义的事项进行核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本基金不得投资于相关法律、法规、部门规章及《基金合同》禁止投资的投资工具。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（1）按法律法规的规定及《基金合同》的约定，本基金的投资资产配置比例为：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本基金持有的现金或者到期日在一年以内的政府债券的比例合计不低于基金资产净值的5%，其中现金不包括结算备付金、存出保证金、应收申购款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因基金规模或市场变化等因素导致投资组合不符合上述规定的，基金管理人应在合理的期限内调整基金的投资组合，以符合上述比例限定。法律法规另有规定时，从其规定。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（2）根据法律法规的规定及《基金合同》的约定，本基金投资组合遵循以下投资限制：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投资于货币市场基金的比例不得超过基金资产的15%；</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8）本基金持有一家公司发行的证券，其市值不超过基金资产净值的10%；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9）本基金管理人管理的全部基金持有一家公司发行的证券，不超过该证券的10%，完全按照有关指数的构成比例进行证券投资的基金品种可以不受此条款规定的比例限制；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11）本基金主动投资于流动性受限资产的市值合计不得超过本基金资产净值的15%；因证券市场波动、上市公司股票停牌、基金规模变动等基金管理人之外的因</w:t>
      </w:r>
      <w:r>
        <w:rPr>
          <w:rFonts w:ascii="宋体" w:hAnsi="宋体"/>
          <w:sz w:val="24"/>
        </w:rPr>
        <w:lastRenderedPageBreak/>
        <w:t>素致使基金不符合该比例限制的，基金管理人不得主动新增流动性受限资产的投资；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13）本基金投资于同一原始权益人的各类资产支持证券的比例，不得超过基金资产净值的10%；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14）本基金持有的全部资产支持证券，其市值不得超过基金资产净值的20%；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15）本基金持有的同一（指同一信用级别）资产支持证券的比例，不得超过该资产支持证券规模的10%；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16）本基金管理人管理的全部基金投资于同一原始权益人的各类资产支持证券，不得超过其各类资产支持证券合计规模的10%；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17）本基金应投资于信用级别评级为BBB以上（含BBB）的资产支持证券。基金持有资产支持证券期间，如果其信用等级下降、不再符合投资标准，应在评级报告发布之日起3个月内予以全部卖出；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18）基金财产参与股票发行申购，本基金所申报的金额不超过本基金的总资产，本基金所申报的股票数量不超过拟发行股票公司本次发行股票的总量；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19）本基金进入全国银行间同业市场进行债券回购的资金余额不得超过基金资产净值的40%，进入全国银行间同业市场进行债券回购的最长期限为1年，债券回购到期后不得展期；</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20）本基金资产总值不超过基金资产净值的140%；</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11）项、第12）项及第17）项以外的其他情形，基金管理人应当在10个交易日内进行调整，但中国证监会规定的特殊情形除外。法律法规另有规定的，从其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w:t>
      </w:r>
      <w:r>
        <w:rPr>
          <w:rFonts w:ascii="宋体" w:hAnsi="宋体"/>
          <w:sz w:val="24"/>
        </w:rPr>
        <w:lastRenderedPageBreak/>
        <w:t>金合同的有关约定。在上述期间内，本基金的投资范围、投资策略应当符合基金合同的约定。基金托管人对基金的投资的监督与检查自基金合同生效之日起开始。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上述指标的监督义务，仅限于监督由基金管理人管理且由托管人托管的全部公募基金是否符合上述比例限制。《基金法》及其他有关法律法规或监管部门取消上述限制的，如适用于本基金，基金管理人在履行适当程序后，则本基金投资不再受相关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基金管理人应在出现可预见资产规模大幅变动的情况下，至少提前2个工作日正式向基金托管人发函说明基金可能的变动规模和公司应对措施，便于基金托管人实施交易监督。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如法律、行政法规或监管部门取消或变更上述禁止性规定，如适用于本基金，基金管理人在履行适当程序后可不受上述规定的限制。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w:t>
      </w:r>
      <w:r>
        <w:rPr>
          <w:rFonts w:ascii="宋体" w:hAnsi="宋体"/>
          <w:sz w:val="24"/>
        </w:rPr>
        <w:lastRenderedPageBreak/>
        <w:t>露。重大关联交易应提交基金管理人董事会审议，并经过三分之二以上的独立董事通过。基金管理人董事会应至少每半年对关联交易事项进行审查。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基金合同》有关于基金从事关联交易的规定，基金管理人和基金托管人事先相互提供与本机构有控股关系的股东、与本机构有其他重大利害关系的公司名单及有关关联方发行的证券清单，加盖公章并书面提交。基金管理人有责任确保其向基金托管人提供的关联交易名单的真实性、准确性、完整性，并负责及时将更新后的名单发送给基金托管人。基金管理人的关联方名单变更后基金管理人应及时发送基金托管人，经基金托管人确认后，新的关联交易名单开始生效。基金托管人仅按基金管理人提供的基金关联方名单为限，进行监督。如果基金托管人在运作中严格遵循了监督流程，基金管理人仍违规进行关联交易，并造成基金资产损失的，由基金管理人承担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基金托管人根据基金管理人提供的银行间债券市场交易对手名单进行监督。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6.基金托管人依据有关法律法规的规定和《基金合同》的约定，对基金银行存款业务进行监督。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加强对基金投资银行存款风险的评估与研究，严格测算与控制投资银行存款的风险敞口，针对不同类型存款银行建立相关投资限制制度。对于基金投资的银行存款，由于存款银行发生信用风险事件而造成损失时，如果基金托管人在运作过程中遵循有关法律法规的规定和《基金合同》的约定监督流程，则对于由于存款银行信用风险引起的损失，不承担赔偿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7.基金托管人对基金投资流通受限证券的监督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如下所指“流通受限证券”与本协议以及基金合同所指“流动性受限资产”定义存在不同。就流动性受限资产定义，请参照基金合同的“第二部分 释义”部分。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w:t>
      </w:r>
      <w:r>
        <w:rPr>
          <w:rFonts w:ascii="宋体" w:hAnsi="宋体"/>
          <w:sz w:val="24"/>
        </w:rPr>
        <w:lastRenderedPageBreak/>
        <w:t>度、流动性风险处置预案以及相关投资额度和比例等的情况进行监督。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流通受限证券包括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等问题的应对解决措施，以及有关异常情况的处置。基金管理人应在首次投资流通受限证券前向基金托管人提供基金投资非公开发行股票的相关流动性风险处置预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对本基金因投资流通受限证券导致的流动性风险，基金托管人不承担任何责任。如因基金管理人原因导致本基金出现损失的，基金托管人不承担任何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基金投资非公开发行股票后两个交易日内，在中国证监会规定媒介披露所投资非公开发行股票的名称、数量、总成本、账面价值，以及总成本和账面价值占基金资产净值的比例、锁定期等信息。</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基金投资的流通受限证券应保证登记存管在相关基金名下，基金管理人负责相关工作的落实和协调，并保证基金托管人能够正常查询。如因流通受限证券的登记存管不能保证基金托管人正常履行资产保管责任，有关此项基金资产存管的责任由基金管理人承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未遵守相关制度、流动性风险处置方案以及投资额度和比例限制要求，导致基金出现风险使基金托管人承担连带赔偿责任的，若基金托管人此前已切实履行监督职责的，基金管理人应赔偿基金托管人由此遭受的损失。</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非公开发行股票，基金管理人应至少于执行投资指令之前两个工作日将有关资料书面提交基金托管人，并保证向基金托管人提供的有关资料真实、准确、完整。有关资料如有调整，基金管理人应及时提供调整后的资料。上述书面资料包括但不限于：</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1）中国证监会批准发行非公开发行股票的批准文件。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2）有关非公开发行股票的发行数量、发行价格、锁定期等发行资料。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3）基金拟认购的数量、价格、总成本、账面价值。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4）该基金投资流通受限证券的投资额度和投资比例控制。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资料的权利。否则，基金托管人有权拒绝执行有关指令。因拒绝执行该指令造成基金财产损失的，基金托管人不承担任何责任，并有权报告中国证监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如基金管理人和基金托管人无法就上述问题达成一致，应及时上报中国证监会请求解决。基金托管人履行了本协议规定的监督职责后，不承担任何责任。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(5)相关法律法规对基金投资流通受限证券有新规定的，从其规定。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对基金投资中期票据的监督责任仅限于依据本协议相关规定对投资比例和投资限制进行事后监督；除此外，无其它监督责任。如发现异常情况，应及时以书面形式通知基金管理人。基金管理人应积极配合和协助基金托管人进行监督和核查。基金因投资中期票据导致的信用风险、流动性风险，基金托管人不承担任何责任。如因基金管理人原因导致基金出现损失的，基金托管人不承担任何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基金托管协议等有关规定时，应及时以书面形式通知基金管理人限期纠正，基金管理人收到通知后应在下一个工作日及时核对，并以书面形式向基金托管人发出回函，进行解释或举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基金管理人应积极配合和协助基金托管人依照法律法规、《基金合同》和本托</w:t>
      </w:r>
      <w:r>
        <w:rPr>
          <w:rFonts w:ascii="宋体" w:hAnsi="宋体"/>
          <w:sz w:val="24"/>
        </w:rPr>
        <w:lastRenderedPageBreak/>
        <w:t>管协议对基金业务的监督和核查，对基金托管人发出的书面提示，必须在规定时间内答复基金托管人并改正，或就基金托管人的疑义进行解释或举证，对基金托管人按照法律法规、《基金合同》和本托管协议的要求需向中国证监会报送基金监督报告的，基金管理人应积极配合提供相关数据资料和制度等。</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发出但未执行的投资指令或依据交易程序已经生效的投资指令违反法律、行政法规和其他有关规定，或者违反《基金合同》约定的，应当立即通知基金管理人，并报告中国证监会。基金管理人的上述违规失信行为给基金财产或基金份额持有人造成的损失，由基金管理人承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对于必须于估值完成后方可获知的监控指标或依据交易程序已经成交的投资指令，基金托管人发现该投资指令违反法律法规或者违反《基金合同》约定的，应当立即通知基金管理人，并报告中国证监会。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是否安全保管基金财产、是否分别开设基金财产的资金账户、证券账户、基金账户及投资所需其他账户、是否复核基金管理人计算的基金资产净值和各类基金份额净值、是否根据基金管理人指令办理清算交收、进行相关信息披露和监督基金投资运作等行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并以书面形式向基金管理人发出回函。在限期内，基金管理人有权随时对通知事项进行复查，督促基金托管人改正。基金托管人对基金管理人通知的违规事项未能在限期内纠正的，基金管理人应报告中国证监会。基金管理人发现基金托管人有重大违规行为，应立即报告中国证监会和银行业监督管理机构，同时通知基金托管人限期纠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基金托管人应积极配合基金管理人的核查行为，包括但不限于：提交相关资料以供基金管理人核查托管财产的完整性和真实性，在规定时间内答复基金管理人并改正。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按本协议规定安全保管托管财产。未经基金管理人的指令，不得自行运用、处分、分配基金的任何财产（基金托管人主动扣收的汇划费除外）。基金托管人不对处于自身实际控制之外的账户及财产承担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（3）基金托管人按照规定为托管的基金财产开设资金账户、证券账户、基金账户及投资所需其他账户。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基金管理人的追偿行为应予以必要的协助与配合，但对基金财产的损失不承担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募集期内销售机构按销售与服务协议的约定，将认购资金划入基金管理人在具有托管资格的商业银行开设的“交银施罗德基金管理有限公司基金认购专户”。该账户由基金管理人开立并管理。基金募集期满或基金管理人宣布停止募集时，募集的基金份额总额、基金募集金额、基金份额持有人人数符合《基金法》、《运作办法》等有关规定后，由基金管理人聘请符合《中华人民共和国证券法》规定的会计师事务所进行验资，出具验资报告，出具的验资报告应由参加验资的2名以上（含2名）中国注册会计师签字方为有效。验资完成，基金管理人应将募集的属于本基金财产的全部资金划入基金托管人为基金开立的资产托管专户中，并确保划入的资金</w:t>
      </w:r>
      <w:r>
        <w:rPr>
          <w:rFonts w:ascii="宋体" w:hAnsi="宋体"/>
          <w:sz w:val="24"/>
        </w:rPr>
        <w:lastRenderedPageBreak/>
        <w:t>与验资金额相一致。基金托管人收到有效认购资金当日以书面形式确认资金到账情况，并及时将资金到账凭证传真给基金管理人，双方进行账务处理。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若基金募集期限届满，未能达到《基金合同》生效的条件，由基金管理人按规定办理退款事宜，基金托管人应提供充分协助。</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3、基金资产托管专户的开立和管理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的名义在其营业机构开设资产托管专户，并根据基金管理人合法合规的有效指令办理资金收付。基金管理人应根据法律法规及基金托管人的相关要求，提供开户所需的资料并提供其他必要协助。本基金的资产托管专户的预留印鉴的印章由基金托管人刻制、保管和使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一切货币收支活动，均需通过基金托管人或基金的资产托管专户进行。基金的资产托管专户的开立和使用，限于满足开展本基金业务的需要。除因本基金业务需要，基金托管人和基金管理人不得假借本基金的名义开立其他任何银行账户；亦不得使用以基金名义开立的银行账户进行本基金业务以外的活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资产托管专户的管理应符合《人民币银行结算账户管理办法》、《现金管理暂行条例》、《人民币利率管理规定》、《利率管理暂行规定》、《支付结算办法》以及银行业监督管理机构的其他有关规定。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基金托管人以基金托管人和本基金联名的方式在中国证券登记结算有限责任公司上海分公司/深圳分公司开立专门的证券账户。</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基金证券账户的开立和使用，限于满足开展本基金业务的需要。基金托管人和基金管理人不得出借和未经对方同意擅自转让本基金的任何证券账户；亦不得使用本基金的任何证券账户进行本基金业务以外的活动。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原始开户材料的保管由基金托管人负责，账户资产的管理和运用由基金管理人负责。基金托管人以基金托管人的名义在中国证券登记结算有限责任公司上海分公司/深圳分公司开立结算备付金账户，基金托管人代表所托管的基金完成与中国证券登记结算有限责任公司的一级法人清算工作，基金管理人应予以积极协助。结算备付金、证券结算保证金等的收取按照中国证券登记结算有限责任公司的规定和基金托管人为履行结算参与人的义务所制定的业务规则执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5、银行间市场债券托管和资金结算专户的开立和管理及市场准入备案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《基金合同》生效后，在符合监管机构要求的情况下，基金管理人负责以基金</w:t>
      </w:r>
      <w:r>
        <w:rPr>
          <w:rFonts w:ascii="宋体" w:hAnsi="宋体"/>
          <w:sz w:val="24"/>
        </w:rPr>
        <w:lastRenderedPageBreak/>
        <w:t>的名义申请并取得进入全国银行间同业拆借市场的交易资格，并代表基金进行交易；基金托管人根据中国人民银行、中央国债登记结算有限责任公司、银行间市场清算所股份有限公司的有关规定，以本基金的名义分别在中央国债登记结算有限责任公司、银行间市场清算所股份有限公司开立债券托管账户和资金结算账户，并代表基金进行银行间市场债券交易的结算。基金托管人协助基金管理人完成银行间债券市场准入备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（1）因业务发展而需要开立的其它账户，可以根据《基金合同》或有关法律法规的规定，经基金管理人和基金托管人协商一致后，由基金托管人负责为基金开立。新账户按有关规则使用并管理。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7、基金投资银行存款账户的开立和管理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基金投资银行定期存款，基金管理人与基金托管人应比照相关规定，就本基金投资银行存款业务签订书面协议。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存款账户必须以基金名义开立，账户名称为基金名称，存款账户开户文件上加盖预留印鉴及基金管理人公章。</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本基金投资银行存款时，基金管理人应当与存款银行签订具体存款协议，明确存款的类型、期限、利率、金额、账号、对账方式、支取方式、账户管理等细则。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为防范特殊情况下的流动性风险，定期存款协议中应当约定提前支取条款。</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基金所投资定期存款存续期间，基金管理人、基金托管人应当与存款银行建立定期对账机制，确保基金银行存款业务账目及核对的真实、准确。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8、基金财产投资的有关实物证券、银行定期存款存单等有价凭证的保管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中国证券登记结算有限责任公司上海分公司/深圳分公司、银行间市场清算所股份有限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实物证券、银行定期存款存单对应的财产不承担保管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9、与基金财产有关的重大合同的保管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30个工作日内通过专人送达、挂号邮寄等安全方式将合同原件送达基金托管人处。合同原件应存放于基金管理人和基金托管人各自文件保管部门，保管期限不低于法律法规规定的最低期限。</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对于无法取得二份以上的正本的，基金管理人应向基金托管人提供与合同原件核对一致的并加盖基金管理人公章的合同传真件或复印件，未经双方协商一致，合同原件不得转移。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的基金份额净值是按照每个估值日，基金资产净值除以当日该类估值日基金份额的余额数量计算，精确到0.0001元，小数点后第5位四舍五入。基金管理人可以设立大额赎回情形下的净值精度应急调整机制，具体可参见相关公告。国家另有规定的，从其规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净值信息，基金托管人复核、审查基金管理人计算的基金净值信息。本基金的会计责任方是基金管理人，就与本基金有关的会计问题，如经相关各方在平等基础上充分讨论后，仍无法达成一致的意见，按照基金管理人对基金净值信息的计算结果对外予以公布。法律法规以及监管部门有强制规定的，从其规定。如有新增事项，按国家最新规定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估值原则应符合《基金合同》、《证券投资基金会计核算业务指引》及其他法律法规的规定的约定。</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当相关法律法规或《基金合同》规定的估值方法不能客观反映基金财产公允价</w:t>
      </w:r>
      <w:r>
        <w:rPr>
          <w:rFonts w:ascii="宋体" w:hAnsi="宋体"/>
          <w:sz w:val="24"/>
        </w:rPr>
        <w:lastRenderedPageBreak/>
        <w:t>值时，基金管理人可根据具体情况，并与基金托管人商定后，按最能反映公允价值的价格估值。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并报中国证监会备案；当发生净值计算错误时，由基金管理人负责处理，由此给基金份额持有人和基金造成损失的，应由基金管理人先行赔付，基金管理人按差错情形，有权向其他当事人追偿，基金托管人不承担任何责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因基金管理人和基金托管人原因致使基金份额净值计算差错给基金和基金份额持有人造成损失需要进行赔偿时，基金管理人和基金托管人应根据实际情况界定双方承担的责任，经确认后按以下条款进行赔偿：</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管理人的建议执行，由此给基金份额持有人和基金财产造成的直接损失，由基金管理人负责赔付。2）若基金管理人计算的基金份额净值已由基金托管人复核确认后公告，而且基金托管人未对计算过程提出疑义或要求基金管理人书面说明的，在基金份额净值出错且造成基金份额持有人直接损失的，应根据法律法规的规定对基金份额持有人或基金支付赔偿金，对于向基金份额持有人或基金支付的赔偿金额，基金管理人与基金托管人按照各自收取的管理费和托管费的比例承担相应的责任。3）如基金管理人和基金托管人对基金份额净值的计算结果，虽然多次重新计算和核对，尚不能达成一致时，为避免不能按时公布基金份额净值的情形，以基金管理人的计算结果对外公布，由此给基金份额持有人和基金造成的直接损失，由基金管理人负责赔付。4）由于基金管理人提供的信息错误（包括但不限于基金申购或赎回金额等），导致基金份额净值计算错误而引起的基金份额持有人和基金财产的损失，由基金管理人负责赔付。</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（3）由于不可抗力原因，或由于证券交易所、证券经纪机构及登记结算公司发送的数据错误，或国家会计政策变更、市场规则变更等，基金管理人和基金托管</w:t>
      </w:r>
      <w:r>
        <w:rPr>
          <w:rFonts w:ascii="宋体" w:hAnsi="宋体"/>
          <w:sz w:val="24"/>
        </w:rPr>
        <w:lastRenderedPageBreak/>
        <w:t>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（5）前述内容如法律法规或者监管部门另有规定的，从其规定。如果行业另有通行做法，双方当事人应本着平等和保护基金份额持有人利益的原则进行协商。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4、暂停估值的情形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（5）法律法规、中国证监会和《基金合同》认定的其他情形。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净值信息的计算和公告的，以基金管理人的账册为准。</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6、基金定期报告、基金招募说明书的编制和复核</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《基金合同》生效后，基金招募说明书的信息发生重大变更的，基金管理人应</w:t>
      </w:r>
      <w:r>
        <w:rPr>
          <w:rFonts w:ascii="宋体" w:hAnsi="宋体"/>
          <w:sz w:val="24"/>
        </w:rPr>
        <w:lastRenderedPageBreak/>
        <w:t>当在三个工作日内，更新基金招募说明书并登载在规定网站上；基金招募说明书其他信息发生变更的，基金管理人至少每年更新一次。基金管理人在季度结束之日起15个工作日内完成季度报告编制并公告；在上半年结束之日起两个月内完成中期报告编制并公告；在每年结束之日起三个月内完成年度报告编制并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每月结束后5个工作日内完成月度报告，在月度报告完成当日，对报告加盖公章后，以加密传真方式将有关报告提供基金托管人复核；基金托管人在3个工作日内进行复核，并将复核结果及时书面通知基金管理人。基金管理人在每季度结束后7个工作日内完成季度报告，在季度报告完成当日，将有关报告提供基金托管人复核，基金托管人在收到后7个工作日内进行复核，并将复核结果书面通知基金管理人。基金管理人在基金会计年度前六个月结束后30日内完成中期报告，在中期报告完成当日，将有关报告提供基金托管人复核，基金托管人在收到后30日内进行复核，并将复核结果书面通知基金管理人。基金管理人在基金会计年度结束后45日内完成年度报告，在年度报告完成当日，将有关报告提供基金托管人复核，基金托管人在收到后45日内复核，并将复核结果书面通知基金管理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相关各方的报表存在不符时，基金管理人和基金托管人应共同查明原因，进行调整，调整以相关各方认可的账务处理方式为准。核对无误后，基金托管人在基金管理人提供的报告上加盖印鉴或者出具加盖托管业务部门业务章的复核意见书，相关各方各自留存一份。如果基金管理人与基金托管人不能于应当发布公告之日之前就相关报表达成一致，基金管理人有权按照其编制的报表对外发布公告，基金托管人有权就相关情况报中国证监会备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基金托管人在对财务会计报告、中期报告或年度报告复核完毕后，需盖章确认或出具相应的复核确认书，以备有权机构对相关文件审核时提示。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基金登记机构根据基金管理人的指令编制和保管，基金管理人应按照目前相关规则保管基金份额持有人名册。保管方式可以采用电子或文档的形式。保管期限不低于法律法规规定的最低期限。</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基金托管人编制中期报告和年度报告前，基金管理人应将每年6月30日、12月31日的基金持有人名册送交基金托管人，文件方式可以采用电子或文档的形式并且保证其的真实、准确、完整。基金托管人应妥善保管，不得将持有人名册用于基金托管业务以外的其他用途。</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1、本协议适用中华人民共和国法律（为本协议之目的，在此不包括香港、澳门特别行政区和台湾地区法律），并从其解释。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双方当事人同意，因本协议而产生的或与本协议有关的一切争议，除经友好协商可以解决的，任何一方均有权将争议提交上海国际经济贸易仲裁委员会，根据该会届时有效的仲裁规则进行仲裁，仲裁的地点在上海，仲裁裁决是终局性的并对双方均有约束力，除非仲裁裁决另有规定，仲裁费用由败诉方承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争议处理期间，双方当事人应恪守基金管理人和基金托管人职责，继续忠实、勤勉、尽责地履行《基金合同》和本托管协议规定的义务，维护基金份额持有人的合法权益。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1、托管协议的变更与终止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并需经基金管理人、基金托管人加盖公章或合同专用章以及双方法定代表人或授权代理人签字（或盖章）确认。基金托管协议的变更报中国证监会备案。</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2）基金托管人解散、依法被撤销、破产或有其他基金托管人接管基金资产；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3）基金管理人解散、依法被撤销、破产或有其他基金管理人接管基金管理权；</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2、基金财产的清算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w:t>
      </w:r>
      <w:r>
        <w:rPr>
          <w:rFonts w:ascii="宋体" w:hAnsi="宋体"/>
          <w:sz w:val="24"/>
        </w:rPr>
        <w:lastRenderedPageBreak/>
        <w:t>成立清算小组，基金管理人组织基金财产清算小组并在中国证监会的监督下进行基金清算。</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（2）在基金财产清算小组接管基金财产之前，基金管理人和基金托管人应按照《基金合同》和本托管协议的规定继续履行保护基金财产安全的职责。</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（4）基金财产清算小组职责：基金财产清算小组负责基金财产的保管、清理、估价、变现和分配。基金财产清算小组可以依法进行必要的民事活动。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（5）基金财产清算程序：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基金财产清算的期限为6个月，但因本基金所持证券的流动性受到限制而不能及时变现的，清算期限相应顺延。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（6）清算费用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（7）基金财产按下列顺序清偿：</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3、基金财产清算的公告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4、基金财产清算账册及文件的保存</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25" w:name="_Toc240548909"/>
      <w:r>
        <w:rPr>
          <w:rFonts w:ascii="Times New Roman" w:hAnsi="Times New Roman"/>
          <w:sz w:val="30"/>
        </w:rPr>
        <w:lastRenderedPageBreak/>
        <w:t>二十二、对基金份额持有人的服务</w:t>
      </w:r>
      <w:bookmarkEnd w:id="25"/>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每次交易结束后，可在T+3个工作日后通过销售机构的网点查询和打印确认单。</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定期定额投资等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（四）基金红利再投资</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基金份额可选择现金红利或选择红利再投将现金红利自动转为基金份额进行再投资，若投资人不选择，本基金默认的收益分配方式是现金分红；基金份额持有人可对其持有的A类以及C类基金份额分别选择不同的收益分配方式。再投资红利按红利再投日（即除息日）除息后的基金份额净值自动转为基金份额，并免收申购费用。</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26" w:name="_Toc240548910"/>
      <w:r>
        <w:rPr>
          <w:rFonts w:ascii="Times New Roman" w:hAnsi="Times New Roman"/>
          <w:sz w:val="30"/>
        </w:rPr>
        <w:lastRenderedPageBreak/>
        <w:t>二十三、其他应披露事项</w:t>
      </w:r>
      <w:bookmarkEnd w:id="26"/>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交银施罗德基金管理有限公司关于增加国泰君安证券股份有限公司为旗下基金的销售机构的公告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2025-03-17</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）基金合同</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2025-03-26</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2025-03-26</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2025-03-26</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2025-03-26</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交银施罗德基金管理有限公司关于调整交银施罗德优享一年持有期混合型基金中基金（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）管理费率并修改基金合同等法律文件的公告</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2025-03-26</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）基金资产净值连续低于</w:t>
            </w:r>
            <w:r>
              <w:rPr>
                <w:rFonts w:ascii="Times New Roman" w:hAnsi="Times New Roman"/>
                <w:color w:val="000000"/>
                <w:kern w:val="0"/>
                <w:sz w:val="25"/>
                <w:szCs w:val="24"/>
              </w:rPr>
              <w:t>5000</w:t>
            </w:r>
            <w:r>
              <w:rPr>
                <w:rFonts w:ascii="Times New Roman" w:hAnsi="Times New Roman"/>
                <w:color w:val="000000"/>
                <w:kern w:val="0"/>
                <w:sz w:val="25"/>
                <w:szCs w:val="24"/>
              </w:rPr>
              <w:t>万元的提示性公告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2025-11-04</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）资产净值连续低于</w:t>
            </w:r>
            <w:r>
              <w:rPr>
                <w:rFonts w:ascii="Times New Roman" w:hAnsi="Times New Roman"/>
                <w:color w:val="000000"/>
                <w:kern w:val="0"/>
                <w:sz w:val="25"/>
                <w:szCs w:val="24"/>
              </w:rPr>
              <w:t>5000</w:t>
            </w:r>
            <w:r>
              <w:rPr>
                <w:rFonts w:ascii="Times New Roman" w:hAnsi="Times New Roman"/>
                <w:color w:val="000000"/>
                <w:kern w:val="0"/>
                <w:sz w:val="25"/>
                <w:szCs w:val="24"/>
              </w:rPr>
              <w:t>万元的提示性公告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2025-11-18</w:t>
            </w:r>
          </w:p>
        </w:tc>
      </w:tr>
      <w:tr w:rsidR="007F218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22</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）资产净值连续低于</w:t>
            </w:r>
            <w:r>
              <w:rPr>
                <w:rFonts w:ascii="Times New Roman" w:hAnsi="Times New Roman"/>
                <w:color w:val="000000"/>
                <w:kern w:val="0"/>
                <w:sz w:val="25"/>
                <w:szCs w:val="24"/>
              </w:rPr>
              <w:t>5000</w:t>
            </w:r>
            <w:r>
              <w:rPr>
                <w:rFonts w:ascii="Times New Roman" w:hAnsi="Times New Roman"/>
                <w:color w:val="000000"/>
                <w:kern w:val="0"/>
                <w:sz w:val="25"/>
                <w:szCs w:val="24"/>
              </w:rPr>
              <w:t>万元的提示性公告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F2182" w:rsidRDefault="00AA5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2025-11-25</w:t>
            </w:r>
          </w:p>
        </w:tc>
      </w:tr>
    </w:tbl>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27" w:name="_Toc240548911"/>
      <w:r>
        <w:rPr>
          <w:rFonts w:ascii="Times New Roman" w:hAnsi="Times New Roman"/>
          <w:sz w:val="30"/>
        </w:rPr>
        <w:lastRenderedPageBreak/>
        <w:t>二十四、招募说明书的存放及查阅方式</w:t>
      </w:r>
      <w:bookmarkEnd w:id="27"/>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AA5ED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F2182" w:rsidRDefault="00AA5EDE">
      <w:pPr>
        <w:pStyle w:val="1"/>
        <w:snapToGrid w:val="0"/>
        <w:spacing w:beforeLines="0" w:before="240" w:after="240"/>
        <w:rPr>
          <w:rFonts w:ascii="宋体" w:hAnsi="宋体"/>
          <w:szCs w:val="30"/>
        </w:rPr>
      </w:pPr>
      <w:bookmarkStart w:id="28" w:name="_Toc240548912"/>
      <w:r>
        <w:rPr>
          <w:rFonts w:ascii="Times New Roman" w:hAnsi="Times New Roman"/>
          <w:sz w:val="30"/>
        </w:rPr>
        <w:lastRenderedPageBreak/>
        <w:t>二十五、备查文件</w:t>
      </w:r>
      <w:bookmarkEnd w:id="28"/>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（一）中国证监会准予交银施罗德优享一年持有期混合型基金中基金（FOF）募集注册的文件</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（二）《交银施罗德优享一年持有期混合型基金中基金（FOF）基金合同》</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（三）《交银施罗德优享一年持有期混合型基金中基金（FOF）托管协议》</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7F2182" w:rsidRDefault="00AA5ED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（六）关于申请募集注册交银施罗德优享一年持有期混合型基金中基金（FOF）的法律意见书</w:t>
      </w:r>
    </w:p>
    <w:sectPr w:rsidR="007F2182">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6684" w:rsidRDefault="00AA5EDE">
      <w:r>
        <w:separator/>
      </w:r>
    </w:p>
  </w:endnote>
  <w:endnote w:type="continuationSeparator" w:id="0">
    <w:p w:rsidR="008B6684" w:rsidRDefault="00AA5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182" w:rsidRDefault="007F218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182" w:rsidRDefault="00197FB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7F2182" w:rsidRDefault="00AA5ED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97FB8">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182" w:rsidRDefault="007F2182">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182" w:rsidRDefault="00197FB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7F2182" w:rsidRDefault="00AA5ED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97FB8">
                  <w:rPr>
                    <w:rFonts w:ascii="Times New Roman" w:hAnsi="Times New Roman"/>
                    <w:noProof/>
                    <w:kern w:val="0"/>
                    <w:sz w:val="18"/>
                    <w:szCs w:val="18"/>
                  </w:rPr>
                  <w:t>151</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6684" w:rsidRDefault="00AA5EDE">
      <w:r>
        <w:separator/>
      </w:r>
    </w:p>
  </w:footnote>
  <w:footnote w:type="continuationSeparator" w:id="0">
    <w:p w:rsidR="008B6684" w:rsidRDefault="00AA5E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182" w:rsidRDefault="007F218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182" w:rsidRDefault="00AA5EDE">
    <w:pPr>
      <w:pStyle w:val="a3"/>
      <w:jc w:val="right"/>
      <w:rPr>
        <w:rFonts w:ascii="宋体" w:hAnsi="宋体"/>
      </w:rPr>
    </w:pPr>
    <w:r>
      <w:rPr>
        <w:rFonts w:ascii="宋体" w:hAnsi="宋体" w:hint="eastAsia"/>
      </w:rPr>
      <w:t>交银施罗德优享一年持有期混合型基金中基金（FOF）招募说明书更新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182" w:rsidRDefault="007F2182">
    <w:pPr>
      <w:pStyle w:val="10"/>
      <w:jc w:val="right"/>
    </w:pPr>
  </w:p>
  <w:p w:rsidR="007F2182" w:rsidRDefault="007F2182">
    <w:pPr>
      <w:pStyle w:val="10"/>
      <w:jc w:val="right"/>
    </w:pPr>
  </w:p>
  <w:p w:rsidR="007F2182" w:rsidRDefault="007F2182">
    <w:pPr>
      <w:pStyle w:val="a3"/>
      <w:jc w:val="right"/>
    </w:pPr>
  </w:p>
  <w:p w:rsidR="007F2182" w:rsidRDefault="00AA5EDE">
    <w:pPr>
      <w:pStyle w:val="a3"/>
      <w:jc w:val="right"/>
      <w:rPr>
        <w:rFonts w:ascii="宋体" w:hAnsi="宋体"/>
      </w:rPr>
    </w:pPr>
    <w:r>
      <w:rPr>
        <w:rFonts w:ascii="宋体" w:hAnsi="宋体" w:hint="eastAsia"/>
      </w:rPr>
      <w:t>交银施罗德优享一年持有期混合型基金中基金（FOF）招募说明书更新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182" w:rsidRDefault="007F2182">
    <w:pPr>
      <w:pStyle w:val="a3"/>
      <w:jc w:val="right"/>
    </w:pPr>
  </w:p>
  <w:p w:rsidR="007F2182" w:rsidRDefault="007F2182">
    <w:pPr>
      <w:pStyle w:val="a3"/>
      <w:jc w:val="right"/>
    </w:pPr>
  </w:p>
  <w:p w:rsidR="007F2182" w:rsidRDefault="007F2182">
    <w:pPr>
      <w:pStyle w:val="a3"/>
      <w:jc w:val="right"/>
    </w:pPr>
  </w:p>
  <w:p w:rsidR="007F2182" w:rsidRDefault="00AA5EDE">
    <w:pPr>
      <w:pStyle w:val="a3"/>
      <w:jc w:val="right"/>
      <w:rPr>
        <w:rFonts w:ascii="宋体" w:hAnsi="宋体"/>
      </w:rPr>
    </w:pPr>
    <w:r>
      <w:rPr>
        <w:rFonts w:ascii="宋体" w:hAnsi="宋体" w:hint="eastAsia"/>
      </w:rPr>
      <w:t>交银施罗德优享一年持有期混合型基金中基金（FOF）招募说明书更新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97FB8"/>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182"/>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684"/>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5EDE"/>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12BC8CEE-AD70-4CD9-A2BC-F5DA3F8DA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152</Pages>
  <Words>15883</Words>
  <Characters>90534</Characters>
  <Application>Microsoft Office Word</Application>
  <DocSecurity>0</DocSecurity>
  <Lines>754</Lines>
  <Paragraphs>212</Paragraphs>
  <ScaleCrop>false</ScaleCrop>
  <Company>Microsoft</Company>
  <LinksUpToDate>false</LinksUpToDate>
  <CharactersWithSpaces>106205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2026-09-17T06:47:00Z</dcterms:created>
  <dcterms:modified xsi:type="dcterms:W3CDTF">2026-09-17T06:47:00Z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