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交银施罗德策略回报灵活配置混合型证券投资基金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交银策略回报灵活配置混合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2016-01-20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策略回报灵活配置混合型证券投资基金由交银施罗德荣安保本混合型证券投资基金转型而来，上述基金转型于2015年6月27日正式实施，自基金转型实施日起，《交银施罗德荣安保本混合型证券投资基金基金合同》失效且《交银施罗德策略回报灵活配置混合型证券投资基金基金合同》同时生效，交银施罗德荣安保本混合型证券投资基金正式变更为交银施罗德策略回报灵活配置混合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本基金根据对宏观经济周期和市场环境的分析研究，自上而下配置资产，并通过对类属资产灵活运用多种投资策略，力争实现基金资产的长期稳定增值。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公开发行交易的债券、股票（包括中小板、创业板及其他经中国证监会核准上市的股票、存托凭证）、货币市场工具、权证以及法律法规或中国证监会允许基金投资的其他金融工具，但需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在正常情况下，本基金的投资组合比例为：股票资产（含存托凭证）占基金资产30%-80%；债券、货币市场工具、权证、资产支持证券以及法律法规或中国证监会允许基金投资的其他证券品种占基金资产的20%-70%，其中基金应保留不低于基金资产净值5%的现金或到期日在一年以内的政府债券，现金不包括结算备付金、存出保证金、应收申购款等。在基金实际管理过程中，基金管理人将根据中国宏观经济情况和证券市场的阶段性变化，适时调整基金资产在股票、债券及货币市场工具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1、资产配置策略；2、股票选择策略；3、债券投资策略；4、权证投资策略；5、资产支持证券的投资策略。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沪深300指数收益率×75%+中债-国债总财富（1-3年）指数收益率×25%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证券投资基金，其预期收益和风险高于货币市场基金、债券型基金，而低于股票型基金，属于证券投资基金中的中高风险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详见《交银施罗德策略回报灵活配置混合型证券投资基金招募说明书》“基金的投资”。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●《交银施罗德策略回报灵活配置混合型证券投资基金基金合同》、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《交银施罗德策略回报灵活配置混合型证券投资基金托管协议》、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《交银施罗德策略回报灵活配置混合型证券投资基金招募说明书》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B639E"/>
    <w:rsid w:val="00FC2918"/>
    <w:rsid w:val="2EAC3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678</Words>
  <Characters>3870</Characters>
  <Lines>32</Lines>
  <Paragraphs>9</Paragraphs>
  <TotalTime>0</TotalTime>
  <ScaleCrop>false</ScaleCrop>
  <LinksUpToDate>false</LinksUpToDate>
  <CharactersWithSpaces>4539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2026-09-17T06:59:25Z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25CEA3C434784F9C8EAEE73C8CD95BB3</vt:lpwstr>
  </property>
</Properties>
</file>