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交银施罗德新回报灵活配置混合型证券投资基金（C类份额）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交银新回报灵活配置混合C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519760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2015-05-15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胡湘怡</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结合基金管理人对宏观经济周期和金融市场运行趋势的判断，自上而下进行宏观分析，自下而上精选投资标的，通过灵活的资产配置策略和积极主动的投资管理，在控制下行风险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中债-综合全价（总值）指数收益率×80%+沪深300指数收益率×20%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详见《交银施罗德新回报灵活配置混合型证券投资基金招募说明书》“基金的投资”。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1.12%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41935"/>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C864C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714</Words>
  <Characters>4076</Characters>
  <Lines>33</Lines>
  <Paragraphs>9</Paragraphs>
  <TotalTime>0</TotalTime>
  <ScaleCrop>false</ScaleCrop>
  <LinksUpToDate>false</LinksUpToDate>
  <CharactersWithSpaces>4781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2026-09-17T02:44:00Z</dcterms:created>
  <dc:creator>Cc</dc:creator>
  <cp:lastModifiedBy>haotingting</cp:lastModifiedBy>
  <dcterms:modified xsi:type="dcterms:W3CDTF">2026-09-17T09:01:45Z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5EA2B2C880A64967878AAC897A398F93</vt:lpwstr>
  </property>
</Properties>
</file>