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F2A97">
      <w:pPr>
        <w:rPr>
          <w:sz w:val="32"/>
        </w:rPr>
      </w:pPr>
    </w:p>
    <w:p w:rsidR="00C92FC0" w:rsidRPr="00EB07BC" w:rsidRDefault="000F2A97">
      <w:pPr>
        <w:rPr>
          <w:sz w:val="32"/>
        </w:rPr>
      </w:pPr>
    </w:p>
    <w:p w:rsidR="00C92FC0" w:rsidRPr="00EB07BC" w:rsidRDefault="000F2A97">
      <w:pPr>
        <w:rPr>
          <w:sz w:val="32"/>
        </w:rPr>
      </w:pPr>
    </w:p>
    <w:p w:rsidR="001C3B41" w:rsidRDefault="001C3B4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C3B41" w:rsidRDefault="001C3B4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C3B41" w:rsidRDefault="001C3B4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C3B41" w:rsidRDefault="00515ED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交银施罗德稳安</w:t>
      </w:r>
      <w:r>
        <w:rPr>
          <w:rFonts w:ascii="Times New Roman" w:hAnsi="Times New Roman"/>
          <w:b/>
          <w:spacing w:val="2"/>
          <w:w w:val="99"/>
          <w:kern w:val="0"/>
          <w:position w:val="-4"/>
          <w:sz w:val="44"/>
          <w:szCs w:val="44"/>
        </w:rPr>
        <w:t>30</w:t>
      </w:r>
      <w:r>
        <w:rPr>
          <w:rFonts w:ascii="Times New Roman" w:hAnsi="Times New Roman"/>
          <w:b/>
          <w:spacing w:val="2"/>
          <w:w w:val="99"/>
          <w:kern w:val="0"/>
          <w:position w:val="-4"/>
          <w:sz w:val="44"/>
          <w:szCs w:val="44"/>
        </w:rPr>
        <w:t>天滚动持有债券型证券投资基金</w:t>
      </w:r>
    </w:p>
    <w:p w:rsidR="001C3B41" w:rsidRDefault="00515ED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C3B41" w:rsidRDefault="001C3B41">
      <w:pPr>
        <w:snapToGrid w:val="0"/>
        <w:spacing w:line="360" w:lineRule="auto"/>
        <w:jc w:val="center"/>
        <w:rPr>
          <w:rFonts w:ascii="宋体" w:hAnsi="宋体"/>
          <w:b/>
          <w:sz w:val="30"/>
          <w:szCs w:val="30"/>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515E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C3B41" w:rsidRDefault="00515E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1C3B4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C3B41" w:rsidRDefault="00515ED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1C3B41" w:rsidRDefault="001C3B41">
      <w:pPr>
        <w:autoSpaceDE w:val="0"/>
        <w:autoSpaceDN w:val="0"/>
        <w:adjustRightInd w:val="0"/>
        <w:snapToGrid w:val="0"/>
        <w:spacing w:line="360" w:lineRule="auto"/>
        <w:ind w:left="1347" w:rightChars="6" w:right="13"/>
        <w:rPr>
          <w:rFonts w:ascii="宋体" w:hAnsi="宋体"/>
          <w:kern w:val="0"/>
          <w:sz w:val="32"/>
          <w:szCs w:val="32"/>
        </w:rPr>
        <w:sectPr w:rsidR="001C3B4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1C3B41" w:rsidRDefault="00515ED6">
      <w:pPr>
        <w:pStyle w:val="1"/>
        <w:snapToGrid w:val="0"/>
        <w:spacing w:beforeLines="0" w:before="240" w:after="240"/>
        <w:rPr>
          <w:rFonts w:ascii="宋体" w:hAnsi="宋体"/>
          <w:kern w:val="0"/>
        </w:rPr>
      </w:pPr>
      <w:bookmarkStart w:id="0" w:name="_Toc324920538"/>
      <w:bookmarkStart w:id="1" w:name="_Toc496884613"/>
      <w:bookmarkStart w:id="2" w:name="_Toc240548751"/>
      <w:r>
        <w:rPr>
          <w:rFonts w:ascii="Times New Roman" w:hAnsi="Times New Roman"/>
          <w:kern w:val="0"/>
        </w:rPr>
        <w:lastRenderedPageBreak/>
        <w:t>重要提示</w:t>
      </w:r>
      <w:bookmarkEnd w:id="0"/>
      <w:bookmarkEnd w:id="1"/>
      <w:bookmarkEnd w:id="2"/>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交银施罗德稳安</w:t>
      </w:r>
      <w:r>
        <w:rPr>
          <w:rFonts w:ascii="Times New Roman" w:hAnsi="Times New Roman"/>
          <w:kern w:val="0"/>
          <w:sz w:val="24"/>
        </w:rPr>
        <w:t>30</w:t>
      </w:r>
      <w:r>
        <w:rPr>
          <w:rFonts w:ascii="Times New Roman" w:hAnsi="Times New Roman"/>
          <w:kern w:val="0"/>
          <w:sz w:val="24"/>
        </w:rPr>
        <w:t>天滚动持有债券型证券投资基金（以下简称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1914</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日正式生效。</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本基金经</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日中国证监会证监许可【</w:t>
      </w:r>
      <w:r>
        <w:rPr>
          <w:rFonts w:ascii="Times New Roman" w:hAnsi="Times New Roman"/>
          <w:kern w:val="0"/>
          <w:sz w:val="24"/>
        </w:rPr>
        <w:t>2024</w:t>
      </w:r>
      <w:r>
        <w:rPr>
          <w:rFonts w:ascii="Times New Roman" w:hAnsi="Times New Roman"/>
          <w:kern w:val="0"/>
          <w:sz w:val="24"/>
        </w:rPr>
        <w:t>】</w:t>
      </w:r>
      <w:r>
        <w:rPr>
          <w:rFonts w:ascii="Times New Roman" w:hAnsi="Times New Roman"/>
          <w:kern w:val="0"/>
          <w:sz w:val="24"/>
        </w:rPr>
        <w:t>1695</w:t>
      </w:r>
      <w:r>
        <w:rPr>
          <w:rFonts w:ascii="Times New Roman" w:hAnsi="Times New Roman"/>
          <w:kern w:val="0"/>
          <w:sz w:val="24"/>
        </w:rPr>
        <w:t>号文准予变更注册。交银施罗德稳安</w:t>
      </w:r>
      <w:r>
        <w:rPr>
          <w:rFonts w:ascii="Times New Roman" w:hAnsi="Times New Roman"/>
          <w:kern w:val="0"/>
          <w:sz w:val="24"/>
        </w:rPr>
        <w:t>30</w:t>
      </w:r>
      <w:r>
        <w:rPr>
          <w:rFonts w:ascii="Times New Roman" w:hAnsi="Times New Roman"/>
          <w:kern w:val="0"/>
          <w:sz w:val="24"/>
        </w:rPr>
        <w:t>天滚动持有债券型证券投资基金以通讯方式召开基金份额持有人大会，大会于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日表决通过了《关于交银施罗德稳安</w:t>
      </w:r>
      <w:r>
        <w:rPr>
          <w:rFonts w:ascii="Times New Roman" w:hAnsi="Times New Roman"/>
          <w:kern w:val="0"/>
          <w:sz w:val="24"/>
        </w:rPr>
        <w:t>30</w:t>
      </w:r>
      <w:r>
        <w:rPr>
          <w:rFonts w:ascii="Times New Roman" w:hAnsi="Times New Roman"/>
          <w:kern w:val="0"/>
          <w:sz w:val="24"/>
        </w:rPr>
        <w:t>天滚动持有债券型证券投资基金调整投资范围及修改基金合同有关事项的议案》，同意在交银施罗德稳安</w:t>
      </w:r>
      <w:r>
        <w:rPr>
          <w:rFonts w:ascii="Times New Roman" w:hAnsi="Times New Roman"/>
          <w:kern w:val="0"/>
          <w:sz w:val="24"/>
        </w:rPr>
        <w:t>30</w:t>
      </w:r>
      <w:r>
        <w:rPr>
          <w:rFonts w:ascii="Times New Roman" w:hAnsi="Times New Roman"/>
          <w:kern w:val="0"/>
          <w:sz w:val="24"/>
        </w:rPr>
        <w:t>天滚动持有债券型证券投资基金投资范围中增加国债期货，相应调整投资策略、投资比例限制、估值方法等内容，并修改基金合同中根据上述调整需要同步进行修订的其他部分条款，上述基金份额持有人大会决议事项自表决通过之日起生效。</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自</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日起，根据《关于交银施罗德稳安</w:t>
      </w:r>
      <w:r>
        <w:rPr>
          <w:rFonts w:ascii="Times New Roman" w:hAnsi="Times New Roman"/>
          <w:kern w:val="0"/>
          <w:sz w:val="24"/>
        </w:rPr>
        <w:t>30</w:t>
      </w:r>
      <w:r>
        <w:rPr>
          <w:rFonts w:ascii="Times New Roman" w:hAnsi="Times New Roman"/>
          <w:kern w:val="0"/>
          <w:sz w:val="24"/>
        </w:rPr>
        <w:t>天滚动持有债券型证券投资基金调整投资范围及修改基金合同有关事项的议案》修订的《交银施罗德稳安</w:t>
      </w:r>
      <w:r>
        <w:rPr>
          <w:rFonts w:ascii="Times New Roman" w:hAnsi="Times New Roman"/>
          <w:kern w:val="0"/>
          <w:sz w:val="24"/>
        </w:rPr>
        <w:t>30</w:t>
      </w:r>
      <w:r>
        <w:rPr>
          <w:rFonts w:ascii="Times New Roman" w:hAnsi="Times New Roman"/>
          <w:kern w:val="0"/>
          <w:sz w:val="24"/>
        </w:rPr>
        <w:t>天滚动持有债券型证券投资基金基金合同》生效。</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w:t>
      </w:r>
      <w:r>
        <w:rPr>
          <w:rFonts w:ascii="Times New Roman" w:hAnsi="Times New Roman"/>
          <w:kern w:val="0"/>
          <w:sz w:val="24"/>
        </w:rPr>
        <w:lastRenderedPageBreak/>
        <w:t>投资资产支持证券的特定风险；连续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本基金对每份基金份额设置</w:t>
      </w:r>
      <w:r>
        <w:rPr>
          <w:rFonts w:ascii="Times New Roman" w:hAnsi="Times New Roman"/>
          <w:kern w:val="0"/>
          <w:sz w:val="24"/>
        </w:rPr>
        <w:t>30</w:t>
      </w:r>
      <w:r>
        <w:rPr>
          <w:rFonts w:ascii="Times New Roman" w:hAnsi="Times New Roman"/>
          <w:kern w:val="0"/>
          <w:sz w:val="24"/>
        </w:rPr>
        <w:t>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本基金可投资国债期货，国债期货的投资可能面临市场风险、基差风险、流动性风险。</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1C3B41" w:rsidRDefault="00515E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日，除非另有说明，本招募说明书基金经理变更相关事项更新截止日为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1C3B41" w:rsidRDefault="001C3B41">
      <w:pPr>
        <w:autoSpaceDE w:val="0"/>
        <w:autoSpaceDN w:val="0"/>
        <w:adjustRightInd w:val="0"/>
        <w:snapToGrid w:val="0"/>
        <w:spacing w:before="51" w:line="360" w:lineRule="auto"/>
        <w:ind w:left="120" w:rightChars="6" w:right="13" w:firstLine="480"/>
        <w:rPr>
          <w:rFonts w:ascii="宋体" w:hAnsi="宋体"/>
          <w:kern w:val="0"/>
          <w:szCs w:val="24"/>
        </w:rPr>
        <w:sectPr w:rsidR="001C3B41">
          <w:headerReference w:type="default" r:id="rId14"/>
          <w:pgSz w:w="11920" w:h="16840"/>
          <w:pgMar w:top="1440" w:right="1680" w:bottom="280" w:left="1680" w:header="0" w:footer="1073" w:gutter="0"/>
          <w:pgNumType w:start="1"/>
          <w:cols w:space="720"/>
        </w:sectPr>
      </w:pPr>
    </w:p>
    <w:p w:rsidR="000F2A97" w:rsidRPr="000F2A97" w:rsidRDefault="00515ED6" w:rsidP="000F2A97">
      <w:pPr>
        <w:pStyle w:val="ad"/>
        <w:snapToGrid w:val="0"/>
        <w:spacing w:after="240" w:line="360" w:lineRule="auto"/>
        <w:jc w:val="center"/>
        <w:rPr>
          <w:rFonts w:ascii="宋体" w:hAnsi="宋体"/>
          <w:noProof/>
          <w:sz w:val="24"/>
        </w:rPr>
      </w:pPr>
      <w:r w:rsidRPr="000F2A97">
        <w:rPr>
          <w:rFonts w:ascii="宋体" w:hAnsi="宋体"/>
          <w:color w:val="000000"/>
          <w:position w:val="-4"/>
          <w:sz w:val="24"/>
          <w:szCs w:val="30"/>
        </w:rPr>
        <w:lastRenderedPageBreak/>
        <w:t>目</w:t>
      </w:r>
      <w:r w:rsidRPr="000F2A97">
        <w:rPr>
          <w:rFonts w:ascii="宋体" w:hAnsi="宋体"/>
          <w:color w:val="000000"/>
          <w:position w:val="-4"/>
          <w:sz w:val="24"/>
          <w:szCs w:val="30"/>
        </w:rPr>
        <w:tab/>
        <w:t>录</w:t>
      </w:r>
      <w:r w:rsidR="000F2A97" w:rsidRPr="000F2A97">
        <w:rPr>
          <w:rFonts w:ascii="宋体" w:hAnsi="宋体"/>
          <w:color w:val="000000"/>
          <w:position w:val="-4"/>
          <w:sz w:val="24"/>
          <w:szCs w:val="30"/>
        </w:rPr>
        <w:fldChar w:fldCharType="begin"/>
      </w:r>
      <w:r w:rsidR="000F2A97" w:rsidRPr="000F2A97">
        <w:rPr>
          <w:rFonts w:ascii="宋体" w:hAnsi="宋体"/>
          <w:color w:val="000000"/>
          <w:position w:val="-4"/>
          <w:sz w:val="24"/>
          <w:szCs w:val="30"/>
        </w:rPr>
        <w:instrText xml:space="preserve"> TOC \o "1-3" \f - \h \t "-1" </w:instrText>
      </w:r>
      <w:r w:rsidR="000F2A97" w:rsidRPr="000F2A97">
        <w:rPr>
          <w:rFonts w:ascii="宋体" w:hAnsi="宋体"/>
          <w:color w:val="000000"/>
          <w:position w:val="-4"/>
          <w:sz w:val="24"/>
          <w:szCs w:val="30"/>
        </w:rPr>
        <w:fldChar w:fldCharType="separate"/>
      </w:r>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1" w:history="1">
        <w:r w:rsidRPr="000F2A97">
          <w:rPr>
            <w:rStyle w:val="aa"/>
            <w:rFonts w:ascii="宋体" w:hAnsi="宋体" w:hint="eastAsia"/>
            <w:noProof/>
            <w:kern w:val="0"/>
            <w:sz w:val="24"/>
          </w:rPr>
          <w:t>重要提示</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_Toc240548751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2" w:history="1">
        <w:r w:rsidRPr="000F2A97">
          <w:rPr>
            <w:rStyle w:val="aa"/>
            <w:rFonts w:ascii="宋体" w:hAnsi="宋体" w:hint="eastAsia"/>
            <w:noProof/>
            <w:sz w:val="24"/>
          </w:rPr>
          <w:t>一、绪言</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_Toc240548752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4</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3" w:history="1">
        <w:r w:rsidRPr="000F2A97">
          <w:rPr>
            <w:rStyle w:val="aa"/>
            <w:rFonts w:ascii="宋体" w:hAnsi="宋体" w:hint="eastAsia"/>
            <w:noProof/>
            <w:sz w:val="24"/>
          </w:rPr>
          <w:t>二、释义</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_Toc240548753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5</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4" w:history="1">
        <w:r w:rsidRPr="000F2A97">
          <w:rPr>
            <w:rStyle w:val="aa"/>
            <w:rFonts w:ascii="宋体" w:hAnsi="宋体" w:hint="eastAsia"/>
            <w:noProof/>
            <w:sz w:val="24"/>
          </w:rPr>
          <w:t>三、基金管理人</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_Toc240548754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10</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5" w:history="1">
        <w:r w:rsidRPr="000F2A97">
          <w:rPr>
            <w:rStyle w:val="aa"/>
            <w:rFonts w:ascii="宋体" w:hAnsi="宋体" w:hint="eastAsia"/>
            <w:noProof/>
            <w:sz w:val="24"/>
          </w:rPr>
          <w:t>四、基金托管人</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_Toc240548755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18</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6" w:history="1">
        <w:r w:rsidRPr="000F2A97">
          <w:rPr>
            <w:rStyle w:val="aa"/>
            <w:rFonts w:ascii="宋体" w:hAnsi="宋体" w:hint="eastAsia"/>
            <w:noProof/>
            <w:sz w:val="24"/>
          </w:rPr>
          <w:t>五、相关服务机构</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_Toc240548756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25</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7" w:history="1">
        <w:r w:rsidRPr="000F2A97">
          <w:rPr>
            <w:rStyle w:val="aa"/>
            <w:rFonts w:ascii="宋体" w:hAnsi="宋体" w:hint="eastAsia"/>
            <w:noProof/>
            <w:sz w:val="24"/>
          </w:rPr>
          <w:t>六、基金的历史沿革</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_Toc240548757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36</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8" w:history="1">
        <w:r w:rsidRPr="000F2A97">
          <w:rPr>
            <w:rStyle w:val="aa"/>
            <w:rFonts w:ascii="宋体" w:hAnsi="宋体" w:hint="eastAsia"/>
            <w:noProof/>
            <w:sz w:val="24"/>
          </w:rPr>
          <w:t>七、基金合同的存续</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_Toc240548758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37</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59" w:history="1">
        <w:r w:rsidRPr="000F2A97">
          <w:rPr>
            <w:rStyle w:val="aa"/>
            <w:rFonts w:ascii="宋体" w:hAnsi="宋体" w:hint="eastAsia"/>
            <w:noProof/>
            <w:sz w:val="24"/>
          </w:rPr>
          <w:t>八、基金份额的申购与赎回</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_Toc240548759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38</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0" w:history="1">
        <w:r w:rsidRPr="000F2A97">
          <w:rPr>
            <w:rStyle w:val="aa"/>
            <w:rFonts w:ascii="宋体" w:hAnsi="宋体" w:hint="eastAsia"/>
            <w:noProof/>
            <w:sz w:val="24"/>
          </w:rPr>
          <w:t>九、基金的投资</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_Toc240548760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51</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1" w:history="1">
        <w:r w:rsidRPr="000F2A97">
          <w:rPr>
            <w:rStyle w:val="aa"/>
            <w:rFonts w:ascii="宋体" w:hAnsi="宋体" w:hint="eastAsia"/>
            <w:noProof/>
            <w:sz w:val="24"/>
          </w:rPr>
          <w:t>十、基金的业绩</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_Toc240548761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62</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2" w:history="1">
        <w:r w:rsidRPr="000F2A97">
          <w:rPr>
            <w:rStyle w:val="aa"/>
            <w:rFonts w:ascii="宋体" w:hAnsi="宋体" w:hint="eastAsia"/>
            <w:noProof/>
            <w:sz w:val="24"/>
          </w:rPr>
          <w:t>十一、基金的财产</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_Toc240548762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65</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3" w:history="1">
        <w:r w:rsidRPr="000F2A97">
          <w:rPr>
            <w:rStyle w:val="aa"/>
            <w:rFonts w:ascii="宋体" w:hAnsi="宋体" w:hint="eastAsia"/>
            <w:noProof/>
            <w:sz w:val="24"/>
          </w:rPr>
          <w:t>十二、基金资产的估值</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_Toc240548763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66</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4" w:history="1">
        <w:r w:rsidRPr="000F2A97">
          <w:rPr>
            <w:rStyle w:val="aa"/>
            <w:rFonts w:ascii="宋体" w:hAnsi="宋体" w:hint="eastAsia"/>
            <w:noProof/>
            <w:sz w:val="24"/>
          </w:rPr>
          <w:t>十三、基金收益与分配</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_Toc240548764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72</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5" w:history="1">
        <w:r w:rsidRPr="000F2A97">
          <w:rPr>
            <w:rStyle w:val="aa"/>
            <w:rFonts w:ascii="宋体" w:hAnsi="宋体" w:hint="eastAsia"/>
            <w:noProof/>
            <w:sz w:val="24"/>
          </w:rPr>
          <w:t>十四、基金的费用与税收</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_Toc240548765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74</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6" w:history="1">
        <w:r w:rsidRPr="000F2A97">
          <w:rPr>
            <w:rStyle w:val="aa"/>
            <w:rFonts w:ascii="宋体" w:hAnsi="宋体" w:hint="eastAsia"/>
            <w:noProof/>
            <w:sz w:val="24"/>
          </w:rPr>
          <w:t>十五、基金的会计与审计</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_Toc240548766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77</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7" w:history="1">
        <w:r w:rsidRPr="000F2A97">
          <w:rPr>
            <w:rStyle w:val="aa"/>
            <w:rFonts w:ascii="宋体" w:hAnsi="宋体" w:hint="eastAsia"/>
            <w:noProof/>
            <w:sz w:val="24"/>
          </w:rPr>
          <w:t>十六、基金的信息披露</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_Toc240548767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78</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8" w:history="1">
        <w:r w:rsidRPr="000F2A97">
          <w:rPr>
            <w:rStyle w:val="aa"/>
            <w:rFonts w:ascii="宋体" w:hAnsi="宋体" w:hint="eastAsia"/>
            <w:noProof/>
            <w:sz w:val="24"/>
          </w:rPr>
          <w:t>十七、侧袋机制</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_Toc240548768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85</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69" w:history="1">
        <w:r w:rsidRPr="000F2A97">
          <w:rPr>
            <w:rStyle w:val="aa"/>
            <w:rFonts w:ascii="宋体" w:hAnsi="宋体" w:hint="eastAsia"/>
            <w:noProof/>
            <w:sz w:val="24"/>
          </w:rPr>
          <w:t>十八、风险揭示</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_Toc240548769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88</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0" w:history="1">
        <w:r w:rsidRPr="000F2A97">
          <w:rPr>
            <w:rStyle w:val="aa"/>
            <w:rFonts w:ascii="宋体" w:hAnsi="宋体" w:hint="eastAsia"/>
            <w:noProof/>
            <w:sz w:val="24"/>
          </w:rPr>
          <w:t>十九、基金合同的变更、终止与基金财产的清算</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_Toc240548770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96</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1" w:history="1">
        <w:r w:rsidRPr="000F2A97">
          <w:rPr>
            <w:rStyle w:val="aa"/>
            <w:rFonts w:ascii="宋体" w:hAnsi="宋体" w:hint="eastAsia"/>
            <w:noProof/>
            <w:sz w:val="24"/>
          </w:rPr>
          <w:t>二十、基金合同内容摘要</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_Toc240548771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98</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2" w:history="1">
        <w:r w:rsidRPr="000F2A97">
          <w:rPr>
            <w:rStyle w:val="aa"/>
            <w:rFonts w:ascii="宋体" w:hAnsi="宋体" w:hint="eastAsia"/>
            <w:noProof/>
            <w:sz w:val="24"/>
          </w:rPr>
          <w:t>二十一、托管协议的内容摘要</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_Toc240548772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115</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3" w:history="1">
        <w:r w:rsidRPr="000F2A97">
          <w:rPr>
            <w:rStyle w:val="aa"/>
            <w:rFonts w:ascii="宋体" w:hAnsi="宋体" w:hint="eastAsia"/>
            <w:noProof/>
            <w:sz w:val="24"/>
          </w:rPr>
          <w:t>二十二、对基金份额持有人的服务</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_Toc240548773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131</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4" w:history="1">
        <w:r w:rsidRPr="000F2A97">
          <w:rPr>
            <w:rStyle w:val="aa"/>
            <w:rFonts w:ascii="宋体" w:hAnsi="宋体" w:hint="eastAsia"/>
            <w:noProof/>
            <w:sz w:val="24"/>
          </w:rPr>
          <w:t>二十三、其他应披露事项</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_Toc240548774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133</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5" w:history="1">
        <w:r w:rsidRPr="000F2A97">
          <w:rPr>
            <w:rStyle w:val="aa"/>
            <w:rFonts w:ascii="宋体" w:hAnsi="宋体" w:hint="eastAsia"/>
            <w:noProof/>
            <w:sz w:val="24"/>
          </w:rPr>
          <w:t>二十四、招募说明书的存放及查阅方式</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_Toc240548775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137</w:t>
        </w:r>
        <w:r w:rsidRPr="000F2A97">
          <w:rPr>
            <w:rFonts w:ascii="宋体" w:hAnsi="宋体"/>
            <w:noProof/>
            <w:sz w:val="24"/>
          </w:rPr>
          <w:fldChar w:fldCharType="end"/>
        </w:r>
      </w:hyperlink>
    </w:p>
    <w:p w:rsidR="000F2A97" w:rsidRPr="000F2A97" w:rsidRDefault="000F2A97" w:rsidP="000F2A97">
      <w:pPr>
        <w:pStyle w:val="10"/>
        <w:tabs>
          <w:tab w:val="right" w:leader="dot" w:pos="8550"/>
        </w:tabs>
        <w:spacing w:line="360" w:lineRule="auto"/>
        <w:rPr>
          <w:rFonts w:ascii="宋体" w:hAnsi="宋体" w:cstheme="minorBidi"/>
          <w:noProof/>
          <w:sz w:val="24"/>
        </w:rPr>
      </w:pPr>
      <w:hyperlink w:anchor="_Toc240548776" w:history="1">
        <w:r w:rsidRPr="000F2A97">
          <w:rPr>
            <w:rStyle w:val="aa"/>
            <w:rFonts w:ascii="宋体" w:hAnsi="宋体" w:hint="eastAsia"/>
            <w:noProof/>
            <w:sz w:val="24"/>
          </w:rPr>
          <w:t>二十五、备查文件</w:t>
        </w:r>
        <w:r w:rsidRPr="000F2A97">
          <w:rPr>
            <w:rFonts w:ascii="宋体" w:hAnsi="宋体"/>
            <w:noProof/>
            <w:sz w:val="24"/>
          </w:rPr>
          <w:tab/>
        </w:r>
        <w:r w:rsidRPr="000F2A97">
          <w:rPr>
            <w:rFonts w:ascii="宋体" w:hAnsi="宋体"/>
            <w:noProof/>
            <w:sz w:val="24"/>
          </w:rPr>
          <w:fldChar w:fldCharType="begin"/>
        </w:r>
        <w:r w:rsidRPr="000F2A97">
          <w:rPr>
            <w:rFonts w:ascii="宋体" w:hAnsi="宋体"/>
            <w:noProof/>
            <w:sz w:val="24"/>
          </w:rPr>
          <w:instrText xml:space="preserve"> PAGEREF _Toc240548776 \h </w:instrText>
        </w:r>
        <w:r w:rsidRPr="000F2A97">
          <w:rPr>
            <w:rFonts w:ascii="宋体" w:hAnsi="宋体"/>
            <w:noProof/>
            <w:sz w:val="24"/>
          </w:rPr>
        </w:r>
        <w:r w:rsidRPr="000F2A97">
          <w:rPr>
            <w:rFonts w:ascii="宋体" w:hAnsi="宋体"/>
            <w:noProof/>
            <w:sz w:val="24"/>
          </w:rPr>
          <w:fldChar w:fldCharType="separate"/>
        </w:r>
        <w:r w:rsidRPr="000F2A97">
          <w:rPr>
            <w:rFonts w:ascii="宋体" w:hAnsi="宋体"/>
            <w:noProof/>
            <w:sz w:val="24"/>
          </w:rPr>
          <w:t>138</w:t>
        </w:r>
        <w:r w:rsidRPr="000F2A97">
          <w:rPr>
            <w:rFonts w:ascii="宋体" w:hAnsi="宋体"/>
            <w:noProof/>
            <w:sz w:val="24"/>
          </w:rPr>
          <w:fldChar w:fldCharType="end"/>
        </w:r>
      </w:hyperlink>
    </w:p>
    <w:p w:rsidR="001C3B41" w:rsidRPr="000F2A97" w:rsidRDefault="000F2A97" w:rsidP="000F2A97">
      <w:pPr>
        <w:pStyle w:val="ad"/>
        <w:snapToGrid w:val="0"/>
        <w:spacing w:after="240" w:line="360" w:lineRule="auto"/>
        <w:jc w:val="center"/>
        <w:rPr>
          <w:rFonts w:ascii="宋体" w:hAnsi="宋体"/>
          <w:color w:val="000000"/>
          <w:sz w:val="24"/>
        </w:rPr>
      </w:pPr>
      <w:r w:rsidRPr="000F2A97">
        <w:rPr>
          <w:rFonts w:ascii="宋体" w:hAnsi="宋体"/>
          <w:color w:val="000000"/>
          <w:position w:val="-4"/>
          <w:sz w:val="24"/>
          <w:szCs w:val="30"/>
        </w:rPr>
        <w:fldChar w:fldCharType="end"/>
      </w:r>
      <w:bookmarkStart w:id="3" w:name="_GoBack"/>
      <w:bookmarkEnd w:id="3"/>
    </w:p>
    <w:p w:rsidR="001C3B41" w:rsidRDefault="001C3B41">
      <w:pPr>
        <w:autoSpaceDE w:val="0"/>
        <w:autoSpaceDN w:val="0"/>
        <w:adjustRightInd w:val="0"/>
        <w:snapToGrid w:val="0"/>
        <w:spacing w:line="360" w:lineRule="auto"/>
        <w:ind w:left="120" w:rightChars="6" w:right="13"/>
        <w:rPr>
          <w:rFonts w:ascii="宋体" w:hAnsi="宋体"/>
          <w:kern w:val="0"/>
          <w:szCs w:val="24"/>
        </w:rPr>
        <w:sectPr w:rsidR="001C3B41">
          <w:pgSz w:w="11920" w:h="16840"/>
          <w:pgMar w:top="1480" w:right="1680" w:bottom="280" w:left="1680" w:header="0" w:footer="1073" w:gutter="0"/>
          <w:cols w:space="720"/>
        </w:sectPr>
      </w:pPr>
    </w:p>
    <w:p w:rsidR="001C3B41" w:rsidRDefault="00515ED6">
      <w:pPr>
        <w:pStyle w:val="1"/>
        <w:snapToGrid w:val="0"/>
        <w:spacing w:beforeLines="0" w:before="240" w:after="240"/>
        <w:rPr>
          <w:rFonts w:ascii="宋体" w:hAnsi="宋体"/>
          <w:szCs w:val="30"/>
        </w:rPr>
      </w:pPr>
      <w:bookmarkStart w:id="4" w:name="_Toc240548752"/>
      <w:r>
        <w:rPr>
          <w:rFonts w:ascii="Times New Roman" w:hAnsi="Times New Roman"/>
          <w:sz w:val="30"/>
        </w:rPr>
        <w:lastRenderedPageBreak/>
        <w:t>一、绪言</w:t>
      </w:r>
      <w:bookmarkEnd w:id="4"/>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安30天滚动持有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安30天滚动持有债券型证券投资基金基金合同》（以下简称“基金合同”）编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5" w:name="_Toc240548753"/>
      <w:r>
        <w:rPr>
          <w:rFonts w:ascii="Times New Roman" w:hAnsi="Times New Roman"/>
          <w:sz w:val="30"/>
        </w:rPr>
        <w:lastRenderedPageBreak/>
        <w:t>二、释义</w:t>
      </w:r>
      <w:bookmarkEnd w:id="5"/>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1、基金或本基金：指交银施罗德稳安30天滚动持有债券型证券投资基金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3、基金托管人或本基金托管人：指招商银行股份有限公司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4、基金合同、《基金合同》：指《交银施罗德稳安30天滚动持有债券型证券投资基金基金合同》及对基金合同的任何有效修订和补充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5、托管协议：指基金管理人与基金托管人就本基金签订之《交银施罗德稳安30天滚动持有债券型证券投资基金托管协议》及对该托管协议的任何有效修订和补充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6、招募说明书、《招募说明书》或本招募说明书：指《交银施罗德稳安30天滚动持有债券型证券投资基金招募说明书》及其更新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7、基金产品资料概要：指《交银施罗德稳安30天滚动持有债券型证券投资基金基金产品资料概要》及其更新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8、基金份额发售公告：指《交银施罗德稳安30天滚动持有债券型证券投资基金基金份额发售公告》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运作期起始日：对于每份认购份额，第一个运作期起始日指基金合同生效日；对于每份申购份额，第一个运作期起始日指该基金份额申购确认日；对于上一运作期到期日未赎回的每份基金份额，下一运作期起始日指该基金份额上一运作期到期日的次一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运作期到期日：对于每份基金份额，第一个运作期到期日指基金合同生效日（对认购份额而言，下同）或基金份额申购申请日（对申购份额而言，下同）后的第30天（如该日为非工作日，则顺延至下一工作日）。第二个运作期到期日指基金合同生效日或基金份额申购申请日后的第60天（如该日为非工作日，则顺延至下一工作日），以此类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40、《业务规则》：指《交银施罗德基金管理有限公司开放式基金业务规则》，是规范基金管理人所管理的开放式证券投资基金登记方面的业务规则，由基金管理人和投资人共同遵守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43、赎回：指基金合同生效后，基金份额持有人按基金合同和招募说明书规定的条件要求将基金份额兑换为现金的行为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49、基金收益：指基金投资所得债券利息、买卖证券价差、银行存款利息、已实现的其他合法收入及因运用基金财产带来的成本和费用的节约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50、基金资产总值：指基金拥有的各类有价证券、国债期货合约、银行存款本息、基金应收款项及其他资产的价值总和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w:t>
      </w:r>
      <w:r>
        <w:rPr>
          <w:rFonts w:ascii="宋体" w:hAnsi="宋体"/>
          <w:sz w:val="24"/>
        </w:rPr>
        <w:lastRenderedPageBreak/>
        <w:t>基金资产中计提销售服务费的基金份额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6" w:name="_Toc240548754"/>
      <w:r>
        <w:rPr>
          <w:rFonts w:ascii="Times New Roman" w:hAnsi="Times New Roman"/>
          <w:sz w:val="30"/>
        </w:rPr>
        <w:lastRenderedPageBreak/>
        <w:t>三、基金管理人</w:t>
      </w:r>
      <w:bookmarkEnd w:id="6"/>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基金经理。美国密歇根大学金融工程硕士、对外经济贸易大学经济学学士，14年金融行业从业经验。2012年至2017年任瑞士银行外汇和利率交易员、联席董事。2017年加入交银施罗德基金管理有限公司，曾任基金经理助理，现任固定收益部基金经理。曾任交银施罗德天运宝货币市场基金(2019年07月26日至2019年09月18日)、交银施罗德裕通纯债债券型证券投资基金(2019年10月12日至2024年12月17日)、交银施罗德裕祥纯债债券型证券投资基金(2020年07月09日至2024年02月20日)、交银施罗德中债1-3年政策性金融债指数证券投资基金(2020年08月20日至2023年08月30日)、交银施罗德中债1-3年农发行债券指数证券投资基金(2021年08月19日至2024年05月12日)、交银施罗德丰润收益债券型证券投资基金(2021年08月19日至2025年01月09日)、交银施罗德裕景纯债一年定期开放债券型证券投资基金(2021年09月09日至2024年05月12日)、交银施罗德裕道纯债一年定期开放债券型发起式证券投资基金(2022年03月29日至2025年01月15日)、交银施罗德中债1-5年政策性金融债指数证券投资基金(2022年06月08日至2023年11月15日)、交银施罗德中债0-3年政策性金融债指数证券投资基金(2024年03月22日至2025年07月17日)的基金经理。现任交银施罗德现金宝货币市场基金(2019年07月26日至今)、交银施罗德货币市场证券投资基金(2019年07月26日至今)、交银施罗德天鑫宝货币市场基金(2019年07月26日至今)、交银施罗德中证同业存单AAA指数7天持有期证券投资基金(2023年12月19日至今)、交银施罗德稳安30天滚动持有债券型证券投资基金(2024年11月23日至今)的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黄莹洁女士(2022年11月24日至2026年03月11日)；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姜承操女士(2024年01月10日至2025年05月30日)。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王崇（权益投资副总监、权益部一级专家、基金经理）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（4）向基金份额持有人违规承诺收益或者承担损失；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w:t>
      </w:r>
      <w:r>
        <w:rPr>
          <w:rFonts w:ascii="宋体" w:hAnsi="宋体"/>
          <w:sz w:val="24"/>
        </w:rPr>
        <w:lastRenderedPageBreak/>
        <w:t>控制和规避，尽可能地减少损失。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7" w:name="_Toc240548755"/>
      <w:r>
        <w:rPr>
          <w:rFonts w:ascii="Times New Roman" w:hAnsi="Times New Roman"/>
          <w:sz w:val="30"/>
        </w:rPr>
        <w:lastRenderedPageBreak/>
        <w:t>四、基金托管人</w:t>
      </w:r>
      <w:bookmarkEnd w:id="7"/>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8" w:name="_Toc240548756"/>
      <w:r>
        <w:rPr>
          <w:rFonts w:ascii="Times New Roman" w:hAnsi="Times New Roman"/>
          <w:sz w:val="30"/>
        </w:rPr>
        <w:lastRenderedPageBreak/>
        <w:t>五、相关服务机构</w:t>
      </w:r>
      <w:bookmarkEnd w:id="8"/>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（4）名称：上海浦东发展银行股份有限公司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（5）名称：国信证券股份有限公司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传真：（0755）82133952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（7）名称：国泰海通证券股份有限公司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（8）名称：东方财富证券股份有限公司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（9）名称：西部证券股份有限公司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（10）名称：东方证券股份有限公司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（11）名称：平安证券股份有限公司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（12）名称：国金证券股份有限公司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电话：（028）86690057，（028）86690058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（13）名称：华宝证券股份有限公司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（14）名称：海通证券股份有限公司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（15）名称：华泰证券股份有限公司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（16）名称：上海好买基金销售有限公司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（17）名称：京东肯特瑞基金销售有限公司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（18）名称：腾安基金销售（深圳）有限公司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（19）名称：北京度小满基金销售有限公司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（20）名称：上海天天基金销售有限公司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（21）名称：蚂蚁（杭州）基金销售有限公司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（22）名称：上海利得基金销售有限公司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电话：021-50583533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（23）名称：博时财富基金销售有限公司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（24）名称：深圳众禄基金销售股份有限公司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（25）名称：玄元保险代理有限公司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网址：www.licaimofang.cn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（26）名称：珠海盈米基金销售有限公司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（28）名称：上海华夏财富投资管理有限公司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电话：+86 (21) 2212 2888</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9" w:name="_Toc240548757"/>
      <w:r>
        <w:rPr>
          <w:rFonts w:ascii="Times New Roman" w:hAnsi="Times New Roman"/>
          <w:sz w:val="30"/>
        </w:rPr>
        <w:lastRenderedPageBreak/>
        <w:t>六、基金的历史沿革</w:t>
      </w:r>
      <w:bookmarkEnd w:id="9"/>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8月18日证监许可【2022】1914号文准予募集注册。本基金自2022年11月14日起向社会公开募集，于2022年11月22日结束募集工作，并于2022年11月24日获得中国证监会的书面确认，《交银施罗德稳安30天滚动持有债券型证券投资基金基金合同》自该日起生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安30天滚动持有债券型证券投资基金经2024年11月25日中国证监会证监许可【2024】1695号文准予变更注册，自2024年12月12日至2025年1月13日交银施罗德稳安30天滚动持有债券型证券投资基金以通讯方式召开基金份额持有人大会，大会于2025年1月14日审议通过了《关于交银施罗德稳安30天滚动持有债券型证券投资基金调整投资范围及修改基金合同有关事项的议案》，内容包括在交银施罗德稳安30天滚动持有债券型证券投资基金投资范围中增加国债期货，相应调整投资策略、投资比例限制、估值方法等内容，并修改基金合同中根据上述调整需要同步进行修订的其他部分条款，上述基金份额持有人大会决议事项自表决通过之日起生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自2025年1月15日起，根据《关于交银施罗德稳安30天滚动持有债券型证券投资基金调整投资范围及修改基金合同有关事项的议案》修改而成的《交银施罗德稳安30天滚动持有债券型证券投资基金基金合同》生效。</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0" w:name="_Toc240548758"/>
      <w:r>
        <w:rPr>
          <w:rFonts w:ascii="Times New Roman" w:hAnsi="Times New Roman"/>
          <w:sz w:val="30"/>
        </w:rPr>
        <w:lastRenderedPageBreak/>
        <w:t>七、基金合同的存续</w:t>
      </w:r>
      <w:bookmarkEnd w:id="10"/>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1" w:name="_Toc240548759"/>
      <w:r>
        <w:rPr>
          <w:rFonts w:ascii="Times New Roman" w:hAnsi="Times New Roman"/>
          <w:sz w:val="30"/>
        </w:rPr>
        <w:lastRenderedPageBreak/>
        <w:t>八、基金份额的申购与赎回</w:t>
      </w:r>
      <w:bookmarkEnd w:id="11"/>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个人投资者可以通过基金管理人网上直销交易平台办理开户、本基金的申购、赎回、定期定额投资等业务，具体交易细则请参阅基金管理人网站。网上直销交易平台网址：www.fund001.com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管理人仅在该基金份额的每个运作期到期日为基金份额持有人办理赎回，具体办理时间为上海证券交易所、深圳证券交易所的正常交易日的交易时间，但基金管理人根据</w:t>
      </w:r>
      <w:r>
        <w:rPr>
          <w:rFonts w:ascii="宋体" w:hAnsi="宋体"/>
          <w:sz w:val="24"/>
        </w:rPr>
        <w:lastRenderedPageBreak/>
        <w:t>法律法规、中国证监会的要求或基金合同的规定公告暂停申购、赎回时除外。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本基金已于2022年12月12日起开放申购业务。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本基金已于2022年12月23日起开放赎回业务。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每份基金份额，基金管理人仅在该基金份额的每个运作期到期日为基金份额持有人办理赎回。对于每份基金份额，第一个运作期指基金合同生效日（对认购份额而言，下同）或基金份额申购确认日（对申购份额而言，下同）起（即第一个运作期起始日），至基金合同生效日或基金份额申购申请日后的第30天（即第一个运作期到期日，如该日为非工作日，则顺延至下一工作日）止。第二个运作期指第一个运作期到期日的次一日起，至基金合同生效日或基金份额申购申请日后的第60天（如该日为非工作日，则顺延至下一工作日）止。以此类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（四）申购和赎回的数额限定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一投资者单日申购金额不超过1000万元（个人投资者、公募资产管理产品、职业年金计划、企业年金计划、养老金产品和基金管理人自有资金除外）。基金管理人可以调整单一投资者单日申购金额上限，具体规定请参见更新的招募说明书或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5、基金管理人可在法律法规允许的情况下，调整申购金额和赎回份额的数量限制。基金管理人必须在调整实施前依照《信息披露办法》的有关规定在规定媒介上公告。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w:t>
      </w:r>
      <w:r>
        <w:rPr>
          <w:rFonts w:ascii="宋体" w:hAnsi="宋体"/>
          <w:sz w:val="24"/>
        </w:rPr>
        <w:lastRenderedPageBreak/>
        <w:t>于本基金的市场推广、销售、登记结算等各项费用。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本基金对于每份基金份额设置30天的滚动运作期。每个运作期到期日，基金份</w:t>
      </w:r>
      <w:r>
        <w:rPr>
          <w:rFonts w:ascii="宋体" w:hAnsi="宋体"/>
          <w:sz w:val="24"/>
        </w:rPr>
        <w:lastRenderedPageBreak/>
        <w:t>额持有人可提出赎回申请。基金份额持有人在每个运作期到期日申请赎回A类基金份额和C类基金份额不收取赎回费。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例四：某投资者（非养老金客户）投资100,000元申购本基金的A类基金份额，假设申购当日A类基金份额净值为1.0400元，申购费率为0.2%，则其可得到的申购份额为：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净申购金额=100,000/（1+0.2%）=99,800.40元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申购费用=100,000-99,800.40=199.60元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申购份额=（100,000-199.60）/1.0400=95,961.92份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即：某投资者（非养老金客户）投资100,000元申购本基金的A类基金份额，假设申购当日A类基金份额净值为1.0400元，则其可得到95,961.92份A类基金份额。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例五：某养老金客户投资1,000,000元通过基金管理人的直销柜台申购本基金的A类基金份额，假设申购当日A类基金份额净值为1.0400元，申购费率为0.08%，则其可得到的申购份额为：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净申购金额=1,000,000/（1+0.08%）=999,200.64元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申购费用=1,000,000-999,200.64=799.36元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申购份额=（1,000,000-799.36）/1.0400=960,769.85份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即：该养老金客户投资1,000,000元通过基金管理人的直销柜台申购本基金的A类基金份额，假设申购当日A类基金份额净值为1.0400元，则其可得到960,769.85份A类基金份额。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例七：某投资者通过认购持有10,000份A类基金份额，在基金合同生效日后第一个运作期到期日申请赎回该10,000份A类基金份额，假设赎回当日A类基金份额净值是1.0025元，则其可得到的赎回金额为：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赎回金额=10,000×1.0025＝10,025.00元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即：某投资者通过认购持有10,000份A类基金份额，在基金合同生效日后第一个运作期到期日申请赎回该10,000份A类基金份额，假设赎回当日A类基金份额净值是1.0025元，则其可得到的赎回金额为10,025.00元。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（十三）基金的非交易过户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本基金2022年12月8日刊登公告自2022年12月12日起开通定期定额投资计划业务，具体开通销售机构名单和业务规则参见相关公告。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2" w:name="_Toc240548760"/>
      <w:r>
        <w:rPr>
          <w:rFonts w:ascii="Times New Roman" w:hAnsi="Times New Roman"/>
          <w:sz w:val="30"/>
        </w:rPr>
        <w:lastRenderedPageBreak/>
        <w:t>九、基金的投资</w:t>
      </w:r>
      <w:bookmarkEnd w:id="12"/>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（5）信用债券（含资产支持证券，下同）投资策略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本基金主动投资的信用债为信用评级在AA+级（含）以上的信用债，对信用评</w:t>
      </w:r>
      <w:r>
        <w:rPr>
          <w:rFonts w:ascii="宋体" w:hAnsi="宋体"/>
          <w:sz w:val="24"/>
        </w:rPr>
        <w:lastRenderedPageBreak/>
        <w:t>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进行调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（6）国债期货投资策略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w:t>
      </w:r>
      <w:r>
        <w:rPr>
          <w:rFonts w:ascii="宋体" w:hAnsi="宋体"/>
          <w:sz w:val="24"/>
        </w:rPr>
        <w:lastRenderedPageBreak/>
        <w:t>的10％，完全按照有关指数的构成比例进行证券投资的基金品种可以不受此条款规定的比例限制；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（10）本基金参与国债期货交易，需遵守下列投资比例限制：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未来法律法规或监管部门取消或变更公开募集证券投资基金参与国债期货交易相关限制的，则本基金投资不再受相关限制或以变更以后的规定为准，无需召开基金份额持有人大会；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w:t>
      </w:r>
      <w:r>
        <w:rPr>
          <w:rFonts w:ascii="宋体" w:hAnsi="宋体"/>
          <w:sz w:val="24"/>
        </w:rPr>
        <w:lastRenderedPageBreak/>
        <w:t>开展逆回购交易的，可接受质押品的资质要求应当与基金合同约定的投资范围保持一致；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如法律、行政法规或监管部门取消上述规定，如适用于本基金，基金管理人在履行适当程序后，本基金可不受上述规定的限制。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本基金业绩比较基准：中债-综合全价（1年以下）指数收益率×95%+活期存款基准利率×5%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等资产，相应选取与之匹配的债券指数作为基准要素。同时基于基金投资于债券资产的比例不低于基金资产的80%等投资比例限制，以及预期的资产配置比例，本基金将债券资产和现金类资产所对应的基准要素权重设置为95%、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年以下）指数作为债券部分的业绩比较基准要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中债-综合全价（1年以下）指数的成份券包含除资产支持证券、美元债券、可转债以外的在境内公开发行且上市流通的债券，成份券待偿期限在1年以下，适合作为本基金债券部分的业绩比较基准要素。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（3）基于基金投资目标、投资范围和投资策略，本基金可持有一定比例现金类资产，以匹配流动性管理需求。活期存款基准利率具有较强的权威性和市场影响力，适合作为本基金现金类资产的业绩比较基准。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中债-综合全价（1年以下）指数由中债金融估值中心有限公司编制发布，指数代码为CBA00213，指数具体信息详见中国债券信息网，网址：www.chinabond.com.cn。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业绩比较基准收益率的计算方法以每日收益率为基础，以时间加权为计算原则。本基金先分别计算业绩比较基准中中债-综合全价（1年以下）指数、活期存款基准利率的每日收益率，再按照预设权重比例计算当日组合要素基准的日收益率，并连乘每日收益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w:t>
      </w:r>
      <w:r>
        <w:rPr>
          <w:rFonts w:ascii="宋体" w:hAnsi="宋体"/>
          <w:sz w:val="24"/>
        </w:rPr>
        <w:lastRenderedPageBreak/>
        <w:t>变更业绩比较基准的；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本基金托管人招商银行股份有限公司根据本基金合同规定，于2025年07月17日复核了本报告中的财务指标、净值表现和投资组合报告等内容，保证复核内容不存在虚假记载、误导性陈述或者重大遗漏。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本投资组合报告期为2025年04月01日至06月30日。所载财务数据未经审计师审计。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2,371,884,579.63</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98.58</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2,371,884,579.63</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98.58</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11,114,966.23</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23,057,997.21</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2,406,057,543.07</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44,691,542.55</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2.33</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172,671,975.34</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9.02</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122,342,443.83</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6.39</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225,972,836.71</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11.81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696,681,909.57</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36.40</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1,231,866,315.46</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64.36</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2,371,884,579.63</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123.92</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102482828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厦国贸控</w:t>
            </w:r>
            <w:r>
              <w:rPr>
                <w:rFonts w:ascii="Times New Roman" w:hAnsi="Times New Roman"/>
                <w:color w:val="000000"/>
                <w:kern w:val="0"/>
                <w:sz w:val="25"/>
                <w:szCs w:val="24"/>
              </w:rPr>
              <w:t>MTN009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82,622,706.85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4.32</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012483481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象屿</w:t>
            </w:r>
            <w:r>
              <w:rPr>
                <w:rFonts w:ascii="Times New Roman" w:hAnsi="Times New Roman"/>
                <w:color w:val="000000"/>
                <w:kern w:val="0"/>
                <w:sz w:val="25"/>
                <w:szCs w:val="24"/>
              </w:rPr>
              <w:t>SCP006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61,037,026.85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3.19</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102383269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信达地产</w:t>
            </w:r>
            <w:r>
              <w:rPr>
                <w:rFonts w:ascii="Times New Roman" w:hAnsi="Times New Roman"/>
                <w:color w:val="000000"/>
                <w:kern w:val="0"/>
                <w:sz w:val="25"/>
                <w:szCs w:val="24"/>
              </w:rPr>
              <w:t>MTN003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51,670,739.73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2.70</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102480535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厦国贸控</w:t>
            </w:r>
            <w:r>
              <w:rPr>
                <w:rFonts w:ascii="Times New Roman" w:hAnsi="Times New Roman"/>
                <w:color w:val="000000"/>
                <w:kern w:val="0"/>
                <w:sz w:val="25"/>
                <w:szCs w:val="24"/>
              </w:rPr>
              <w:t>MTN002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51,138,561.64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2.67</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工行二级资本债</w:t>
            </w:r>
            <w:r>
              <w:rPr>
                <w:rFonts w:ascii="Times New Roman" w:hAnsi="Times New Roman"/>
                <w:color w:val="000000"/>
                <w:kern w:val="0"/>
                <w:sz w:val="25"/>
                <w:szCs w:val="24"/>
              </w:rPr>
              <w:t>02BC</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50,329,531.51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2.63</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tbl>
      <w:tblPr>
        <w:tblW w:w="5000" w:type="pct"/>
        <w:tblCellMar>
          <w:left w:w="0" w:type="dxa"/>
          <w:right w:w="0" w:type="dxa"/>
        </w:tblCellMar>
        <w:tblLook w:val="0000" w:firstRow="0" w:lastRow="0" w:firstColumn="0" w:lastColumn="0" w:noHBand="0" w:noVBand="0"/>
      </w:tblPr>
      <w:tblGrid>
        <w:gridCol w:w="816"/>
        <w:gridCol w:w="1570"/>
        <w:gridCol w:w="1571"/>
        <w:gridCol w:w="1571"/>
        <w:gridCol w:w="1571"/>
        <w:gridCol w:w="1571"/>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w:t>
            </w:r>
            <w:r>
              <w:rPr>
                <w:rFonts w:ascii="Times New Roman" w:hAnsi="Times New Roman"/>
                <w:color w:val="000000"/>
                <w:kern w:val="0"/>
                <w:sz w:val="25"/>
                <w:szCs w:val="24"/>
              </w:rPr>
              <w:t>/</w:t>
            </w:r>
            <w:r>
              <w:rPr>
                <w:rFonts w:ascii="Times New Roman" w:hAnsi="Times New Roman"/>
                <w:color w:val="000000"/>
                <w:kern w:val="0"/>
                <w:sz w:val="25"/>
                <w:szCs w:val="24"/>
              </w:rPr>
              <w:t>卖）</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风险指标说明</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T2509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T2509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-16,335,000.00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21,750.00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TL2509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TL2509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-96,320,000.00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242,000.00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263,750.00</w:t>
            </w:r>
          </w:p>
        </w:tc>
      </w:tr>
      <w:tr w:rsidR="001C3B41">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国债期货投资本期收益（元）</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-428,512.49</w:t>
            </w:r>
          </w:p>
        </w:tc>
      </w:tr>
      <w:tr w:rsidR="001C3B41">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国债期货投资本期公允价值变动（元）</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263,750.00</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相关交易对基金总体风险的影响可控，执行既定的投资政策和投资目标。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3,709,344.91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19,330,305.54</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待摊费用</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18,346.76</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23,057,997.21</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3" w:name="_Toc240548761"/>
      <w:r>
        <w:rPr>
          <w:rFonts w:ascii="Times New Roman" w:hAnsi="Times New Roman"/>
          <w:sz w:val="30"/>
        </w:rPr>
        <w:lastRenderedPageBreak/>
        <w:t>十、基金的业绩</w:t>
      </w:r>
      <w:bookmarkEnd w:id="13"/>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1）交银稳安30天A：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3.80%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4.04%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2）交银稳安30天C：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3.64%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4.04%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1C3B4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年度（自基金分级日起至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注：本基金的业绩比较基准为中债综合全价指数收益率×80%+人民币活期存款</w:t>
      </w:r>
      <w:r>
        <w:rPr>
          <w:rFonts w:ascii="宋体" w:hAnsi="宋体"/>
          <w:sz w:val="24"/>
        </w:rPr>
        <w:lastRenderedPageBreak/>
        <w:t>利率(税后)×20%，每日进行再平衡过程。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1C3B41" w:rsidRDefault="00515E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交银施罗德稳安30天滚动持有债券型证券投资基金</w:t>
      </w:r>
    </w:p>
    <w:p w:rsidR="001C3B41" w:rsidRDefault="00515E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1C3B41" w:rsidRDefault="00515E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（2022年11月24日至2025年06月30日）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1、交银稳安30天A</w:t>
      </w:r>
    </w:p>
    <w:p w:rsidR="001C3B41" w:rsidRDefault="000F2A9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2、交银稳安30天C</w:t>
      </w:r>
    </w:p>
    <w:p w:rsidR="001C3B41" w:rsidRDefault="000F2A9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4" w:name="_Toc240548762"/>
      <w:r>
        <w:rPr>
          <w:rFonts w:ascii="Times New Roman" w:hAnsi="Times New Roman"/>
          <w:sz w:val="30"/>
        </w:rPr>
        <w:lastRenderedPageBreak/>
        <w:t>十一、基金的财产</w:t>
      </w:r>
      <w:bookmarkEnd w:id="14"/>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5" w:name="_Toc240548763"/>
      <w:r>
        <w:rPr>
          <w:rFonts w:ascii="Times New Roman" w:hAnsi="Times New Roman"/>
          <w:sz w:val="30"/>
        </w:rPr>
        <w:lastRenderedPageBreak/>
        <w:t>十二、基金资产的估值</w:t>
      </w:r>
      <w:bookmarkEnd w:id="15"/>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基金所拥有的债券、国债期货合约、资产支持证券和其他投资等持续以公允价值计量的金融资产及负债。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市场上市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（2）交易所上市交易的可转换债券以每日收盘价作为估值全价；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（3）交易所上市不存在活跃市场的有价证券，采用估值技术确定公允价值。交易所市场挂牌转让的资产支持证券，采用估值技术确定公允价值。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8、对于因税收规定调整或其他原因导致产品实际交纳税金与估算的应交税金有差异的，产品将在相关税金调整日或实际支付日进行相应的会计处理。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w:t>
      </w:r>
      <w:r>
        <w:rPr>
          <w:rFonts w:ascii="宋体" w:hAnsi="宋体"/>
          <w:sz w:val="24"/>
        </w:rPr>
        <w:lastRenderedPageBreak/>
        <w:t>方，共同查明原因，双方协商解决。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w:t>
      </w:r>
      <w:r>
        <w:rPr>
          <w:rFonts w:ascii="宋体" w:hAnsi="宋体"/>
          <w:sz w:val="24"/>
        </w:rPr>
        <w:lastRenderedPageBreak/>
        <w:t>登记机构进行更正，并就估值错误的更正向有关当事人进行确认。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w:t>
      </w:r>
      <w:r>
        <w:rPr>
          <w:rFonts w:ascii="宋体" w:hAnsi="宋体"/>
          <w:sz w:val="24"/>
        </w:rPr>
        <w:lastRenderedPageBreak/>
        <w:t>认后，基金管理人应当暂停估值；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6" w:name="_Toc240548764"/>
      <w:r>
        <w:rPr>
          <w:rFonts w:ascii="Times New Roman" w:hAnsi="Times New Roman"/>
          <w:sz w:val="30"/>
        </w:rPr>
        <w:lastRenderedPageBreak/>
        <w:t>十三、基金收益与分配</w:t>
      </w:r>
      <w:bookmarkEnd w:id="16"/>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6、对于收益分配方式为红利再投资的基金份额，每份基金份额（原份额）所获得的红利再投资份额的运作期到期日，与该原份额的运作期到期日一致；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7、法律法规或监管机关另有规定的，从其规定。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7" w:name="_Toc240548765"/>
      <w:r>
        <w:rPr>
          <w:rFonts w:ascii="Times New Roman" w:hAnsi="Times New Roman"/>
          <w:sz w:val="30"/>
        </w:rPr>
        <w:lastRenderedPageBreak/>
        <w:t>十四、基金的费用与税收</w:t>
      </w:r>
      <w:bookmarkEnd w:id="17"/>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6、基金的证券、期货交易/结算费用；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本基金的管理费按前一日基金资产净值的0.20%年费率计提。管理费的计算方法如下：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H＝E×0.20%÷当年天数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本基金的托管费按前一日基金资产净值的0.05%年费率计提。托管费的计算方法如下：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本基金A类基金份额不收取销售服务费，C类基金份额的销售服务费按前一日C类基金资产净值的0.15%年费率计提。计算方法如下：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于次月首日起5个工作日内从基金财产中一次性支付给基金管理人，由基金管理人代付给销售机构，若遇法定节假日、休息日或不可抗力致使无法按时支付的，支付日期顺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8" w:name="_Toc240548766"/>
      <w:r>
        <w:rPr>
          <w:rFonts w:ascii="Times New Roman" w:hAnsi="Times New Roman"/>
          <w:sz w:val="30"/>
        </w:rPr>
        <w:lastRenderedPageBreak/>
        <w:t>十五、基金的会计与审计</w:t>
      </w:r>
      <w:bookmarkEnd w:id="18"/>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19" w:name="_Toc240548767"/>
      <w:r>
        <w:rPr>
          <w:rFonts w:ascii="Times New Roman" w:hAnsi="Times New Roman"/>
          <w:sz w:val="30"/>
        </w:rPr>
        <w:lastRenderedPageBreak/>
        <w:t>十六、基金的信息披露</w:t>
      </w:r>
      <w:bookmarkEnd w:id="19"/>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12、基金投资国债期货的情况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投资政策、持仓情况、损益情况、风险指标等，并充分揭示国债期货交易对基金总体风险的影响以及是否符合既定的投资政策和投资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13、实施侧袋机制期间的信息披露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w:t>
      </w:r>
      <w:r>
        <w:rPr>
          <w:rFonts w:ascii="宋体" w:hAnsi="宋体"/>
          <w:sz w:val="24"/>
        </w:rPr>
        <w:lastRenderedPageBreak/>
        <w:t>同媒介上披露同一信息的内容应当一致。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0" w:name="_Toc240548768"/>
      <w:r>
        <w:rPr>
          <w:rFonts w:ascii="Times New Roman" w:hAnsi="Times New Roman"/>
          <w:sz w:val="30"/>
        </w:rPr>
        <w:lastRenderedPageBreak/>
        <w:t>十七、侧袋机制</w:t>
      </w:r>
      <w:bookmarkEnd w:id="20"/>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C3B41" w:rsidRDefault="00515ED6">
      <w:pPr>
        <w:pStyle w:val="1"/>
        <w:snapToGrid w:val="0"/>
        <w:spacing w:beforeLines="0" w:before="240" w:after="240"/>
        <w:rPr>
          <w:rFonts w:ascii="宋体" w:hAnsi="宋体"/>
          <w:szCs w:val="30"/>
        </w:rPr>
      </w:pPr>
      <w:bookmarkStart w:id="21" w:name="_Toc240548769"/>
      <w:r>
        <w:rPr>
          <w:rFonts w:ascii="Times New Roman" w:hAnsi="Times New Roman"/>
          <w:sz w:val="30"/>
        </w:rPr>
        <w:lastRenderedPageBreak/>
        <w:t>十八、风险揭示</w:t>
      </w:r>
      <w:bookmarkEnd w:id="21"/>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10%时，投资人将可能无法及时赎回持有的全部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管理人仅在该基金份额的每个运作期到期日为基金份额持有人办理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对于每份基金份额，第一个运作期指基金合同生效日（对认购份额而言，下同）或基金份额申购确认日（对申购份额而言，下同）起（即第一个运作期起始日），至基金合同生效日或基</w:t>
      </w:r>
      <w:r>
        <w:rPr>
          <w:rFonts w:ascii="宋体" w:hAnsi="宋体"/>
          <w:sz w:val="24"/>
        </w:rPr>
        <w:lastRenderedPageBreak/>
        <w:t>金份额申购申请日后的第30天（即第一个运作期到期日，如该日为非工作日，则顺延至下一工作日）止。第二个运作期指第一个运作期到期日的次一日起，至基金合同生效日或基金份额申购申请日后的第60天（如该日为非工作日，则顺延至下一工作日）止。以此类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w:t>
      </w:r>
      <w:r>
        <w:rPr>
          <w:rFonts w:ascii="宋体" w:hAnsi="宋体"/>
          <w:sz w:val="24"/>
        </w:rPr>
        <w:lastRenderedPageBreak/>
        <w:t>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运作期不能赎回的风险。本基金对每份基金份额设置30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（六）投资国债期货的特定风险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w:t>
      </w:r>
      <w:r>
        <w:rPr>
          <w:rFonts w:ascii="宋体" w:hAnsi="宋体"/>
          <w:sz w:val="24"/>
        </w:rPr>
        <w:lastRenderedPageBreak/>
        <w:t>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C3B41" w:rsidRDefault="00515ED6">
      <w:pPr>
        <w:pStyle w:val="1"/>
        <w:snapToGrid w:val="0"/>
        <w:spacing w:beforeLines="0" w:before="240" w:after="240"/>
        <w:rPr>
          <w:rFonts w:ascii="宋体" w:hAnsi="宋体"/>
          <w:szCs w:val="30"/>
        </w:rPr>
      </w:pPr>
      <w:bookmarkStart w:id="22" w:name="_Toc240548770"/>
      <w:r>
        <w:rPr>
          <w:rFonts w:ascii="Times New Roman" w:hAnsi="Times New Roman"/>
          <w:sz w:val="30"/>
        </w:rPr>
        <w:lastRenderedPageBreak/>
        <w:t>十九、基金合同的变更、终止与基金财产的清算</w:t>
      </w:r>
      <w:bookmarkEnd w:id="22"/>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3" w:name="_Toc240548771"/>
      <w:r>
        <w:rPr>
          <w:rFonts w:ascii="Times New Roman" w:hAnsi="Times New Roman"/>
          <w:sz w:val="30"/>
        </w:rPr>
        <w:lastRenderedPageBreak/>
        <w:t>二十、基金合同内容摘要</w:t>
      </w:r>
      <w:bookmarkEnd w:id="23"/>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15）选择、更换律师事务所、会计师事务所、证券/期货经纪商或其他为基金提供服务的外部机构；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（二）基金份额持有人大会召集、议事及表决的程序和规则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（1）当出现或需要决定下列事由之一的，应当召开基金份额持有人大会，法律法规、中国证监会或基金合同另有规定的除外：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回费率、在对现有基金份额持有人利益无实质性不利影响的前提下变更收费方式；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w:t>
      </w:r>
      <w:r>
        <w:rPr>
          <w:rFonts w:ascii="宋体" w:hAnsi="宋体"/>
          <w:sz w:val="24"/>
        </w:rPr>
        <w:lastRenderedPageBreak/>
        <w:t>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9、实施侧袋机制期间基金份额持有人大会的特殊约定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（五）基金合同存放地和投资者取得基金合同的方式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4" w:name="_Toc240548772"/>
      <w:r>
        <w:rPr>
          <w:rFonts w:ascii="Times New Roman" w:hAnsi="Times New Roman"/>
          <w:sz w:val="30"/>
        </w:rPr>
        <w:lastRenderedPageBreak/>
        <w:t>二十一、托管协议的内容摘要</w:t>
      </w:r>
      <w:bookmarkEnd w:id="24"/>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w:t>
      </w:r>
      <w:r>
        <w:rPr>
          <w:rFonts w:ascii="宋体" w:hAnsi="宋体"/>
          <w:sz w:val="24"/>
        </w:rPr>
        <w:lastRenderedPageBreak/>
        <w:t>资产净值的10％；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10）本基金参与国债期货交易，需遵守下列投资比例限制：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①在任何交易日日终，持有的买入国债期货合约价值，不得超过基金资产净值的15%；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②在任何交易日日终，持有的卖出国债期货合约价值不得超过基金持有的债券总市值的30%；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③基金在任何交易日内交易（不包括平仓）的国债期货合约的成交金额不得超过上一交易日基金资产净值的30%；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④本基金所持有的债券（不含到期日在一年以内的政府债券）市值和买入、卖出国债期货合约价值，合计（轧差计算）应当符合基金合同关于债券投资比例的有关约定；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未来法律法规或监管部门取消或变更公开募集证券投资基金参与国债期货交易相关限制的，则本基金投资不再受相关限制或以变更以后的规定为准，无需召开基金份额持有人大会；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2）、9）、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w:t>
      </w:r>
      <w:r>
        <w:rPr>
          <w:rFonts w:ascii="宋体" w:hAnsi="宋体"/>
          <w:sz w:val="24"/>
        </w:rPr>
        <w:lastRenderedPageBreak/>
        <w:t>给基金托管人，基金托管人应据以对基金投资银行存款的交易对手是否符合有关规定进行监督。对于不符合规定的银行存款，基金托管人可以拒绝执行，并通知基金管理人。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（1）基金投资银行存款协议的签订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w:t>
      </w:r>
      <w:r>
        <w:rPr>
          <w:rFonts w:ascii="宋体" w:hAnsi="宋体"/>
          <w:sz w:val="24"/>
        </w:rPr>
        <w:lastRenderedPageBreak/>
        <w:t>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w:t>
      </w:r>
      <w:r>
        <w:rPr>
          <w:rFonts w:ascii="宋体" w:hAnsi="宋体"/>
          <w:sz w:val="24"/>
        </w:rPr>
        <w:lastRenderedPageBreak/>
        <w:t>本息划至指定的基金资金账户。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w:t>
      </w:r>
      <w:r>
        <w:rPr>
          <w:rFonts w:ascii="宋体" w:hAnsi="宋体"/>
          <w:sz w:val="24"/>
        </w:rPr>
        <w:lastRenderedPageBreak/>
        <w:t>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5、基金管理人应当对投资中期票据业务进行研究，认真评估中期票据投资业务的风险，本着审慎、勤勉尽责的原则进行中期票据的投资业务，并应符合法律法规及监管机构的相关规定。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11、侧袋机制的实施和投资运作安排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（3）基金托管人按照规定开设基金财产的资金账户和证券账户等投资所需的相关账户。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3、基金资金账户的开立和管理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稳安30天滚动持有债券型证券投资基金”，预留印鉴为基金托管人印章。</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w:t>
      </w:r>
      <w:r>
        <w:rPr>
          <w:rFonts w:ascii="宋体" w:hAnsi="宋体"/>
          <w:sz w:val="24"/>
        </w:rPr>
        <w:lastRenderedPageBreak/>
        <w:t>供的合同传真件与基金管理人留存原件不一致的，以传真件为准。</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6、基金财务报表与报告的编制和复核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（七）争议解决方式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5" w:name="_Toc240548773"/>
      <w:r>
        <w:rPr>
          <w:rFonts w:ascii="Times New Roman" w:hAnsi="Times New Roman"/>
          <w:sz w:val="30"/>
        </w:rPr>
        <w:lastRenderedPageBreak/>
        <w:t>二十二、对基金份额持有人的服务</w:t>
      </w:r>
      <w:bookmarkEnd w:id="25"/>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场外申购、赎回、定期定额投资等业务。通过网上直销交易平台办理本基金A类基金份额申购业务的个人投资者将享受申购费率的优惠，其他费率标准不变。</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w:t>
      </w:r>
      <w:r>
        <w:rPr>
          <w:rFonts w:ascii="宋体" w:hAnsi="宋体"/>
          <w:sz w:val="24"/>
        </w:rPr>
        <w:lastRenderedPageBreak/>
        <w:t>基金默认的收益分配方式是现金分红。再投资红利按红利再投日（即除息日）除息后的基金份额净值自动转为相应类别的基金份额，并免收申购费用。</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6" w:name="_Toc240548774"/>
      <w:r>
        <w:rPr>
          <w:rFonts w:ascii="Times New Roman" w:hAnsi="Times New Roman"/>
          <w:sz w:val="30"/>
        </w:rPr>
        <w:lastRenderedPageBreak/>
        <w:t>二十三、其他应披露事项</w:t>
      </w:r>
      <w:bookmarkEnd w:id="26"/>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2024-09-26</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2024-11-23</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天滚动持有债券型证券投资基金基金份额持有人大会的公告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天滚动持有债券型证券投资基金基金份额持有人大会的第一次提示性公告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天滚动持有债券型证券投资基金基金份额持有人大会的第二次提示性公告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2024-12-13</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2025-01-10</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交银施罗德基金管理有限公司关于增加海通证券股份有限公司为旗下基金的销售机构的公告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2025-06-05</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1C3B4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33</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30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C3B41" w:rsidRDefault="00515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7" w:name="_Toc240548775"/>
      <w:r>
        <w:rPr>
          <w:rFonts w:ascii="Times New Roman" w:hAnsi="Times New Roman"/>
          <w:sz w:val="30"/>
        </w:rPr>
        <w:lastRenderedPageBreak/>
        <w:t>二十四、招募说明书的存放及查阅方式</w:t>
      </w:r>
      <w:bookmarkEnd w:id="27"/>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15E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C3B41" w:rsidRDefault="00515ED6">
      <w:pPr>
        <w:pStyle w:val="1"/>
        <w:snapToGrid w:val="0"/>
        <w:spacing w:beforeLines="0" w:before="240" w:after="240"/>
        <w:rPr>
          <w:rFonts w:ascii="宋体" w:hAnsi="宋体"/>
          <w:szCs w:val="30"/>
        </w:rPr>
      </w:pPr>
      <w:bookmarkStart w:id="28" w:name="_Toc240548776"/>
      <w:r>
        <w:rPr>
          <w:rFonts w:ascii="Times New Roman" w:hAnsi="Times New Roman"/>
          <w:sz w:val="30"/>
        </w:rPr>
        <w:lastRenderedPageBreak/>
        <w:t>二十五、备查文件</w:t>
      </w:r>
      <w:bookmarkEnd w:id="28"/>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（一）中国证监会准予交银施罗德稳安30天滚动持有债券型证券投资基金募集注册的文件</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（二）《交银施罗德稳安30天滚动持有债券型证券投资基金基金合同》</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（三）《交银施罗德稳安30天滚动持有债券型证券投资基金托管协议》</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C3B41" w:rsidRDefault="00515E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（六）关于申请募集注册交银施罗德稳安30天滚动持有债券型证券投资基金的法律意见书</w:t>
      </w:r>
    </w:p>
    <w:sectPr w:rsidR="001C3B41">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6BA" w:rsidRDefault="00515ED6">
      <w:r>
        <w:separator/>
      </w:r>
    </w:p>
  </w:endnote>
  <w:endnote w:type="continuationSeparator" w:id="0">
    <w:p w:rsidR="00C336BA" w:rsidRDefault="00515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1C3B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0F2A9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1C3B41" w:rsidRDefault="00515E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F2A9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1C3B4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0F2A9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1C3B41" w:rsidRDefault="00515E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F2A97">
                  <w:rPr>
                    <w:rFonts w:ascii="Times New Roman" w:hAnsi="Times New Roman"/>
                    <w:noProof/>
                    <w:kern w:val="0"/>
                    <w:sz w:val="18"/>
                    <w:szCs w:val="18"/>
                  </w:rPr>
                  <w:t>138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6BA" w:rsidRDefault="00515ED6">
      <w:r>
        <w:separator/>
      </w:r>
    </w:p>
  </w:footnote>
  <w:footnote w:type="continuationSeparator" w:id="0">
    <w:p w:rsidR="00C336BA" w:rsidRDefault="00515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1C3B4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515ED6">
    <w:pPr>
      <w:pStyle w:val="a3"/>
      <w:jc w:val="right"/>
      <w:rPr>
        <w:rFonts w:ascii="宋体" w:hAnsi="宋体"/>
      </w:rPr>
    </w:pPr>
    <w:r>
      <w:rPr>
        <w:rFonts w:ascii="宋体" w:hAnsi="宋体" w:hint="eastAsia"/>
      </w:rPr>
      <w:t>交银施罗德稳安30天滚动持有债券型证券投资基金招募说明书更新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1C3B41">
    <w:pPr>
      <w:pStyle w:val="10"/>
      <w:jc w:val="right"/>
    </w:pPr>
  </w:p>
  <w:p w:rsidR="001C3B41" w:rsidRDefault="001C3B41">
    <w:pPr>
      <w:pStyle w:val="10"/>
      <w:jc w:val="right"/>
    </w:pPr>
  </w:p>
  <w:p w:rsidR="001C3B41" w:rsidRDefault="001C3B41">
    <w:pPr>
      <w:pStyle w:val="a3"/>
      <w:jc w:val="right"/>
    </w:pPr>
  </w:p>
  <w:p w:rsidR="001C3B41" w:rsidRDefault="00515ED6">
    <w:pPr>
      <w:pStyle w:val="a3"/>
      <w:jc w:val="right"/>
      <w:rPr>
        <w:rFonts w:ascii="宋体" w:hAnsi="宋体"/>
      </w:rPr>
    </w:pPr>
    <w:r>
      <w:rPr>
        <w:rFonts w:ascii="宋体" w:hAnsi="宋体" w:hint="eastAsia"/>
      </w:rPr>
      <w:t>交银施罗德稳安30天滚动持有债券型证券投资基金招募说明书更新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B41" w:rsidRDefault="001C3B41">
    <w:pPr>
      <w:pStyle w:val="a3"/>
      <w:jc w:val="right"/>
    </w:pPr>
  </w:p>
  <w:p w:rsidR="001C3B41" w:rsidRDefault="001C3B41">
    <w:pPr>
      <w:pStyle w:val="a3"/>
      <w:jc w:val="right"/>
    </w:pPr>
  </w:p>
  <w:p w:rsidR="001C3B41" w:rsidRDefault="001C3B41">
    <w:pPr>
      <w:pStyle w:val="a3"/>
      <w:jc w:val="right"/>
    </w:pPr>
  </w:p>
  <w:p w:rsidR="001C3B41" w:rsidRDefault="00515ED6">
    <w:pPr>
      <w:pStyle w:val="a3"/>
      <w:jc w:val="right"/>
      <w:rPr>
        <w:rFonts w:ascii="宋体" w:hAnsi="宋体"/>
      </w:rPr>
    </w:pPr>
    <w:r>
      <w:rPr>
        <w:rFonts w:ascii="宋体" w:hAnsi="宋体" w:hint="eastAsia"/>
      </w:rPr>
      <w:t>交银施罗德稳安30天滚动持有债券型证券投资基金招募说明书更新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2A97"/>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3B41"/>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5ED6"/>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36BA"/>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47CD99A-7FF2-4DEE-8605-581FE2E62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139</Pages>
  <Words>14711</Words>
  <Characters>83855</Characters>
  <Application>Microsoft Office Word</Application>
  <DocSecurity>0</DocSecurity>
  <Lines>698</Lines>
  <Paragraphs>196</Paragraphs>
  <ScaleCrop>false</ScaleCrop>
  <Company>Microsoft</Company>
  <LinksUpToDate>false</LinksUpToDate>
  <CharactersWithSpaces>98370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